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8120DD" w14:textId="5251197A" w:rsidR="00547A17" w:rsidRDefault="005028E8" w:rsidP="005028E8">
      <w:pPr>
        <w:pStyle w:val="Pagedecouverture"/>
        <w:rPr>
          <w:noProof/>
        </w:rPr>
      </w:pPr>
      <w:bookmarkStart w:id="0" w:name="LW_BM_COVERPAGE"/>
      <w:r>
        <w:rPr>
          <w:noProof/>
        </w:rPr>
        <w:pict w14:anchorId="12279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AB1C3D-AD24-4A42-B303-55200817E923" style="width:455.25pt;height:491.25pt">
            <v:imagedata r:id="rId11" o:title=""/>
          </v:shape>
        </w:pict>
      </w:r>
    </w:p>
    <w:bookmarkEnd w:id="0"/>
    <w:p w14:paraId="3808DDDA" w14:textId="1CF92B56" w:rsidR="00A932CD" w:rsidRPr="00A932CD" w:rsidRDefault="00A932CD" w:rsidP="00A932CD">
      <w:pPr>
        <w:pStyle w:val="Pagedecouverture"/>
        <w:rPr>
          <w:noProof/>
        </w:rPr>
        <w:sectPr w:rsidR="00A932CD" w:rsidRPr="00A932CD" w:rsidSect="005028E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bookmarkStart w:id="1" w:name="_GoBack"/>
    <w:bookmarkEnd w:id="1"/>
    <w:p w14:paraId="16DCDAA0" w14:textId="06205865" w:rsidR="007F1DC8" w:rsidRPr="007F1DC8" w:rsidRDefault="00E73FF0" w:rsidP="003E111D">
      <w:pPr>
        <w:pStyle w:val="TOC1"/>
        <w:ind w:right="965"/>
        <w:rPr>
          <w:rFonts w:asciiTheme="minorHAnsi" w:eastAsiaTheme="minorEastAsia" w:hAnsiTheme="minorHAnsi" w:cstheme="minorBidi"/>
          <w:caps w:val="0"/>
          <w:noProof/>
          <w:kern w:val="2"/>
          <w:sz w:val="24"/>
          <w:szCs w:val="24"/>
          <w:lang w:val="en-IE" w:eastAsia="en-IE"/>
          <w14:ligatures w14:val="standardContextual"/>
        </w:rPr>
      </w:pPr>
      <w:r w:rsidRPr="007F1DC8">
        <w:rPr>
          <w:caps w:val="0"/>
          <w:noProof/>
          <w:sz w:val="24"/>
          <w:szCs w:val="24"/>
        </w:rPr>
        <w:lastRenderedPageBreak/>
        <w:fldChar w:fldCharType="begin"/>
      </w:r>
      <w:r w:rsidRPr="007F1DC8">
        <w:rPr>
          <w:caps w:val="0"/>
          <w:noProof/>
          <w:sz w:val="24"/>
          <w:szCs w:val="24"/>
        </w:rPr>
        <w:instrText xml:space="preserve"> TOC \o "1-4" \f \h \z \u </w:instrText>
      </w:r>
      <w:r w:rsidRPr="007F1DC8">
        <w:rPr>
          <w:caps w:val="0"/>
          <w:noProof/>
          <w:sz w:val="24"/>
          <w:szCs w:val="24"/>
        </w:rPr>
        <w:fldChar w:fldCharType="separate"/>
      </w:r>
      <w:hyperlink w:anchor="_Toc232176391" w:history="1">
        <w:r w:rsidR="007F1DC8" w:rsidRPr="007F1DC8">
          <w:rPr>
            <w:rStyle w:val="Hyperlink"/>
            <w:noProof/>
            <w:sz w:val="24"/>
            <w:szCs w:val="24"/>
          </w:rPr>
          <w:t>1.</w:t>
        </w:r>
        <w:r w:rsidR="007F1DC8" w:rsidRPr="007F1DC8">
          <w:rPr>
            <w:rFonts w:asciiTheme="minorHAnsi" w:eastAsiaTheme="minorEastAsia" w:hAnsiTheme="minorHAnsi" w:cstheme="minorBidi"/>
            <w:caps w:val="0"/>
            <w:noProof/>
            <w:kern w:val="2"/>
            <w:sz w:val="24"/>
            <w:szCs w:val="24"/>
            <w:lang w:val="en-IE" w:eastAsia="en-IE"/>
            <w14:ligatures w14:val="standardContextual"/>
          </w:rPr>
          <w:tab/>
        </w:r>
        <w:r w:rsidR="007F1DC8" w:rsidRPr="007F1DC8">
          <w:rPr>
            <w:rStyle w:val="Hyperlink"/>
            <w:noProof/>
            <w:sz w:val="24"/>
            <w:szCs w:val="24"/>
          </w:rPr>
          <w:t>Introduction: Political and legal context</w:t>
        </w:r>
        <w:r w:rsidR="007F1DC8" w:rsidRPr="007F1DC8">
          <w:rPr>
            <w:noProof/>
            <w:webHidden/>
            <w:sz w:val="24"/>
            <w:szCs w:val="24"/>
          </w:rPr>
          <w:tab/>
        </w:r>
        <w:r w:rsidR="007F1DC8" w:rsidRPr="007F1DC8">
          <w:rPr>
            <w:noProof/>
            <w:webHidden/>
            <w:sz w:val="24"/>
            <w:szCs w:val="24"/>
          </w:rPr>
          <w:fldChar w:fldCharType="begin"/>
        </w:r>
        <w:r w:rsidR="007F1DC8" w:rsidRPr="007F1DC8">
          <w:rPr>
            <w:noProof/>
            <w:webHidden/>
            <w:sz w:val="24"/>
            <w:szCs w:val="24"/>
          </w:rPr>
          <w:instrText xml:space="preserve"> PAGEREF _Toc232176391 \h </w:instrText>
        </w:r>
        <w:r w:rsidR="007F1DC8" w:rsidRPr="007F1DC8">
          <w:rPr>
            <w:noProof/>
            <w:webHidden/>
            <w:sz w:val="24"/>
            <w:szCs w:val="24"/>
          </w:rPr>
        </w:r>
        <w:r w:rsidR="007F1DC8" w:rsidRPr="007F1DC8">
          <w:rPr>
            <w:noProof/>
            <w:webHidden/>
            <w:sz w:val="24"/>
            <w:szCs w:val="24"/>
          </w:rPr>
          <w:fldChar w:fldCharType="separate"/>
        </w:r>
        <w:r w:rsidR="00C43DEA">
          <w:rPr>
            <w:noProof/>
            <w:webHidden/>
            <w:sz w:val="24"/>
            <w:szCs w:val="24"/>
          </w:rPr>
          <w:t>1</w:t>
        </w:r>
        <w:r w:rsidR="007F1DC8" w:rsidRPr="007F1DC8">
          <w:rPr>
            <w:noProof/>
            <w:webHidden/>
            <w:sz w:val="24"/>
            <w:szCs w:val="24"/>
          </w:rPr>
          <w:fldChar w:fldCharType="end"/>
        </w:r>
      </w:hyperlink>
    </w:p>
    <w:p w14:paraId="31BBEB97" w14:textId="7D5BBEE2"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392" w:history="1">
        <w:r w:rsidR="007F1DC8" w:rsidRPr="007F1DC8">
          <w:rPr>
            <w:rStyle w:val="Hyperlink"/>
            <w:noProof/>
            <w:szCs w:val="24"/>
            <w:lang w:eastAsia="en-GB"/>
          </w:rPr>
          <w:t>1.1.</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Eurojust</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_Toc232176392 \h </w:instrText>
        </w:r>
        <w:r w:rsidR="007F1DC8" w:rsidRPr="007F1DC8">
          <w:rPr>
            <w:noProof/>
            <w:webHidden/>
            <w:szCs w:val="24"/>
          </w:rPr>
        </w:r>
        <w:r w:rsidR="007F1DC8" w:rsidRPr="007F1DC8">
          <w:rPr>
            <w:noProof/>
            <w:webHidden/>
            <w:szCs w:val="24"/>
          </w:rPr>
          <w:fldChar w:fldCharType="separate"/>
        </w:r>
        <w:r w:rsidR="00C43DEA">
          <w:rPr>
            <w:noProof/>
            <w:webHidden/>
            <w:szCs w:val="24"/>
          </w:rPr>
          <w:t>1</w:t>
        </w:r>
        <w:r w:rsidR="007F1DC8" w:rsidRPr="007F1DC8">
          <w:rPr>
            <w:noProof/>
            <w:webHidden/>
            <w:szCs w:val="24"/>
          </w:rPr>
          <w:fldChar w:fldCharType="end"/>
        </w:r>
      </w:hyperlink>
    </w:p>
    <w:p w14:paraId="1149D3EE" w14:textId="5958E1FB"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393" w:history="1">
        <w:r w:rsidR="007F1DC8" w:rsidRPr="007F1DC8">
          <w:rPr>
            <w:rStyle w:val="Hyperlink"/>
            <w:noProof/>
            <w:szCs w:val="24"/>
            <w:lang w:eastAsia="fr-BE"/>
          </w:rPr>
          <w:t>1.2.</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lang w:eastAsia="fr-BE"/>
          </w:rPr>
          <w:t xml:space="preserve">Legal context: </w:t>
        </w:r>
        <w:r w:rsidR="007F1DC8" w:rsidRPr="007F1DC8">
          <w:rPr>
            <w:rStyle w:val="Hyperlink"/>
            <w:noProof/>
            <w:szCs w:val="24"/>
          </w:rPr>
          <w:t>the</w:t>
        </w:r>
        <w:r w:rsidR="007F1DC8" w:rsidRPr="007F1DC8">
          <w:rPr>
            <w:rStyle w:val="Hyperlink"/>
            <w:noProof/>
            <w:szCs w:val="24"/>
            <w:lang w:eastAsia="fr-BE"/>
          </w:rPr>
          <w:t xml:space="preserve"> Eurojust Regulation</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_Toc232176393 \h </w:instrText>
        </w:r>
        <w:r w:rsidR="007F1DC8" w:rsidRPr="007F1DC8">
          <w:rPr>
            <w:noProof/>
            <w:webHidden/>
            <w:szCs w:val="24"/>
          </w:rPr>
        </w:r>
        <w:r w:rsidR="007F1DC8" w:rsidRPr="007F1DC8">
          <w:rPr>
            <w:noProof/>
            <w:webHidden/>
            <w:szCs w:val="24"/>
          </w:rPr>
          <w:fldChar w:fldCharType="separate"/>
        </w:r>
        <w:r w:rsidR="00C43DEA">
          <w:rPr>
            <w:noProof/>
            <w:webHidden/>
            <w:szCs w:val="24"/>
          </w:rPr>
          <w:t>1</w:t>
        </w:r>
        <w:r w:rsidR="007F1DC8" w:rsidRPr="007F1DC8">
          <w:rPr>
            <w:noProof/>
            <w:webHidden/>
            <w:szCs w:val="24"/>
          </w:rPr>
          <w:fldChar w:fldCharType="end"/>
        </w:r>
      </w:hyperlink>
    </w:p>
    <w:p w14:paraId="5853FD4B" w14:textId="1E40385D"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394" w:history="1">
        <w:r w:rsidR="007F1DC8" w:rsidRPr="007F1DC8">
          <w:rPr>
            <w:rStyle w:val="Hyperlink"/>
            <w:noProof/>
            <w:szCs w:val="24"/>
            <w:lang w:eastAsia="fr-BE"/>
          </w:rPr>
          <w:t>1.3.</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Political</w:t>
        </w:r>
        <w:r w:rsidR="007F1DC8" w:rsidRPr="007F1DC8">
          <w:rPr>
            <w:rStyle w:val="Hyperlink"/>
            <w:noProof/>
            <w:szCs w:val="24"/>
            <w:lang w:eastAsia="fr-BE"/>
          </w:rPr>
          <w:t xml:space="preserve"> context</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_Toc232176394 \h </w:instrText>
        </w:r>
        <w:r w:rsidR="007F1DC8" w:rsidRPr="007F1DC8">
          <w:rPr>
            <w:noProof/>
            <w:webHidden/>
            <w:szCs w:val="24"/>
          </w:rPr>
        </w:r>
        <w:r w:rsidR="007F1DC8" w:rsidRPr="007F1DC8">
          <w:rPr>
            <w:noProof/>
            <w:webHidden/>
            <w:szCs w:val="24"/>
          </w:rPr>
          <w:fldChar w:fldCharType="separate"/>
        </w:r>
        <w:r w:rsidR="00C43DEA">
          <w:rPr>
            <w:noProof/>
            <w:webHidden/>
            <w:szCs w:val="24"/>
          </w:rPr>
          <w:t>2</w:t>
        </w:r>
        <w:r w:rsidR="007F1DC8" w:rsidRPr="007F1DC8">
          <w:rPr>
            <w:noProof/>
            <w:webHidden/>
            <w:szCs w:val="24"/>
          </w:rPr>
          <w:fldChar w:fldCharType="end"/>
        </w:r>
      </w:hyperlink>
    </w:p>
    <w:p w14:paraId="29290A0D" w14:textId="5A3B6531" w:rsidR="007F1DC8" w:rsidRPr="007F1DC8" w:rsidRDefault="005028E8" w:rsidP="003E111D">
      <w:pPr>
        <w:pStyle w:val="TOC1"/>
        <w:ind w:right="965"/>
        <w:rPr>
          <w:rFonts w:asciiTheme="minorHAnsi" w:eastAsiaTheme="minorEastAsia" w:hAnsiTheme="minorHAnsi" w:cstheme="minorBidi"/>
          <w:caps w:val="0"/>
          <w:noProof/>
          <w:kern w:val="2"/>
          <w:sz w:val="24"/>
          <w:szCs w:val="24"/>
          <w:lang w:val="en-IE" w:eastAsia="en-IE"/>
          <w14:ligatures w14:val="standardContextual"/>
        </w:rPr>
      </w:pPr>
      <w:hyperlink w:anchor="_Toc232176395" w:history="1">
        <w:r w:rsidR="007F1DC8" w:rsidRPr="007F1DC8">
          <w:rPr>
            <w:rStyle w:val="Hyperlink"/>
            <w:noProof/>
            <w:sz w:val="24"/>
            <w:szCs w:val="24"/>
          </w:rPr>
          <w:t>2.</w:t>
        </w:r>
        <w:r w:rsidR="007F1DC8" w:rsidRPr="007F1DC8">
          <w:rPr>
            <w:rFonts w:asciiTheme="minorHAnsi" w:eastAsiaTheme="minorEastAsia" w:hAnsiTheme="minorHAnsi" w:cstheme="minorBidi"/>
            <w:caps w:val="0"/>
            <w:noProof/>
            <w:kern w:val="2"/>
            <w:sz w:val="24"/>
            <w:szCs w:val="24"/>
            <w:lang w:val="en-IE" w:eastAsia="en-IE"/>
            <w14:ligatures w14:val="standardContextual"/>
          </w:rPr>
          <w:tab/>
        </w:r>
        <w:r w:rsidR="007F1DC8" w:rsidRPr="007F1DC8">
          <w:rPr>
            <w:rStyle w:val="Hyperlink"/>
            <w:noProof/>
            <w:sz w:val="24"/>
            <w:szCs w:val="24"/>
          </w:rPr>
          <w:t>Problem definition</w:t>
        </w:r>
        <w:r w:rsidR="007F1DC8" w:rsidRPr="007F1DC8">
          <w:rPr>
            <w:noProof/>
            <w:webHidden/>
            <w:sz w:val="24"/>
            <w:szCs w:val="24"/>
          </w:rPr>
          <w:tab/>
        </w:r>
        <w:r w:rsidR="007F1DC8" w:rsidRPr="007F1DC8">
          <w:rPr>
            <w:noProof/>
            <w:webHidden/>
            <w:sz w:val="24"/>
            <w:szCs w:val="24"/>
          </w:rPr>
          <w:fldChar w:fldCharType="begin"/>
        </w:r>
        <w:r w:rsidR="007F1DC8" w:rsidRPr="007F1DC8">
          <w:rPr>
            <w:noProof/>
            <w:webHidden/>
            <w:sz w:val="24"/>
            <w:szCs w:val="24"/>
          </w:rPr>
          <w:instrText xml:space="preserve"> PAGEREF _Toc232176395 \h </w:instrText>
        </w:r>
        <w:r w:rsidR="007F1DC8" w:rsidRPr="007F1DC8">
          <w:rPr>
            <w:noProof/>
            <w:webHidden/>
            <w:sz w:val="24"/>
            <w:szCs w:val="24"/>
          </w:rPr>
        </w:r>
        <w:r w:rsidR="007F1DC8" w:rsidRPr="007F1DC8">
          <w:rPr>
            <w:noProof/>
            <w:webHidden/>
            <w:sz w:val="24"/>
            <w:szCs w:val="24"/>
          </w:rPr>
          <w:fldChar w:fldCharType="separate"/>
        </w:r>
        <w:r w:rsidR="00C43DEA">
          <w:rPr>
            <w:noProof/>
            <w:webHidden/>
            <w:sz w:val="24"/>
            <w:szCs w:val="24"/>
          </w:rPr>
          <w:t>4</w:t>
        </w:r>
        <w:r w:rsidR="007F1DC8" w:rsidRPr="007F1DC8">
          <w:rPr>
            <w:noProof/>
            <w:webHidden/>
            <w:sz w:val="24"/>
            <w:szCs w:val="24"/>
          </w:rPr>
          <w:fldChar w:fldCharType="end"/>
        </w:r>
      </w:hyperlink>
    </w:p>
    <w:p w14:paraId="26736C77" w14:textId="7ED79508"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396" w:history="1">
        <w:r w:rsidR="007F1DC8" w:rsidRPr="007F1DC8">
          <w:rPr>
            <w:rStyle w:val="Hyperlink"/>
            <w:noProof/>
            <w:szCs w:val="24"/>
            <w:lang w:eastAsia="fr-BE"/>
          </w:rPr>
          <w:t>2.1.</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Suboptimal</w:t>
        </w:r>
        <w:r w:rsidR="007F1DC8" w:rsidRPr="007F1DC8">
          <w:rPr>
            <w:rStyle w:val="Hyperlink"/>
            <w:noProof/>
            <w:szCs w:val="24"/>
            <w:lang w:eastAsia="fr-BE"/>
          </w:rPr>
          <w:t xml:space="preserve"> efficiency of Eurojust’s internal organisation and processes</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_Toc232176396 \h </w:instrText>
        </w:r>
        <w:r w:rsidR="007F1DC8" w:rsidRPr="007F1DC8">
          <w:rPr>
            <w:noProof/>
            <w:webHidden/>
            <w:szCs w:val="24"/>
          </w:rPr>
        </w:r>
        <w:r w:rsidR="007F1DC8" w:rsidRPr="007F1DC8">
          <w:rPr>
            <w:noProof/>
            <w:webHidden/>
            <w:szCs w:val="24"/>
          </w:rPr>
          <w:fldChar w:fldCharType="separate"/>
        </w:r>
        <w:r w:rsidR="00C43DEA">
          <w:rPr>
            <w:noProof/>
            <w:webHidden/>
            <w:szCs w:val="24"/>
          </w:rPr>
          <w:t>5</w:t>
        </w:r>
        <w:r w:rsidR="007F1DC8" w:rsidRPr="007F1DC8">
          <w:rPr>
            <w:noProof/>
            <w:webHidden/>
            <w:szCs w:val="24"/>
          </w:rPr>
          <w:fldChar w:fldCharType="end"/>
        </w:r>
      </w:hyperlink>
    </w:p>
    <w:p w14:paraId="3514DF9B" w14:textId="733388D2"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397" w:history="1">
        <w:r w:rsidR="007F1DC8" w:rsidRPr="007F1DC8">
          <w:rPr>
            <w:rStyle w:val="Hyperlink"/>
            <w:noProof/>
          </w:rPr>
          <w:t>2.1.1. What is the problem?</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_Toc232176397 \h </w:instrText>
        </w:r>
        <w:r w:rsidR="007F1DC8" w:rsidRPr="007F1DC8">
          <w:rPr>
            <w:noProof/>
            <w:webHidden/>
          </w:rPr>
        </w:r>
        <w:r w:rsidR="007F1DC8" w:rsidRPr="007F1DC8">
          <w:rPr>
            <w:noProof/>
            <w:webHidden/>
          </w:rPr>
          <w:fldChar w:fldCharType="separate"/>
        </w:r>
        <w:r w:rsidR="00C43DEA">
          <w:rPr>
            <w:noProof/>
            <w:webHidden/>
          </w:rPr>
          <w:t>5</w:t>
        </w:r>
        <w:r w:rsidR="007F1DC8" w:rsidRPr="007F1DC8">
          <w:rPr>
            <w:noProof/>
            <w:webHidden/>
          </w:rPr>
          <w:fldChar w:fldCharType="end"/>
        </w:r>
      </w:hyperlink>
    </w:p>
    <w:p w14:paraId="7CD316FF" w14:textId="0765DC98"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398" w:history="1">
        <w:r w:rsidR="007F1DC8" w:rsidRPr="007F1DC8">
          <w:rPr>
            <w:rStyle w:val="Hyperlink"/>
            <w:noProof/>
          </w:rPr>
          <w:t>2.1.2. What are the problem drivers?</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_Toc232176398 \h </w:instrText>
        </w:r>
        <w:r w:rsidR="007F1DC8" w:rsidRPr="007F1DC8">
          <w:rPr>
            <w:noProof/>
            <w:webHidden/>
          </w:rPr>
        </w:r>
        <w:r w:rsidR="007F1DC8" w:rsidRPr="007F1DC8">
          <w:rPr>
            <w:noProof/>
            <w:webHidden/>
          </w:rPr>
          <w:fldChar w:fldCharType="separate"/>
        </w:r>
        <w:r w:rsidR="00C43DEA">
          <w:rPr>
            <w:noProof/>
            <w:webHidden/>
          </w:rPr>
          <w:t>6</w:t>
        </w:r>
        <w:r w:rsidR="007F1DC8" w:rsidRPr="007F1DC8">
          <w:rPr>
            <w:noProof/>
            <w:webHidden/>
          </w:rPr>
          <w:fldChar w:fldCharType="end"/>
        </w:r>
      </w:hyperlink>
    </w:p>
    <w:p w14:paraId="49261EBC" w14:textId="63DF9190"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399" w:history="1">
        <w:r w:rsidR="007F1DC8" w:rsidRPr="007F1DC8">
          <w:rPr>
            <w:rStyle w:val="Hyperlink"/>
            <w:noProof/>
            <w:szCs w:val="24"/>
          </w:rPr>
          <w:t>2.2.</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Limitations in Eurojust’s interaction with partners</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_Toc232176399 \h </w:instrText>
        </w:r>
        <w:r w:rsidR="007F1DC8" w:rsidRPr="007F1DC8">
          <w:rPr>
            <w:noProof/>
            <w:webHidden/>
            <w:szCs w:val="24"/>
          </w:rPr>
        </w:r>
        <w:r w:rsidR="007F1DC8" w:rsidRPr="007F1DC8">
          <w:rPr>
            <w:noProof/>
            <w:webHidden/>
            <w:szCs w:val="24"/>
          </w:rPr>
          <w:fldChar w:fldCharType="separate"/>
        </w:r>
        <w:r w:rsidR="00C43DEA">
          <w:rPr>
            <w:noProof/>
            <w:webHidden/>
            <w:szCs w:val="24"/>
          </w:rPr>
          <w:t>9</w:t>
        </w:r>
        <w:r w:rsidR="007F1DC8" w:rsidRPr="007F1DC8">
          <w:rPr>
            <w:noProof/>
            <w:webHidden/>
            <w:szCs w:val="24"/>
          </w:rPr>
          <w:fldChar w:fldCharType="end"/>
        </w:r>
      </w:hyperlink>
    </w:p>
    <w:p w14:paraId="5675F3ED" w14:textId="3ED1270D"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400" w:history="1">
        <w:r w:rsidR="007F1DC8" w:rsidRPr="007F1DC8">
          <w:rPr>
            <w:rStyle w:val="Hyperlink"/>
            <w:noProof/>
          </w:rPr>
          <w:t>2.2.1. What is the problem?</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_Toc232176400 \h </w:instrText>
        </w:r>
        <w:r w:rsidR="007F1DC8" w:rsidRPr="007F1DC8">
          <w:rPr>
            <w:noProof/>
            <w:webHidden/>
          </w:rPr>
        </w:r>
        <w:r w:rsidR="007F1DC8" w:rsidRPr="007F1DC8">
          <w:rPr>
            <w:noProof/>
            <w:webHidden/>
          </w:rPr>
          <w:fldChar w:fldCharType="separate"/>
        </w:r>
        <w:r w:rsidR="00C43DEA">
          <w:rPr>
            <w:noProof/>
            <w:webHidden/>
          </w:rPr>
          <w:t>9</w:t>
        </w:r>
        <w:r w:rsidR="007F1DC8" w:rsidRPr="007F1DC8">
          <w:rPr>
            <w:noProof/>
            <w:webHidden/>
          </w:rPr>
          <w:fldChar w:fldCharType="end"/>
        </w:r>
      </w:hyperlink>
    </w:p>
    <w:p w14:paraId="061BBEF1" w14:textId="74ADD96D"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401" w:history="1">
        <w:r w:rsidR="007F1DC8" w:rsidRPr="007F1DC8">
          <w:rPr>
            <w:rStyle w:val="Hyperlink"/>
            <w:noProof/>
          </w:rPr>
          <w:t>2.2.2. What are the problem drivers?</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_Toc232176401 \h </w:instrText>
        </w:r>
        <w:r w:rsidR="007F1DC8" w:rsidRPr="007F1DC8">
          <w:rPr>
            <w:noProof/>
            <w:webHidden/>
          </w:rPr>
        </w:r>
        <w:r w:rsidR="007F1DC8" w:rsidRPr="007F1DC8">
          <w:rPr>
            <w:noProof/>
            <w:webHidden/>
          </w:rPr>
          <w:fldChar w:fldCharType="separate"/>
        </w:r>
        <w:r w:rsidR="00C43DEA">
          <w:rPr>
            <w:noProof/>
            <w:webHidden/>
          </w:rPr>
          <w:t>10</w:t>
        </w:r>
        <w:r w:rsidR="007F1DC8" w:rsidRPr="007F1DC8">
          <w:rPr>
            <w:noProof/>
            <w:webHidden/>
          </w:rPr>
          <w:fldChar w:fldCharType="end"/>
        </w:r>
      </w:hyperlink>
    </w:p>
    <w:p w14:paraId="7178CFFB" w14:textId="28153B0A"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02" w:history="1">
        <w:r w:rsidR="007F1DC8" w:rsidRPr="007F1DC8">
          <w:rPr>
            <w:rStyle w:val="Hyperlink"/>
            <w:noProof/>
            <w:szCs w:val="24"/>
          </w:rPr>
          <w:t>2.3.</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How likely are the problems to persist (in absence of external intervention)?</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_Toc232176402 \h </w:instrText>
        </w:r>
        <w:r w:rsidR="007F1DC8" w:rsidRPr="007F1DC8">
          <w:rPr>
            <w:noProof/>
            <w:webHidden/>
            <w:szCs w:val="24"/>
          </w:rPr>
        </w:r>
        <w:r w:rsidR="007F1DC8" w:rsidRPr="007F1DC8">
          <w:rPr>
            <w:noProof/>
            <w:webHidden/>
            <w:szCs w:val="24"/>
          </w:rPr>
          <w:fldChar w:fldCharType="separate"/>
        </w:r>
        <w:r w:rsidR="00C43DEA">
          <w:rPr>
            <w:noProof/>
            <w:webHidden/>
            <w:szCs w:val="24"/>
          </w:rPr>
          <w:t>13</w:t>
        </w:r>
        <w:r w:rsidR="007F1DC8" w:rsidRPr="007F1DC8">
          <w:rPr>
            <w:noProof/>
            <w:webHidden/>
            <w:szCs w:val="24"/>
          </w:rPr>
          <w:fldChar w:fldCharType="end"/>
        </w:r>
      </w:hyperlink>
    </w:p>
    <w:p w14:paraId="42CFC55F" w14:textId="35593A18"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403" w:history="1">
        <w:r w:rsidR="007F1DC8" w:rsidRPr="007F1DC8">
          <w:rPr>
            <w:rStyle w:val="Hyperlink"/>
            <w:noProof/>
            <w:lang w:val="en-IE"/>
          </w:rPr>
          <w:t>2.3.1. Internal structural and governance limitations</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_Toc232176403 \h </w:instrText>
        </w:r>
        <w:r w:rsidR="007F1DC8" w:rsidRPr="007F1DC8">
          <w:rPr>
            <w:noProof/>
            <w:webHidden/>
          </w:rPr>
        </w:r>
        <w:r w:rsidR="007F1DC8" w:rsidRPr="007F1DC8">
          <w:rPr>
            <w:noProof/>
            <w:webHidden/>
          </w:rPr>
          <w:fldChar w:fldCharType="separate"/>
        </w:r>
        <w:r w:rsidR="00C43DEA">
          <w:rPr>
            <w:noProof/>
            <w:webHidden/>
          </w:rPr>
          <w:t>14</w:t>
        </w:r>
        <w:r w:rsidR="007F1DC8" w:rsidRPr="007F1DC8">
          <w:rPr>
            <w:noProof/>
            <w:webHidden/>
          </w:rPr>
          <w:fldChar w:fldCharType="end"/>
        </w:r>
      </w:hyperlink>
    </w:p>
    <w:p w14:paraId="37D3AAA6" w14:textId="692D5C06"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404" w:history="1">
        <w:r w:rsidR="007F1DC8" w:rsidRPr="007F1DC8">
          <w:rPr>
            <w:rStyle w:val="Hyperlink"/>
            <w:noProof/>
            <w:lang w:val="en-IE"/>
          </w:rPr>
          <w:t>2.3.2. External interaction and cooperation</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_Toc232176404 \h </w:instrText>
        </w:r>
        <w:r w:rsidR="007F1DC8" w:rsidRPr="007F1DC8">
          <w:rPr>
            <w:noProof/>
            <w:webHidden/>
          </w:rPr>
        </w:r>
        <w:r w:rsidR="007F1DC8" w:rsidRPr="007F1DC8">
          <w:rPr>
            <w:noProof/>
            <w:webHidden/>
          </w:rPr>
          <w:fldChar w:fldCharType="separate"/>
        </w:r>
        <w:r w:rsidR="00C43DEA">
          <w:rPr>
            <w:noProof/>
            <w:webHidden/>
          </w:rPr>
          <w:t>15</w:t>
        </w:r>
        <w:r w:rsidR="007F1DC8" w:rsidRPr="007F1DC8">
          <w:rPr>
            <w:noProof/>
            <w:webHidden/>
          </w:rPr>
          <w:fldChar w:fldCharType="end"/>
        </w:r>
      </w:hyperlink>
    </w:p>
    <w:p w14:paraId="4E4673AD" w14:textId="34AA2D37" w:rsidR="007F1DC8" w:rsidRPr="007F1DC8" w:rsidRDefault="005028E8" w:rsidP="003E111D">
      <w:pPr>
        <w:pStyle w:val="TOC1"/>
        <w:ind w:right="965"/>
        <w:rPr>
          <w:rFonts w:asciiTheme="minorHAnsi" w:eastAsiaTheme="minorEastAsia" w:hAnsiTheme="minorHAnsi" w:cstheme="minorBidi"/>
          <w:caps w:val="0"/>
          <w:noProof/>
          <w:kern w:val="2"/>
          <w:sz w:val="24"/>
          <w:szCs w:val="24"/>
          <w:lang w:val="en-IE" w:eastAsia="en-IE"/>
          <w14:ligatures w14:val="standardContextual"/>
        </w:rPr>
      </w:pPr>
      <w:hyperlink w:anchor="_Toc232176405" w:history="1">
        <w:r w:rsidR="007F1DC8" w:rsidRPr="007F1DC8">
          <w:rPr>
            <w:rStyle w:val="Hyperlink"/>
            <w:noProof/>
            <w:sz w:val="24"/>
            <w:szCs w:val="24"/>
          </w:rPr>
          <w:t>3.</w:t>
        </w:r>
        <w:r w:rsidR="007F1DC8" w:rsidRPr="007F1DC8">
          <w:rPr>
            <w:rFonts w:asciiTheme="minorHAnsi" w:eastAsiaTheme="minorEastAsia" w:hAnsiTheme="minorHAnsi" w:cstheme="minorBidi"/>
            <w:caps w:val="0"/>
            <w:noProof/>
            <w:kern w:val="2"/>
            <w:sz w:val="24"/>
            <w:szCs w:val="24"/>
            <w:lang w:val="en-IE" w:eastAsia="en-IE"/>
            <w14:ligatures w14:val="standardContextual"/>
          </w:rPr>
          <w:tab/>
        </w:r>
        <w:r w:rsidR="007F1DC8" w:rsidRPr="007F1DC8">
          <w:rPr>
            <w:rStyle w:val="Hyperlink"/>
            <w:noProof/>
            <w:sz w:val="24"/>
            <w:szCs w:val="24"/>
          </w:rPr>
          <w:t>Why should the EU act?</w:t>
        </w:r>
        <w:r w:rsidR="007F1DC8" w:rsidRPr="007F1DC8">
          <w:rPr>
            <w:noProof/>
            <w:webHidden/>
            <w:sz w:val="24"/>
            <w:szCs w:val="24"/>
          </w:rPr>
          <w:tab/>
        </w:r>
        <w:r w:rsidR="007F1DC8" w:rsidRPr="007F1DC8">
          <w:rPr>
            <w:noProof/>
            <w:webHidden/>
            <w:sz w:val="24"/>
            <w:szCs w:val="24"/>
          </w:rPr>
          <w:fldChar w:fldCharType="begin"/>
        </w:r>
        <w:r w:rsidR="007F1DC8" w:rsidRPr="007F1DC8">
          <w:rPr>
            <w:noProof/>
            <w:webHidden/>
            <w:sz w:val="24"/>
            <w:szCs w:val="24"/>
          </w:rPr>
          <w:instrText xml:space="preserve"> PAGEREF _Toc232176405 \h </w:instrText>
        </w:r>
        <w:r w:rsidR="007F1DC8" w:rsidRPr="007F1DC8">
          <w:rPr>
            <w:noProof/>
            <w:webHidden/>
            <w:sz w:val="24"/>
            <w:szCs w:val="24"/>
          </w:rPr>
        </w:r>
        <w:r w:rsidR="007F1DC8" w:rsidRPr="007F1DC8">
          <w:rPr>
            <w:noProof/>
            <w:webHidden/>
            <w:sz w:val="24"/>
            <w:szCs w:val="24"/>
          </w:rPr>
          <w:fldChar w:fldCharType="separate"/>
        </w:r>
        <w:r w:rsidR="00C43DEA">
          <w:rPr>
            <w:noProof/>
            <w:webHidden/>
            <w:sz w:val="24"/>
            <w:szCs w:val="24"/>
          </w:rPr>
          <w:t>15</w:t>
        </w:r>
        <w:r w:rsidR="007F1DC8" w:rsidRPr="007F1DC8">
          <w:rPr>
            <w:noProof/>
            <w:webHidden/>
            <w:sz w:val="24"/>
            <w:szCs w:val="24"/>
          </w:rPr>
          <w:fldChar w:fldCharType="end"/>
        </w:r>
      </w:hyperlink>
    </w:p>
    <w:p w14:paraId="7FD097B9" w14:textId="20C8B47A"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06" w:history="1">
        <w:r w:rsidR="007F1DC8" w:rsidRPr="007F1DC8">
          <w:rPr>
            <w:rStyle w:val="Hyperlink"/>
            <w:noProof/>
            <w:szCs w:val="24"/>
          </w:rPr>
          <w:t>3.1.</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Legal basis</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_Toc232176406 \h </w:instrText>
        </w:r>
        <w:r w:rsidR="007F1DC8" w:rsidRPr="007F1DC8">
          <w:rPr>
            <w:noProof/>
            <w:webHidden/>
            <w:szCs w:val="24"/>
          </w:rPr>
        </w:r>
        <w:r w:rsidR="007F1DC8" w:rsidRPr="007F1DC8">
          <w:rPr>
            <w:noProof/>
            <w:webHidden/>
            <w:szCs w:val="24"/>
          </w:rPr>
          <w:fldChar w:fldCharType="separate"/>
        </w:r>
        <w:r w:rsidR="00C43DEA">
          <w:rPr>
            <w:noProof/>
            <w:webHidden/>
            <w:szCs w:val="24"/>
          </w:rPr>
          <w:t>15</w:t>
        </w:r>
        <w:r w:rsidR="007F1DC8" w:rsidRPr="007F1DC8">
          <w:rPr>
            <w:noProof/>
            <w:webHidden/>
            <w:szCs w:val="24"/>
          </w:rPr>
          <w:fldChar w:fldCharType="end"/>
        </w:r>
      </w:hyperlink>
    </w:p>
    <w:p w14:paraId="00599949" w14:textId="45392601"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07" w:history="1">
        <w:r w:rsidR="007F1DC8" w:rsidRPr="007F1DC8">
          <w:rPr>
            <w:rStyle w:val="Hyperlink"/>
            <w:noProof/>
            <w:szCs w:val="24"/>
          </w:rPr>
          <w:t>3.2.</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Subsidiarity: Necessity of EU action</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_Toc232176407 \h </w:instrText>
        </w:r>
        <w:r w:rsidR="007F1DC8" w:rsidRPr="007F1DC8">
          <w:rPr>
            <w:noProof/>
            <w:webHidden/>
            <w:szCs w:val="24"/>
          </w:rPr>
        </w:r>
        <w:r w:rsidR="007F1DC8" w:rsidRPr="007F1DC8">
          <w:rPr>
            <w:noProof/>
            <w:webHidden/>
            <w:szCs w:val="24"/>
          </w:rPr>
          <w:fldChar w:fldCharType="separate"/>
        </w:r>
        <w:r w:rsidR="00C43DEA">
          <w:rPr>
            <w:noProof/>
            <w:webHidden/>
            <w:szCs w:val="24"/>
          </w:rPr>
          <w:t>16</w:t>
        </w:r>
        <w:r w:rsidR="007F1DC8" w:rsidRPr="007F1DC8">
          <w:rPr>
            <w:noProof/>
            <w:webHidden/>
            <w:szCs w:val="24"/>
          </w:rPr>
          <w:fldChar w:fldCharType="end"/>
        </w:r>
      </w:hyperlink>
    </w:p>
    <w:p w14:paraId="085A296A" w14:textId="43B45BCD"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08" w:history="1">
        <w:r w:rsidR="007F1DC8" w:rsidRPr="007F1DC8">
          <w:rPr>
            <w:rStyle w:val="Hyperlink"/>
            <w:noProof/>
            <w:szCs w:val="24"/>
          </w:rPr>
          <w:t>3.3.</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Subsidiarity: Added value of EU action</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_Toc232176408 \h </w:instrText>
        </w:r>
        <w:r w:rsidR="007F1DC8" w:rsidRPr="007F1DC8">
          <w:rPr>
            <w:noProof/>
            <w:webHidden/>
            <w:szCs w:val="24"/>
          </w:rPr>
        </w:r>
        <w:r w:rsidR="007F1DC8" w:rsidRPr="007F1DC8">
          <w:rPr>
            <w:noProof/>
            <w:webHidden/>
            <w:szCs w:val="24"/>
          </w:rPr>
          <w:fldChar w:fldCharType="separate"/>
        </w:r>
        <w:r w:rsidR="00C43DEA">
          <w:rPr>
            <w:noProof/>
            <w:webHidden/>
            <w:szCs w:val="24"/>
          </w:rPr>
          <w:t>16</w:t>
        </w:r>
        <w:r w:rsidR="007F1DC8" w:rsidRPr="007F1DC8">
          <w:rPr>
            <w:noProof/>
            <w:webHidden/>
            <w:szCs w:val="24"/>
          </w:rPr>
          <w:fldChar w:fldCharType="end"/>
        </w:r>
      </w:hyperlink>
    </w:p>
    <w:p w14:paraId="05F37B37" w14:textId="26DC064E" w:rsidR="007F1DC8" w:rsidRPr="007F1DC8" w:rsidRDefault="005028E8" w:rsidP="003E111D">
      <w:pPr>
        <w:pStyle w:val="TOC1"/>
        <w:ind w:right="965"/>
        <w:rPr>
          <w:rFonts w:asciiTheme="minorHAnsi" w:eastAsiaTheme="minorEastAsia" w:hAnsiTheme="minorHAnsi" w:cstheme="minorBidi"/>
          <w:caps w:val="0"/>
          <w:noProof/>
          <w:kern w:val="2"/>
          <w:sz w:val="24"/>
          <w:szCs w:val="24"/>
          <w:lang w:val="en-IE" w:eastAsia="en-IE"/>
          <w14:ligatures w14:val="standardContextual"/>
        </w:rPr>
      </w:pPr>
      <w:hyperlink w:anchor="_Toc232176409" w:history="1">
        <w:r w:rsidR="007F1DC8" w:rsidRPr="007F1DC8">
          <w:rPr>
            <w:rStyle w:val="Hyperlink"/>
            <w:noProof/>
            <w:sz w:val="24"/>
            <w:szCs w:val="24"/>
          </w:rPr>
          <w:t>4.</w:t>
        </w:r>
        <w:r w:rsidR="007F1DC8" w:rsidRPr="007F1DC8">
          <w:rPr>
            <w:rFonts w:asciiTheme="minorHAnsi" w:eastAsiaTheme="minorEastAsia" w:hAnsiTheme="minorHAnsi" w:cstheme="minorBidi"/>
            <w:caps w:val="0"/>
            <w:noProof/>
            <w:kern w:val="2"/>
            <w:sz w:val="24"/>
            <w:szCs w:val="24"/>
            <w:lang w:val="en-IE" w:eastAsia="en-IE"/>
            <w14:ligatures w14:val="standardContextual"/>
          </w:rPr>
          <w:tab/>
        </w:r>
        <w:r w:rsidR="007F1DC8" w:rsidRPr="007F1DC8">
          <w:rPr>
            <w:rStyle w:val="Hyperlink"/>
            <w:noProof/>
            <w:sz w:val="24"/>
            <w:szCs w:val="24"/>
          </w:rPr>
          <w:t>Objectives: What is to be achieved?</w:t>
        </w:r>
        <w:r w:rsidR="007F1DC8" w:rsidRPr="007F1DC8">
          <w:rPr>
            <w:noProof/>
            <w:webHidden/>
            <w:sz w:val="24"/>
            <w:szCs w:val="24"/>
          </w:rPr>
          <w:tab/>
        </w:r>
        <w:r w:rsidR="007F1DC8" w:rsidRPr="007F1DC8">
          <w:rPr>
            <w:noProof/>
            <w:webHidden/>
            <w:sz w:val="24"/>
            <w:szCs w:val="24"/>
          </w:rPr>
          <w:fldChar w:fldCharType="begin"/>
        </w:r>
        <w:r w:rsidR="007F1DC8" w:rsidRPr="007F1DC8">
          <w:rPr>
            <w:noProof/>
            <w:webHidden/>
            <w:sz w:val="24"/>
            <w:szCs w:val="24"/>
          </w:rPr>
          <w:instrText xml:space="preserve"> PAGEREF _Toc232176409 \h </w:instrText>
        </w:r>
        <w:r w:rsidR="007F1DC8" w:rsidRPr="007F1DC8">
          <w:rPr>
            <w:noProof/>
            <w:webHidden/>
            <w:sz w:val="24"/>
            <w:szCs w:val="24"/>
          </w:rPr>
        </w:r>
        <w:r w:rsidR="007F1DC8" w:rsidRPr="007F1DC8">
          <w:rPr>
            <w:noProof/>
            <w:webHidden/>
            <w:sz w:val="24"/>
            <w:szCs w:val="24"/>
          </w:rPr>
          <w:fldChar w:fldCharType="separate"/>
        </w:r>
        <w:r w:rsidR="00C43DEA">
          <w:rPr>
            <w:noProof/>
            <w:webHidden/>
            <w:sz w:val="24"/>
            <w:szCs w:val="24"/>
          </w:rPr>
          <w:t>17</w:t>
        </w:r>
        <w:r w:rsidR="007F1DC8" w:rsidRPr="007F1DC8">
          <w:rPr>
            <w:noProof/>
            <w:webHidden/>
            <w:sz w:val="24"/>
            <w:szCs w:val="24"/>
          </w:rPr>
          <w:fldChar w:fldCharType="end"/>
        </w:r>
      </w:hyperlink>
    </w:p>
    <w:p w14:paraId="68CA9535" w14:textId="01A60AAF"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10" w:history="1">
        <w:r w:rsidR="007F1DC8" w:rsidRPr="007F1DC8">
          <w:rPr>
            <w:rStyle w:val="Hyperlink"/>
            <w:noProof/>
            <w:szCs w:val="24"/>
          </w:rPr>
          <w:t>4.1.</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General objective</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_Toc232176410 \h </w:instrText>
        </w:r>
        <w:r w:rsidR="007F1DC8" w:rsidRPr="007F1DC8">
          <w:rPr>
            <w:noProof/>
            <w:webHidden/>
            <w:szCs w:val="24"/>
          </w:rPr>
        </w:r>
        <w:r w:rsidR="007F1DC8" w:rsidRPr="007F1DC8">
          <w:rPr>
            <w:noProof/>
            <w:webHidden/>
            <w:szCs w:val="24"/>
          </w:rPr>
          <w:fldChar w:fldCharType="separate"/>
        </w:r>
        <w:r w:rsidR="00C43DEA">
          <w:rPr>
            <w:noProof/>
            <w:webHidden/>
            <w:szCs w:val="24"/>
          </w:rPr>
          <w:t>17</w:t>
        </w:r>
        <w:r w:rsidR="007F1DC8" w:rsidRPr="007F1DC8">
          <w:rPr>
            <w:noProof/>
            <w:webHidden/>
            <w:szCs w:val="24"/>
          </w:rPr>
          <w:fldChar w:fldCharType="end"/>
        </w:r>
      </w:hyperlink>
    </w:p>
    <w:p w14:paraId="3ECAF197" w14:textId="14D90624"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11" w:history="1">
        <w:r w:rsidR="007F1DC8" w:rsidRPr="007F1DC8">
          <w:rPr>
            <w:rStyle w:val="Hyperlink"/>
            <w:noProof/>
            <w:szCs w:val="24"/>
            <w:lang w:val="en-IE"/>
          </w:rPr>
          <w:t>4.2.</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lang w:val="en-IE"/>
          </w:rPr>
          <w:t>Specific objectives</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_Toc232176411 \h </w:instrText>
        </w:r>
        <w:r w:rsidR="007F1DC8" w:rsidRPr="007F1DC8">
          <w:rPr>
            <w:noProof/>
            <w:webHidden/>
            <w:szCs w:val="24"/>
          </w:rPr>
        </w:r>
        <w:r w:rsidR="007F1DC8" w:rsidRPr="007F1DC8">
          <w:rPr>
            <w:noProof/>
            <w:webHidden/>
            <w:szCs w:val="24"/>
          </w:rPr>
          <w:fldChar w:fldCharType="separate"/>
        </w:r>
        <w:r w:rsidR="00C43DEA">
          <w:rPr>
            <w:noProof/>
            <w:webHidden/>
            <w:szCs w:val="24"/>
          </w:rPr>
          <w:t>17</w:t>
        </w:r>
        <w:r w:rsidR="007F1DC8" w:rsidRPr="007F1DC8">
          <w:rPr>
            <w:noProof/>
            <w:webHidden/>
            <w:szCs w:val="24"/>
          </w:rPr>
          <w:fldChar w:fldCharType="end"/>
        </w:r>
      </w:hyperlink>
    </w:p>
    <w:p w14:paraId="0AA310EA" w14:textId="352943F4" w:rsidR="007F1DC8" w:rsidRPr="007F1DC8" w:rsidRDefault="005028E8" w:rsidP="003E111D">
      <w:pPr>
        <w:pStyle w:val="TOC1"/>
        <w:ind w:right="965"/>
        <w:rPr>
          <w:rFonts w:asciiTheme="minorHAnsi" w:eastAsiaTheme="minorEastAsia" w:hAnsiTheme="minorHAnsi" w:cstheme="minorBidi"/>
          <w:caps w:val="0"/>
          <w:noProof/>
          <w:kern w:val="2"/>
          <w:sz w:val="24"/>
          <w:szCs w:val="24"/>
          <w:lang w:val="en-IE" w:eastAsia="en-IE"/>
          <w14:ligatures w14:val="standardContextual"/>
        </w:rPr>
      </w:pPr>
      <w:hyperlink w:anchor="_Toc232176412" w:history="1">
        <w:r w:rsidR="007F1DC8" w:rsidRPr="007F1DC8">
          <w:rPr>
            <w:rStyle w:val="Hyperlink"/>
            <w:noProof/>
            <w:sz w:val="24"/>
            <w:szCs w:val="24"/>
          </w:rPr>
          <w:t>5.</w:t>
        </w:r>
        <w:r w:rsidR="007F1DC8" w:rsidRPr="007F1DC8">
          <w:rPr>
            <w:rFonts w:asciiTheme="minorHAnsi" w:eastAsiaTheme="minorEastAsia" w:hAnsiTheme="minorHAnsi" w:cstheme="minorBidi"/>
            <w:caps w:val="0"/>
            <w:noProof/>
            <w:kern w:val="2"/>
            <w:sz w:val="24"/>
            <w:szCs w:val="24"/>
            <w:lang w:val="en-IE" w:eastAsia="en-IE"/>
            <w14:ligatures w14:val="standardContextual"/>
          </w:rPr>
          <w:tab/>
        </w:r>
        <w:r w:rsidR="007F1DC8" w:rsidRPr="007F1DC8">
          <w:rPr>
            <w:rStyle w:val="Hyperlink"/>
            <w:noProof/>
            <w:sz w:val="24"/>
            <w:szCs w:val="24"/>
          </w:rPr>
          <w:t>What are the available policy options?</w:t>
        </w:r>
        <w:r w:rsidR="007F1DC8" w:rsidRPr="007F1DC8">
          <w:rPr>
            <w:noProof/>
            <w:webHidden/>
            <w:sz w:val="24"/>
            <w:szCs w:val="24"/>
          </w:rPr>
          <w:tab/>
        </w:r>
        <w:r w:rsidR="007F1DC8" w:rsidRPr="007F1DC8">
          <w:rPr>
            <w:noProof/>
            <w:webHidden/>
            <w:sz w:val="24"/>
            <w:szCs w:val="24"/>
          </w:rPr>
          <w:fldChar w:fldCharType="begin"/>
        </w:r>
        <w:r w:rsidR="007F1DC8" w:rsidRPr="007F1DC8">
          <w:rPr>
            <w:noProof/>
            <w:webHidden/>
            <w:sz w:val="24"/>
            <w:szCs w:val="24"/>
          </w:rPr>
          <w:instrText xml:space="preserve"> PAGEREF _Toc232176412 \h </w:instrText>
        </w:r>
        <w:r w:rsidR="007F1DC8" w:rsidRPr="007F1DC8">
          <w:rPr>
            <w:noProof/>
            <w:webHidden/>
            <w:sz w:val="24"/>
            <w:szCs w:val="24"/>
          </w:rPr>
        </w:r>
        <w:r w:rsidR="007F1DC8" w:rsidRPr="007F1DC8">
          <w:rPr>
            <w:noProof/>
            <w:webHidden/>
            <w:sz w:val="24"/>
            <w:szCs w:val="24"/>
          </w:rPr>
          <w:fldChar w:fldCharType="separate"/>
        </w:r>
        <w:r w:rsidR="00C43DEA">
          <w:rPr>
            <w:noProof/>
            <w:webHidden/>
            <w:sz w:val="24"/>
            <w:szCs w:val="24"/>
          </w:rPr>
          <w:t>18</w:t>
        </w:r>
        <w:r w:rsidR="007F1DC8" w:rsidRPr="007F1DC8">
          <w:rPr>
            <w:noProof/>
            <w:webHidden/>
            <w:sz w:val="24"/>
            <w:szCs w:val="24"/>
          </w:rPr>
          <w:fldChar w:fldCharType="end"/>
        </w:r>
      </w:hyperlink>
    </w:p>
    <w:p w14:paraId="2CCC996E" w14:textId="00BA13BC"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13" w:history="1">
        <w:r w:rsidR="007F1DC8" w:rsidRPr="007F1DC8">
          <w:rPr>
            <w:rStyle w:val="Hyperlink"/>
            <w:noProof/>
            <w:szCs w:val="24"/>
          </w:rPr>
          <w:t>5.1.</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What is the baseline from which the options are assessed?</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_Toc232176413 \h </w:instrText>
        </w:r>
        <w:r w:rsidR="007F1DC8" w:rsidRPr="007F1DC8">
          <w:rPr>
            <w:noProof/>
            <w:webHidden/>
            <w:szCs w:val="24"/>
          </w:rPr>
        </w:r>
        <w:r w:rsidR="007F1DC8" w:rsidRPr="007F1DC8">
          <w:rPr>
            <w:noProof/>
            <w:webHidden/>
            <w:szCs w:val="24"/>
          </w:rPr>
          <w:fldChar w:fldCharType="separate"/>
        </w:r>
        <w:r w:rsidR="00C43DEA">
          <w:rPr>
            <w:noProof/>
            <w:webHidden/>
            <w:szCs w:val="24"/>
          </w:rPr>
          <w:t>19</w:t>
        </w:r>
        <w:r w:rsidR="007F1DC8" w:rsidRPr="007F1DC8">
          <w:rPr>
            <w:noProof/>
            <w:webHidden/>
            <w:szCs w:val="24"/>
          </w:rPr>
          <w:fldChar w:fldCharType="end"/>
        </w:r>
      </w:hyperlink>
    </w:p>
    <w:p w14:paraId="4026E22F" w14:textId="26C7E7ED"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14" w:history="1">
        <w:r w:rsidR="007F1DC8" w:rsidRPr="007F1DC8">
          <w:rPr>
            <w:rStyle w:val="Hyperlink"/>
            <w:noProof/>
            <w:szCs w:val="24"/>
          </w:rPr>
          <w:t>5.2.</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Description of the policy options per specific objective</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_Toc232176414 \h </w:instrText>
        </w:r>
        <w:r w:rsidR="007F1DC8" w:rsidRPr="007F1DC8">
          <w:rPr>
            <w:noProof/>
            <w:webHidden/>
            <w:szCs w:val="24"/>
          </w:rPr>
        </w:r>
        <w:r w:rsidR="007F1DC8" w:rsidRPr="007F1DC8">
          <w:rPr>
            <w:noProof/>
            <w:webHidden/>
            <w:szCs w:val="24"/>
          </w:rPr>
          <w:fldChar w:fldCharType="separate"/>
        </w:r>
        <w:r w:rsidR="00C43DEA">
          <w:rPr>
            <w:noProof/>
            <w:webHidden/>
            <w:szCs w:val="24"/>
          </w:rPr>
          <w:t>21</w:t>
        </w:r>
        <w:r w:rsidR="007F1DC8" w:rsidRPr="007F1DC8">
          <w:rPr>
            <w:noProof/>
            <w:webHidden/>
            <w:szCs w:val="24"/>
          </w:rPr>
          <w:fldChar w:fldCharType="end"/>
        </w:r>
      </w:hyperlink>
    </w:p>
    <w:p w14:paraId="2EBFFB05" w14:textId="0A01BD05"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415" w:history="1">
        <w:r w:rsidR="007F1DC8" w:rsidRPr="007F1DC8">
          <w:rPr>
            <w:rStyle w:val="Hyperlink"/>
            <w:noProof/>
          </w:rPr>
          <w:t>5.2.1.</w:t>
        </w:r>
        <w:r w:rsidR="007F1DC8" w:rsidRPr="007F1DC8">
          <w:rPr>
            <w:rFonts w:asciiTheme="minorHAnsi" w:eastAsiaTheme="minorEastAsia" w:hAnsiTheme="minorHAnsi" w:cstheme="minorBidi"/>
            <w:noProof/>
            <w:kern w:val="2"/>
            <w:lang w:val="en-IE" w:eastAsia="en-IE"/>
            <w14:ligatures w14:val="standardContextual"/>
          </w:rPr>
          <w:tab/>
        </w:r>
        <w:r w:rsidR="007F1DC8" w:rsidRPr="007F1DC8">
          <w:rPr>
            <w:rStyle w:val="Hyperlink"/>
            <w:noProof/>
          </w:rPr>
          <w:t>Specific Objective 1: Strengthen Eurojust’s Internal Functioning, Governance and Operational Performance</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_Toc232176415 \h </w:instrText>
        </w:r>
        <w:r w:rsidR="007F1DC8" w:rsidRPr="007F1DC8">
          <w:rPr>
            <w:noProof/>
            <w:webHidden/>
          </w:rPr>
        </w:r>
        <w:r w:rsidR="007F1DC8" w:rsidRPr="007F1DC8">
          <w:rPr>
            <w:noProof/>
            <w:webHidden/>
          </w:rPr>
          <w:fldChar w:fldCharType="separate"/>
        </w:r>
        <w:r w:rsidR="00C43DEA">
          <w:rPr>
            <w:noProof/>
            <w:webHidden/>
          </w:rPr>
          <w:t>22</w:t>
        </w:r>
        <w:r w:rsidR="007F1DC8" w:rsidRPr="007F1DC8">
          <w:rPr>
            <w:noProof/>
            <w:webHidden/>
          </w:rPr>
          <w:fldChar w:fldCharType="end"/>
        </w:r>
      </w:hyperlink>
    </w:p>
    <w:p w14:paraId="160DAF68" w14:textId="1571B53B" w:rsidR="007F1DC8" w:rsidRPr="007F1DC8" w:rsidRDefault="005028E8" w:rsidP="003E111D">
      <w:pPr>
        <w:pStyle w:val="TOC4"/>
        <w:ind w:right="965"/>
        <w:rPr>
          <w:rFonts w:asciiTheme="minorHAnsi" w:eastAsiaTheme="minorEastAsia" w:hAnsiTheme="minorHAnsi" w:cstheme="minorBidi"/>
          <w:noProof/>
          <w:kern w:val="2"/>
          <w:lang w:val="en-IE" w:eastAsia="en-IE"/>
          <w14:ligatures w14:val="standardContextual"/>
        </w:rPr>
      </w:pPr>
      <w:hyperlink w:anchor="_Toc232176416" w:history="1">
        <w:r w:rsidR="007F1DC8" w:rsidRPr="007F1DC8">
          <w:rPr>
            <w:rStyle w:val="Hyperlink"/>
            <w:noProof/>
          </w:rPr>
          <w:t>5.2.1.1</w:t>
        </w:r>
        <w:r w:rsidR="007F1DC8" w:rsidRPr="007F1DC8">
          <w:rPr>
            <w:rFonts w:asciiTheme="minorHAnsi" w:eastAsiaTheme="minorEastAsia" w:hAnsiTheme="minorHAnsi" w:cstheme="minorBidi"/>
            <w:noProof/>
            <w:kern w:val="2"/>
            <w:lang w:val="en-IE" w:eastAsia="en-IE"/>
            <w14:ligatures w14:val="standardContextual"/>
          </w:rPr>
          <w:tab/>
        </w:r>
        <w:r w:rsidR="007F1DC8" w:rsidRPr="007F1DC8">
          <w:rPr>
            <w:rStyle w:val="Hyperlink"/>
            <w:noProof/>
          </w:rPr>
          <w:t>Area of intervention A. Extending the scope of material competences to face the new judicial landscape</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_Toc232176416 \h </w:instrText>
        </w:r>
        <w:r w:rsidR="007F1DC8" w:rsidRPr="007F1DC8">
          <w:rPr>
            <w:noProof/>
            <w:webHidden/>
          </w:rPr>
        </w:r>
        <w:r w:rsidR="007F1DC8" w:rsidRPr="007F1DC8">
          <w:rPr>
            <w:noProof/>
            <w:webHidden/>
          </w:rPr>
          <w:fldChar w:fldCharType="separate"/>
        </w:r>
        <w:r w:rsidR="00C43DEA">
          <w:rPr>
            <w:noProof/>
            <w:webHidden/>
          </w:rPr>
          <w:t>23</w:t>
        </w:r>
        <w:r w:rsidR="007F1DC8" w:rsidRPr="007F1DC8">
          <w:rPr>
            <w:noProof/>
            <w:webHidden/>
          </w:rPr>
          <w:fldChar w:fldCharType="end"/>
        </w:r>
      </w:hyperlink>
    </w:p>
    <w:p w14:paraId="260EF24A" w14:textId="79EDE9BA" w:rsidR="007F1DC8" w:rsidRPr="007F1DC8" w:rsidRDefault="005028E8" w:rsidP="003E111D">
      <w:pPr>
        <w:pStyle w:val="TOC4"/>
        <w:ind w:right="965"/>
        <w:rPr>
          <w:rFonts w:asciiTheme="minorHAnsi" w:eastAsiaTheme="minorEastAsia" w:hAnsiTheme="minorHAnsi" w:cstheme="minorBidi"/>
          <w:noProof/>
          <w:kern w:val="2"/>
          <w:lang w:val="en-IE" w:eastAsia="en-IE"/>
          <w14:ligatures w14:val="standardContextual"/>
        </w:rPr>
      </w:pPr>
      <w:hyperlink w:anchor="_Toc232176417" w:history="1">
        <w:r w:rsidR="007F1DC8" w:rsidRPr="007F1DC8">
          <w:rPr>
            <w:rStyle w:val="Hyperlink"/>
            <w:noProof/>
          </w:rPr>
          <w:t>5.2.1.2</w:t>
        </w:r>
        <w:r w:rsidR="007F1DC8" w:rsidRPr="007F1DC8">
          <w:rPr>
            <w:rFonts w:asciiTheme="minorHAnsi" w:eastAsiaTheme="minorEastAsia" w:hAnsiTheme="minorHAnsi" w:cstheme="minorBidi"/>
            <w:noProof/>
            <w:kern w:val="2"/>
            <w:lang w:val="en-IE" w:eastAsia="en-IE"/>
            <w14:ligatures w14:val="standardContextual"/>
          </w:rPr>
          <w:tab/>
        </w:r>
        <w:r w:rsidR="007F1DC8" w:rsidRPr="007F1DC8">
          <w:rPr>
            <w:rStyle w:val="Hyperlink"/>
            <w:noProof/>
          </w:rPr>
          <w:t>Area of intervention B. Harmonising Member State implementation of the EJR, including on allocation of cases</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_Toc232176417 \h </w:instrText>
        </w:r>
        <w:r w:rsidR="007F1DC8" w:rsidRPr="007F1DC8">
          <w:rPr>
            <w:noProof/>
            <w:webHidden/>
          </w:rPr>
        </w:r>
        <w:r w:rsidR="007F1DC8" w:rsidRPr="007F1DC8">
          <w:rPr>
            <w:noProof/>
            <w:webHidden/>
          </w:rPr>
          <w:fldChar w:fldCharType="separate"/>
        </w:r>
        <w:r w:rsidR="00C43DEA">
          <w:rPr>
            <w:noProof/>
            <w:webHidden/>
          </w:rPr>
          <w:t>24</w:t>
        </w:r>
        <w:r w:rsidR="007F1DC8" w:rsidRPr="007F1DC8">
          <w:rPr>
            <w:noProof/>
            <w:webHidden/>
          </w:rPr>
          <w:fldChar w:fldCharType="end"/>
        </w:r>
      </w:hyperlink>
    </w:p>
    <w:p w14:paraId="2671BBA1" w14:textId="3E5C5ACD" w:rsidR="007F1DC8" w:rsidRPr="007F1DC8" w:rsidRDefault="005028E8" w:rsidP="003E111D">
      <w:pPr>
        <w:pStyle w:val="TOC4"/>
        <w:ind w:right="965"/>
        <w:rPr>
          <w:rFonts w:asciiTheme="minorHAnsi" w:eastAsiaTheme="minorEastAsia" w:hAnsiTheme="minorHAnsi" w:cstheme="minorBidi"/>
          <w:noProof/>
          <w:kern w:val="2"/>
          <w:lang w:val="en-IE" w:eastAsia="en-IE"/>
          <w14:ligatures w14:val="standardContextual"/>
        </w:rPr>
      </w:pPr>
      <w:hyperlink w:anchor="_Toc232176418" w:history="1">
        <w:r w:rsidR="007F1DC8" w:rsidRPr="007F1DC8">
          <w:rPr>
            <w:rStyle w:val="Hyperlink"/>
            <w:noProof/>
          </w:rPr>
          <w:t>5.2.1.3</w:t>
        </w:r>
        <w:r w:rsidR="007F1DC8" w:rsidRPr="007F1DC8">
          <w:rPr>
            <w:rFonts w:asciiTheme="minorHAnsi" w:eastAsiaTheme="minorEastAsia" w:hAnsiTheme="minorHAnsi" w:cstheme="minorBidi"/>
            <w:noProof/>
            <w:kern w:val="2"/>
            <w:lang w:val="en-IE" w:eastAsia="en-IE"/>
            <w14:ligatures w14:val="standardContextual"/>
          </w:rPr>
          <w:tab/>
        </w:r>
        <w:r w:rsidR="007F1DC8" w:rsidRPr="007F1DC8">
          <w:rPr>
            <w:rStyle w:val="Hyperlink"/>
            <w:noProof/>
          </w:rPr>
          <w:t>Area of intervention C. Establishing a streamlined, coherent and role-clear governance system that accelerates decision-making</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_Toc232176418 \h </w:instrText>
        </w:r>
        <w:r w:rsidR="007F1DC8" w:rsidRPr="007F1DC8">
          <w:rPr>
            <w:noProof/>
            <w:webHidden/>
          </w:rPr>
        </w:r>
        <w:r w:rsidR="007F1DC8" w:rsidRPr="007F1DC8">
          <w:rPr>
            <w:noProof/>
            <w:webHidden/>
          </w:rPr>
          <w:fldChar w:fldCharType="separate"/>
        </w:r>
        <w:r w:rsidR="00C43DEA">
          <w:rPr>
            <w:noProof/>
            <w:webHidden/>
          </w:rPr>
          <w:t>25</w:t>
        </w:r>
        <w:r w:rsidR="007F1DC8" w:rsidRPr="007F1DC8">
          <w:rPr>
            <w:noProof/>
            <w:webHidden/>
          </w:rPr>
          <w:fldChar w:fldCharType="end"/>
        </w:r>
      </w:hyperlink>
    </w:p>
    <w:p w14:paraId="7437D28C" w14:textId="3E734CE1"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419" w:history="1">
        <w:r w:rsidR="007F1DC8" w:rsidRPr="007F1DC8">
          <w:rPr>
            <w:rStyle w:val="Hyperlink"/>
            <w:noProof/>
          </w:rPr>
          <w:t>5.2.2.</w:t>
        </w:r>
        <w:r w:rsidR="007F1DC8" w:rsidRPr="007F1DC8">
          <w:rPr>
            <w:rFonts w:asciiTheme="minorHAnsi" w:eastAsiaTheme="minorEastAsia" w:hAnsiTheme="minorHAnsi" w:cstheme="minorBidi"/>
            <w:noProof/>
            <w:kern w:val="2"/>
            <w:lang w:val="en-IE" w:eastAsia="en-IE"/>
            <w14:ligatures w14:val="standardContextual"/>
          </w:rPr>
          <w:tab/>
        </w:r>
        <w:r w:rsidR="007F1DC8" w:rsidRPr="007F1DC8">
          <w:rPr>
            <w:rStyle w:val="Hyperlink"/>
            <w:noProof/>
          </w:rPr>
          <w:t>Specific Objective 2: Achieve optimal operational integration with Member States, EU partners and third countries</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_Toc232176419 \h </w:instrText>
        </w:r>
        <w:r w:rsidR="007F1DC8" w:rsidRPr="007F1DC8">
          <w:rPr>
            <w:noProof/>
            <w:webHidden/>
          </w:rPr>
        </w:r>
        <w:r w:rsidR="007F1DC8" w:rsidRPr="007F1DC8">
          <w:rPr>
            <w:noProof/>
            <w:webHidden/>
          </w:rPr>
          <w:fldChar w:fldCharType="separate"/>
        </w:r>
        <w:r w:rsidR="00C43DEA">
          <w:rPr>
            <w:noProof/>
            <w:webHidden/>
          </w:rPr>
          <w:t>27</w:t>
        </w:r>
        <w:r w:rsidR="007F1DC8" w:rsidRPr="007F1DC8">
          <w:rPr>
            <w:noProof/>
            <w:webHidden/>
          </w:rPr>
          <w:fldChar w:fldCharType="end"/>
        </w:r>
      </w:hyperlink>
    </w:p>
    <w:p w14:paraId="1C953481" w14:textId="3F44E34D" w:rsidR="007F1DC8" w:rsidRPr="007F1DC8" w:rsidRDefault="005028E8" w:rsidP="003E111D">
      <w:pPr>
        <w:pStyle w:val="TOC4"/>
        <w:ind w:right="965"/>
        <w:rPr>
          <w:rFonts w:asciiTheme="minorHAnsi" w:eastAsiaTheme="minorEastAsia" w:hAnsiTheme="minorHAnsi" w:cstheme="minorBidi"/>
          <w:noProof/>
          <w:kern w:val="2"/>
          <w:lang w:val="en-IE" w:eastAsia="en-IE"/>
          <w14:ligatures w14:val="standardContextual"/>
        </w:rPr>
      </w:pPr>
      <w:hyperlink w:anchor="_Toc232176420" w:history="1">
        <w:r w:rsidR="007F1DC8" w:rsidRPr="007F1DC8">
          <w:rPr>
            <w:rStyle w:val="Hyperlink"/>
            <w:noProof/>
            <w:lang w:val="en-IE"/>
          </w:rPr>
          <w:t>5.2.2.1</w:t>
        </w:r>
        <w:r w:rsidR="007F1DC8" w:rsidRPr="007F1DC8">
          <w:rPr>
            <w:rFonts w:asciiTheme="minorHAnsi" w:eastAsiaTheme="minorEastAsia" w:hAnsiTheme="minorHAnsi" w:cstheme="minorBidi"/>
            <w:noProof/>
            <w:kern w:val="2"/>
            <w:lang w:val="en-IE" w:eastAsia="en-IE"/>
            <w14:ligatures w14:val="standardContextual"/>
          </w:rPr>
          <w:tab/>
        </w:r>
        <w:r w:rsidR="007F1DC8" w:rsidRPr="007F1DC8">
          <w:rPr>
            <w:rStyle w:val="Hyperlink"/>
            <w:noProof/>
            <w:lang w:val="en-IE"/>
          </w:rPr>
          <w:t>Area of intervention D. Fostering and strengthening structured operational cooperation with Europol</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_Toc232176420 \h </w:instrText>
        </w:r>
        <w:r w:rsidR="007F1DC8" w:rsidRPr="007F1DC8">
          <w:rPr>
            <w:noProof/>
            <w:webHidden/>
          </w:rPr>
        </w:r>
        <w:r w:rsidR="007F1DC8" w:rsidRPr="007F1DC8">
          <w:rPr>
            <w:noProof/>
            <w:webHidden/>
          </w:rPr>
          <w:fldChar w:fldCharType="separate"/>
        </w:r>
        <w:r w:rsidR="00C43DEA">
          <w:rPr>
            <w:noProof/>
            <w:webHidden/>
          </w:rPr>
          <w:t>28</w:t>
        </w:r>
        <w:r w:rsidR="007F1DC8" w:rsidRPr="007F1DC8">
          <w:rPr>
            <w:noProof/>
            <w:webHidden/>
          </w:rPr>
          <w:fldChar w:fldCharType="end"/>
        </w:r>
      </w:hyperlink>
    </w:p>
    <w:p w14:paraId="230C0538" w14:textId="77786E75" w:rsidR="007F1DC8" w:rsidRPr="007F1DC8" w:rsidRDefault="005028E8" w:rsidP="003E111D">
      <w:pPr>
        <w:pStyle w:val="TOC4"/>
        <w:ind w:right="965"/>
        <w:rPr>
          <w:rFonts w:asciiTheme="minorHAnsi" w:eastAsiaTheme="minorEastAsia" w:hAnsiTheme="minorHAnsi" w:cstheme="minorBidi"/>
          <w:noProof/>
          <w:kern w:val="2"/>
          <w:lang w:val="en-IE" w:eastAsia="en-IE"/>
          <w14:ligatures w14:val="standardContextual"/>
        </w:rPr>
      </w:pPr>
      <w:hyperlink w:anchor="_Toc232176421" w:history="1">
        <w:r w:rsidR="007F1DC8" w:rsidRPr="007F1DC8">
          <w:rPr>
            <w:rStyle w:val="Hyperlink"/>
            <w:noProof/>
          </w:rPr>
          <w:t>5.2.2.2</w:t>
        </w:r>
        <w:r w:rsidR="007F1DC8" w:rsidRPr="007F1DC8">
          <w:rPr>
            <w:rFonts w:asciiTheme="minorHAnsi" w:eastAsiaTheme="minorEastAsia" w:hAnsiTheme="minorHAnsi" w:cstheme="minorBidi"/>
            <w:noProof/>
            <w:kern w:val="2"/>
            <w:lang w:val="en-IE" w:eastAsia="en-IE"/>
            <w14:ligatures w14:val="standardContextual"/>
          </w:rPr>
          <w:tab/>
        </w:r>
        <w:r w:rsidR="007F1DC8" w:rsidRPr="007F1DC8">
          <w:rPr>
            <w:rStyle w:val="Hyperlink"/>
            <w:noProof/>
          </w:rPr>
          <w:t>Area of intervention E. Promoting fully developed cooperation with the</w:t>
        </w:r>
        <w:r w:rsidR="007F1DC8" w:rsidRPr="007F1DC8">
          <w:rPr>
            <w:rStyle w:val="Hyperlink"/>
            <w:rFonts w:asciiTheme="majorBidi" w:hAnsiTheme="majorBidi" w:cstheme="majorBidi"/>
            <w:noProof/>
          </w:rPr>
          <w:t xml:space="preserve"> EPPO</w:t>
        </w:r>
        <w:r w:rsidR="007F1DC8" w:rsidRPr="007F1DC8">
          <w:rPr>
            <w:noProof/>
            <w:webHidden/>
          </w:rPr>
          <w:tab/>
        </w:r>
        <w:r w:rsidR="003E111D">
          <w:rPr>
            <w:noProof/>
            <w:webHidden/>
          </w:rPr>
          <w:tab/>
        </w:r>
        <w:r w:rsidR="007F1DC8" w:rsidRPr="007F1DC8">
          <w:rPr>
            <w:noProof/>
            <w:webHidden/>
          </w:rPr>
          <w:fldChar w:fldCharType="begin"/>
        </w:r>
        <w:r w:rsidR="007F1DC8" w:rsidRPr="007F1DC8">
          <w:rPr>
            <w:noProof/>
            <w:webHidden/>
          </w:rPr>
          <w:instrText xml:space="preserve"> PAGEREF _Toc232176421 \h </w:instrText>
        </w:r>
        <w:r w:rsidR="007F1DC8" w:rsidRPr="007F1DC8">
          <w:rPr>
            <w:noProof/>
            <w:webHidden/>
          </w:rPr>
        </w:r>
        <w:r w:rsidR="007F1DC8" w:rsidRPr="007F1DC8">
          <w:rPr>
            <w:noProof/>
            <w:webHidden/>
          </w:rPr>
          <w:fldChar w:fldCharType="separate"/>
        </w:r>
        <w:r w:rsidR="00C43DEA">
          <w:rPr>
            <w:noProof/>
            <w:webHidden/>
          </w:rPr>
          <w:t>30</w:t>
        </w:r>
        <w:r w:rsidR="007F1DC8" w:rsidRPr="007F1DC8">
          <w:rPr>
            <w:noProof/>
            <w:webHidden/>
          </w:rPr>
          <w:fldChar w:fldCharType="end"/>
        </w:r>
      </w:hyperlink>
    </w:p>
    <w:p w14:paraId="1F30EC58" w14:textId="426DE2F4" w:rsidR="007F1DC8" w:rsidRPr="007F1DC8" w:rsidRDefault="005028E8" w:rsidP="003E111D">
      <w:pPr>
        <w:pStyle w:val="TOC4"/>
        <w:ind w:right="965"/>
        <w:rPr>
          <w:rFonts w:asciiTheme="minorHAnsi" w:eastAsiaTheme="minorEastAsia" w:hAnsiTheme="minorHAnsi" w:cstheme="minorBidi"/>
          <w:noProof/>
          <w:kern w:val="2"/>
          <w:lang w:val="en-IE" w:eastAsia="en-IE"/>
          <w14:ligatures w14:val="standardContextual"/>
        </w:rPr>
      </w:pPr>
      <w:hyperlink w:anchor="_Toc232176422" w:history="1">
        <w:r w:rsidR="007F1DC8" w:rsidRPr="007F1DC8">
          <w:rPr>
            <w:rStyle w:val="Hyperlink"/>
            <w:noProof/>
          </w:rPr>
          <w:t>5.2.2.3</w:t>
        </w:r>
        <w:r w:rsidR="007F1DC8" w:rsidRPr="007F1DC8">
          <w:rPr>
            <w:rFonts w:asciiTheme="minorHAnsi" w:eastAsiaTheme="minorEastAsia" w:hAnsiTheme="minorHAnsi" w:cstheme="minorBidi"/>
            <w:noProof/>
            <w:kern w:val="2"/>
            <w:lang w:val="en-IE" w:eastAsia="en-IE"/>
            <w14:ligatures w14:val="standardContextual"/>
          </w:rPr>
          <w:tab/>
        </w:r>
        <w:r w:rsidR="007F1DC8" w:rsidRPr="007F1DC8">
          <w:rPr>
            <w:rStyle w:val="Hyperlink"/>
            <w:noProof/>
          </w:rPr>
          <w:t>Area of intervention F. Consolidating cooperation with third countries and international organisations</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_Toc232176422 \h </w:instrText>
        </w:r>
        <w:r w:rsidR="007F1DC8" w:rsidRPr="007F1DC8">
          <w:rPr>
            <w:noProof/>
            <w:webHidden/>
          </w:rPr>
        </w:r>
        <w:r w:rsidR="007F1DC8" w:rsidRPr="007F1DC8">
          <w:rPr>
            <w:noProof/>
            <w:webHidden/>
          </w:rPr>
          <w:fldChar w:fldCharType="separate"/>
        </w:r>
        <w:r w:rsidR="00C43DEA">
          <w:rPr>
            <w:noProof/>
            <w:webHidden/>
          </w:rPr>
          <w:t>31</w:t>
        </w:r>
        <w:r w:rsidR="007F1DC8" w:rsidRPr="007F1DC8">
          <w:rPr>
            <w:noProof/>
            <w:webHidden/>
          </w:rPr>
          <w:fldChar w:fldCharType="end"/>
        </w:r>
      </w:hyperlink>
    </w:p>
    <w:p w14:paraId="32E7ABE2" w14:textId="397342E6"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23" w:history="1">
        <w:r w:rsidR="007F1DC8" w:rsidRPr="007F1DC8">
          <w:rPr>
            <w:rStyle w:val="Hyperlink"/>
            <w:noProof/>
            <w:szCs w:val="24"/>
          </w:rPr>
          <w:t>5.3.</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Measures discarded at an early stage</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_Toc232176423 \h </w:instrText>
        </w:r>
        <w:r w:rsidR="007F1DC8" w:rsidRPr="007F1DC8">
          <w:rPr>
            <w:noProof/>
            <w:webHidden/>
            <w:szCs w:val="24"/>
          </w:rPr>
        </w:r>
        <w:r w:rsidR="007F1DC8" w:rsidRPr="007F1DC8">
          <w:rPr>
            <w:noProof/>
            <w:webHidden/>
            <w:szCs w:val="24"/>
          </w:rPr>
          <w:fldChar w:fldCharType="separate"/>
        </w:r>
        <w:r w:rsidR="00C43DEA">
          <w:rPr>
            <w:noProof/>
            <w:webHidden/>
            <w:szCs w:val="24"/>
          </w:rPr>
          <w:t>32</w:t>
        </w:r>
        <w:r w:rsidR="007F1DC8" w:rsidRPr="007F1DC8">
          <w:rPr>
            <w:noProof/>
            <w:webHidden/>
            <w:szCs w:val="24"/>
          </w:rPr>
          <w:fldChar w:fldCharType="end"/>
        </w:r>
      </w:hyperlink>
    </w:p>
    <w:p w14:paraId="7CB9D49D" w14:textId="6F973560" w:rsidR="007F1DC8" w:rsidRPr="007F1DC8" w:rsidRDefault="005028E8" w:rsidP="003E111D">
      <w:pPr>
        <w:pStyle w:val="TOC1"/>
        <w:ind w:right="965"/>
        <w:rPr>
          <w:rFonts w:asciiTheme="minorHAnsi" w:eastAsiaTheme="minorEastAsia" w:hAnsiTheme="minorHAnsi" w:cstheme="minorBidi"/>
          <w:caps w:val="0"/>
          <w:noProof/>
          <w:kern w:val="2"/>
          <w:sz w:val="24"/>
          <w:szCs w:val="24"/>
          <w:lang w:val="en-IE" w:eastAsia="en-IE"/>
          <w14:ligatures w14:val="standardContextual"/>
        </w:rPr>
      </w:pPr>
      <w:hyperlink w:anchor="_Toc232176424" w:history="1">
        <w:r w:rsidR="007F1DC8" w:rsidRPr="007F1DC8">
          <w:rPr>
            <w:rStyle w:val="Hyperlink"/>
            <w:noProof/>
            <w:sz w:val="24"/>
            <w:szCs w:val="24"/>
          </w:rPr>
          <w:t>6.</w:t>
        </w:r>
        <w:r w:rsidR="007F1DC8" w:rsidRPr="007F1DC8">
          <w:rPr>
            <w:rFonts w:asciiTheme="minorHAnsi" w:eastAsiaTheme="minorEastAsia" w:hAnsiTheme="minorHAnsi" w:cstheme="minorBidi"/>
            <w:caps w:val="0"/>
            <w:noProof/>
            <w:kern w:val="2"/>
            <w:sz w:val="24"/>
            <w:szCs w:val="24"/>
            <w:lang w:val="en-IE" w:eastAsia="en-IE"/>
            <w14:ligatures w14:val="standardContextual"/>
          </w:rPr>
          <w:tab/>
        </w:r>
        <w:r w:rsidR="007F1DC8" w:rsidRPr="007F1DC8">
          <w:rPr>
            <w:rStyle w:val="Hyperlink"/>
            <w:noProof/>
            <w:sz w:val="24"/>
            <w:szCs w:val="24"/>
          </w:rPr>
          <w:t>What is the impact of the policy options?</w:t>
        </w:r>
        <w:r w:rsidR="007F1DC8" w:rsidRPr="007F1DC8">
          <w:rPr>
            <w:noProof/>
            <w:webHidden/>
            <w:sz w:val="24"/>
            <w:szCs w:val="24"/>
          </w:rPr>
          <w:tab/>
        </w:r>
        <w:r w:rsidR="007F1DC8" w:rsidRPr="007F1DC8">
          <w:rPr>
            <w:noProof/>
            <w:webHidden/>
            <w:sz w:val="24"/>
            <w:szCs w:val="24"/>
          </w:rPr>
          <w:fldChar w:fldCharType="begin"/>
        </w:r>
        <w:r w:rsidR="007F1DC8" w:rsidRPr="007F1DC8">
          <w:rPr>
            <w:noProof/>
            <w:webHidden/>
            <w:sz w:val="24"/>
            <w:szCs w:val="24"/>
          </w:rPr>
          <w:instrText xml:space="preserve"> PAGEREF _Toc232176424 \h </w:instrText>
        </w:r>
        <w:r w:rsidR="007F1DC8" w:rsidRPr="007F1DC8">
          <w:rPr>
            <w:noProof/>
            <w:webHidden/>
            <w:sz w:val="24"/>
            <w:szCs w:val="24"/>
          </w:rPr>
        </w:r>
        <w:r w:rsidR="007F1DC8" w:rsidRPr="007F1DC8">
          <w:rPr>
            <w:noProof/>
            <w:webHidden/>
            <w:sz w:val="24"/>
            <w:szCs w:val="24"/>
          </w:rPr>
          <w:fldChar w:fldCharType="separate"/>
        </w:r>
        <w:r w:rsidR="00C43DEA">
          <w:rPr>
            <w:noProof/>
            <w:webHidden/>
            <w:sz w:val="24"/>
            <w:szCs w:val="24"/>
          </w:rPr>
          <w:t>34</w:t>
        </w:r>
        <w:r w:rsidR="007F1DC8" w:rsidRPr="007F1DC8">
          <w:rPr>
            <w:noProof/>
            <w:webHidden/>
            <w:sz w:val="24"/>
            <w:szCs w:val="24"/>
          </w:rPr>
          <w:fldChar w:fldCharType="end"/>
        </w:r>
      </w:hyperlink>
    </w:p>
    <w:p w14:paraId="001E913C" w14:textId="4B303765"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25" w:history="1">
        <w:r w:rsidR="007F1DC8" w:rsidRPr="007F1DC8">
          <w:rPr>
            <w:rStyle w:val="Hyperlink"/>
            <w:noProof/>
            <w:szCs w:val="24"/>
          </w:rPr>
          <w:t>6.1.</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Specific Objective 1</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_Toc232176425 \h </w:instrText>
        </w:r>
        <w:r w:rsidR="007F1DC8" w:rsidRPr="007F1DC8">
          <w:rPr>
            <w:noProof/>
            <w:webHidden/>
            <w:szCs w:val="24"/>
          </w:rPr>
        </w:r>
        <w:r w:rsidR="007F1DC8" w:rsidRPr="007F1DC8">
          <w:rPr>
            <w:noProof/>
            <w:webHidden/>
            <w:szCs w:val="24"/>
          </w:rPr>
          <w:fldChar w:fldCharType="separate"/>
        </w:r>
        <w:r w:rsidR="00C43DEA">
          <w:rPr>
            <w:noProof/>
            <w:webHidden/>
            <w:szCs w:val="24"/>
          </w:rPr>
          <w:t>34</w:t>
        </w:r>
        <w:r w:rsidR="007F1DC8" w:rsidRPr="007F1DC8">
          <w:rPr>
            <w:noProof/>
            <w:webHidden/>
            <w:szCs w:val="24"/>
          </w:rPr>
          <w:fldChar w:fldCharType="end"/>
        </w:r>
      </w:hyperlink>
    </w:p>
    <w:p w14:paraId="2FB66A90" w14:textId="46F604E5"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26" w:history="1">
        <w:r w:rsidR="007F1DC8" w:rsidRPr="007F1DC8">
          <w:rPr>
            <w:rStyle w:val="Hyperlink"/>
            <w:noProof/>
            <w:szCs w:val="24"/>
          </w:rPr>
          <w:t>6.2.</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Specific Objective 2</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_Toc232176426 \h </w:instrText>
        </w:r>
        <w:r w:rsidR="007F1DC8" w:rsidRPr="007F1DC8">
          <w:rPr>
            <w:noProof/>
            <w:webHidden/>
            <w:szCs w:val="24"/>
          </w:rPr>
        </w:r>
        <w:r w:rsidR="007F1DC8" w:rsidRPr="007F1DC8">
          <w:rPr>
            <w:noProof/>
            <w:webHidden/>
            <w:szCs w:val="24"/>
          </w:rPr>
          <w:fldChar w:fldCharType="separate"/>
        </w:r>
        <w:r w:rsidR="00C43DEA">
          <w:rPr>
            <w:noProof/>
            <w:webHidden/>
            <w:szCs w:val="24"/>
          </w:rPr>
          <w:t>39</w:t>
        </w:r>
        <w:r w:rsidR="007F1DC8" w:rsidRPr="007F1DC8">
          <w:rPr>
            <w:noProof/>
            <w:webHidden/>
            <w:szCs w:val="24"/>
          </w:rPr>
          <w:fldChar w:fldCharType="end"/>
        </w:r>
      </w:hyperlink>
    </w:p>
    <w:p w14:paraId="0422DFE6" w14:textId="51C38FA7" w:rsidR="007F1DC8" w:rsidRPr="007F1DC8" w:rsidRDefault="005028E8" w:rsidP="003E111D">
      <w:pPr>
        <w:pStyle w:val="TOC1"/>
        <w:ind w:right="965"/>
        <w:rPr>
          <w:rFonts w:asciiTheme="minorHAnsi" w:eastAsiaTheme="minorEastAsia" w:hAnsiTheme="minorHAnsi" w:cstheme="minorBidi"/>
          <w:caps w:val="0"/>
          <w:noProof/>
          <w:kern w:val="2"/>
          <w:sz w:val="24"/>
          <w:szCs w:val="24"/>
          <w:lang w:val="en-IE" w:eastAsia="en-IE"/>
          <w14:ligatures w14:val="standardContextual"/>
        </w:rPr>
      </w:pPr>
      <w:hyperlink w:anchor="_Toc232176427" w:history="1">
        <w:r w:rsidR="007F1DC8" w:rsidRPr="007F1DC8">
          <w:rPr>
            <w:rStyle w:val="Hyperlink"/>
            <w:noProof/>
            <w:sz w:val="24"/>
            <w:szCs w:val="24"/>
          </w:rPr>
          <w:t>7.</w:t>
        </w:r>
        <w:r w:rsidR="007F1DC8" w:rsidRPr="007F1DC8">
          <w:rPr>
            <w:rFonts w:asciiTheme="minorHAnsi" w:eastAsiaTheme="minorEastAsia" w:hAnsiTheme="minorHAnsi" w:cstheme="minorBidi"/>
            <w:caps w:val="0"/>
            <w:noProof/>
            <w:kern w:val="2"/>
            <w:sz w:val="24"/>
            <w:szCs w:val="24"/>
            <w:lang w:val="en-IE" w:eastAsia="en-IE"/>
            <w14:ligatures w14:val="standardContextual"/>
          </w:rPr>
          <w:tab/>
        </w:r>
        <w:r w:rsidR="007F1DC8" w:rsidRPr="007F1DC8">
          <w:rPr>
            <w:rStyle w:val="Hyperlink"/>
            <w:noProof/>
            <w:sz w:val="24"/>
            <w:szCs w:val="24"/>
          </w:rPr>
          <w:t>How do the options compare?</w:t>
        </w:r>
        <w:r w:rsidR="007F1DC8" w:rsidRPr="007F1DC8">
          <w:rPr>
            <w:noProof/>
            <w:webHidden/>
            <w:sz w:val="24"/>
            <w:szCs w:val="24"/>
          </w:rPr>
          <w:tab/>
        </w:r>
        <w:r w:rsidR="007F1DC8" w:rsidRPr="007F1DC8">
          <w:rPr>
            <w:noProof/>
            <w:webHidden/>
            <w:sz w:val="24"/>
            <w:szCs w:val="24"/>
          </w:rPr>
          <w:fldChar w:fldCharType="begin"/>
        </w:r>
        <w:r w:rsidR="007F1DC8" w:rsidRPr="007F1DC8">
          <w:rPr>
            <w:noProof/>
            <w:webHidden/>
            <w:sz w:val="24"/>
            <w:szCs w:val="24"/>
          </w:rPr>
          <w:instrText xml:space="preserve"> PAGEREF _Toc232176427 \h </w:instrText>
        </w:r>
        <w:r w:rsidR="007F1DC8" w:rsidRPr="007F1DC8">
          <w:rPr>
            <w:noProof/>
            <w:webHidden/>
            <w:sz w:val="24"/>
            <w:szCs w:val="24"/>
          </w:rPr>
        </w:r>
        <w:r w:rsidR="007F1DC8" w:rsidRPr="007F1DC8">
          <w:rPr>
            <w:noProof/>
            <w:webHidden/>
            <w:sz w:val="24"/>
            <w:szCs w:val="24"/>
          </w:rPr>
          <w:fldChar w:fldCharType="separate"/>
        </w:r>
        <w:r w:rsidR="00C43DEA">
          <w:rPr>
            <w:noProof/>
            <w:webHidden/>
            <w:sz w:val="24"/>
            <w:szCs w:val="24"/>
          </w:rPr>
          <w:t>44</w:t>
        </w:r>
        <w:r w:rsidR="007F1DC8" w:rsidRPr="007F1DC8">
          <w:rPr>
            <w:noProof/>
            <w:webHidden/>
            <w:sz w:val="24"/>
            <w:szCs w:val="24"/>
          </w:rPr>
          <w:fldChar w:fldCharType="end"/>
        </w:r>
      </w:hyperlink>
    </w:p>
    <w:p w14:paraId="48F4244A" w14:textId="5BEA8C44" w:rsidR="007F1DC8" w:rsidRPr="007F1DC8" w:rsidRDefault="005028E8" w:rsidP="003E111D">
      <w:pPr>
        <w:pStyle w:val="TOC1"/>
        <w:ind w:right="965"/>
        <w:rPr>
          <w:rFonts w:asciiTheme="minorHAnsi" w:eastAsiaTheme="minorEastAsia" w:hAnsiTheme="minorHAnsi" w:cstheme="minorBidi"/>
          <w:caps w:val="0"/>
          <w:noProof/>
          <w:kern w:val="2"/>
          <w:sz w:val="24"/>
          <w:szCs w:val="24"/>
          <w:lang w:val="en-IE" w:eastAsia="en-IE"/>
          <w14:ligatures w14:val="standardContextual"/>
        </w:rPr>
      </w:pPr>
      <w:hyperlink w:anchor="_Toc232176428" w:history="1">
        <w:r w:rsidR="007F1DC8" w:rsidRPr="007F1DC8">
          <w:rPr>
            <w:rStyle w:val="Hyperlink"/>
            <w:noProof/>
            <w:sz w:val="24"/>
            <w:szCs w:val="24"/>
          </w:rPr>
          <w:t>8.</w:t>
        </w:r>
        <w:r w:rsidR="007F1DC8" w:rsidRPr="007F1DC8">
          <w:rPr>
            <w:rFonts w:asciiTheme="minorHAnsi" w:eastAsiaTheme="minorEastAsia" w:hAnsiTheme="minorHAnsi" w:cstheme="minorBidi"/>
            <w:caps w:val="0"/>
            <w:noProof/>
            <w:kern w:val="2"/>
            <w:sz w:val="24"/>
            <w:szCs w:val="24"/>
            <w:lang w:val="en-IE" w:eastAsia="en-IE"/>
            <w14:ligatures w14:val="standardContextual"/>
          </w:rPr>
          <w:tab/>
        </w:r>
        <w:r w:rsidR="007F1DC8" w:rsidRPr="007F1DC8">
          <w:rPr>
            <w:rStyle w:val="Hyperlink"/>
            <w:noProof/>
            <w:sz w:val="24"/>
            <w:szCs w:val="24"/>
          </w:rPr>
          <w:t>Preferred option</w:t>
        </w:r>
        <w:r w:rsidR="007F1DC8" w:rsidRPr="007F1DC8">
          <w:rPr>
            <w:noProof/>
            <w:webHidden/>
            <w:sz w:val="24"/>
            <w:szCs w:val="24"/>
          </w:rPr>
          <w:tab/>
        </w:r>
        <w:r w:rsidR="007F1DC8" w:rsidRPr="007F1DC8">
          <w:rPr>
            <w:noProof/>
            <w:webHidden/>
            <w:sz w:val="24"/>
            <w:szCs w:val="24"/>
          </w:rPr>
          <w:fldChar w:fldCharType="begin"/>
        </w:r>
        <w:r w:rsidR="007F1DC8" w:rsidRPr="007F1DC8">
          <w:rPr>
            <w:noProof/>
            <w:webHidden/>
            <w:sz w:val="24"/>
            <w:szCs w:val="24"/>
          </w:rPr>
          <w:instrText xml:space="preserve"> PAGEREF _Toc232176428 \h </w:instrText>
        </w:r>
        <w:r w:rsidR="007F1DC8" w:rsidRPr="007F1DC8">
          <w:rPr>
            <w:noProof/>
            <w:webHidden/>
            <w:sz w:val="24"/>
            <w:szCs w:val="24"/>
          </w:rPr>
        </w:r>
        <w:r w:rsidR="007F1DC8" w:rsidRPr="007F1DC8">
          <w:rPr>
            <w:noProof/>
            <w:webHidden/>
            <w:sz w:val="24"/>
            <w:szCs w:val="24"/>
          </w:rPr>
          <w:fldChar w:fldCharType="separate"/>
        </w:r>
        <w:r w:rsidR="00C43DEA">
          <w:rPr>
            <w:noProof/>
            <w:webHidden/>
            <w:sz w:val="24"/>
            <w:szCs w:val="24"/>
          </w:rPr>
          <w:t>45</w:t>
        </w:r>
        <w:r w:rsidR="007F1DC8" w:rsidRPr="007F1DC8">
          <w:rPr>
            <w:noProof/>
            <w:webHidden/>
            <w:sz w:val="24"/>
            <w:szCs w:val="24"/>
          </w:rPr>
          <w:fldChar w:fldCharType="end"/>
        </w:r>
      </w:hyperlink>
    </w:p>
    <w:p w14:paraId="59210B64" w14:textId="2A3D691B"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29" w:history="1">
        <w:r w:rsidR="007F1DC8" w:rsidRPr="007F1DC8">
          <w:rPr>
            <w:rStyle w:val="Hyperlink"/>
            <w:noProof/>
            <w:szCs w:val="24"/>
          </w:rPr>
          <w:t>8.1.</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Presentation of the cumulative impact of the preferred option</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_Toc232176429 \h </w:instrText>
        </w:r>
        <w:r w:rsidR="007F1DC8" w:rsidRPr="007F1DC8">
          <w:rPr>
            <w:noProof/>
            <w:webHidden/>
            <w:szCs w:val="24"/>
          </w:rPr>
        </w:r>
        <w:r w:rsidR="007F1DC8" w:rsidRPr="007F1DC8">
          <w:rPr>
            <w:noProof/>
            <w:webHidden/>
            <w:szCs w:val="24"/>
          </w:rPr>
          <w:fldChar w:fldCharType="separate"/>
        </w:r>
        <w:r w:rsidR="00C43DEA">
          <w:rPr>
            <w:noProof/>
            <w:webHidden/>
            <w:szCs w:val="24"/>
          </w:rPr>
          <w:t>46</w:t>
        </w:r>
        <w:r w:rsidR="007F1DC8" w:rsidRPr="007F1DC8">
          <w:rPr>
            <w:noProof/>
            <w:webHidden/>
            <w:szCs w:val="24"/>
          </w:rPr>
          <w:fldChar w:fldCharType="end"/>
        </w:r>
      </w:hyperlink>
    </w:p>
    <w:p w14:paraId="63BED35E" w14:textId="4582A7D6" w:rsidR="007F1DC8" w:rsidRPr="007F1DC8" w:rsidRDefault="005028E8" w:rsidP="003E111D">
      <w:pPr>
        <w:pStyle w:val="TOC2"/>
        <w:tabs>
          <w:tab w:val="left" w:pos="1200"/>
        </w:tabs>
        <w:ind w:right="965" w:hanging="793"/>
        <w:rPr>
          <w:rFonts w:asciiTheme="minorHAnsi" w:eastAsiaTheme="minorEastAsia" w:hAnsiTheme="minorHAnsi" w:cstheme="minorBidi"/>
          <w:noProof/>
          <w:kern w:val="2"/>
          <w:szCs w:val="24"/>
          <w:lang w:val="en-IE" w:eastAsia="en-IE"/>
          <w14:ligatures w14:val="standardContextual"/>
        </w:rPr>
      </w:pPr>
      <w:hyperlink w:anchor="_Toc232176430" w:history="1">
        <w:r w:rsidR="007F1DC8" w:rsidRPr="007F1DC8">
          <w:rPr>
            <w:rStyle w:val="Hyperlink"/>
            <w:noProof/>
            <w:szCs w:val="24"/>
          </w:rPr>
          <w:t>8.2.</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noProof/>
            <w:szCs w:val="24"/>
          </w:rPr>
          <w:t>Impact of the preferred option</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_Toc232176430 \h </w:instrText>
        </w:r>
        <w:r w:rsidR="007F1DC8" w:rsidRPr="007F1DC8">
          <w:rPr>
            <w:noProof/>
            <w:webHidden/>
            <w:szCs w:val="24"/>
          </w:rPr>
        </w:r>
        <w:r w:rsidR="007F1DC8" w:rsidRPr="007F1DC8">
          <w:rPr>
            <w:noProof/>
            <w:webHidden/>
            <w:szCs w:val="24"/>
          </w:rPr>
          <w:fldChar w:fldCharType="separate"/>
        </w:r>
        <w:r w:rsidR="00C43DEA">
          <w:rPr>
            <w:noProof/>
            <w:webHidden/>
            <w:szCs w:val="24"/>
          </w:rPr>
          <w:t>48</w:t>
        </w:r>
        <w:r w:rsidR="007F1DC8" w:rsidRPr="007F1DC8">
          <w:rPr>
            <w:noProof/>
            <w:webHidden/>
            <w:szCs w:val="24"/>
          </w:rPr>
          <w:fldChar w:fldCharType="end"/>
        </w:r>
      </w:hyperlink>
    </w:p>
    <w:p w14:paraId="2ABFA766" w14:textId="47957F88"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431" w:history="1">
        <w:r w:rsidR="007F1DC8" w:rsidRPr="007F1DC8">
          <w:rPr>
            <w:rStyle w:val="Hyperlink"/>
            <w:noProof/>
            <w:lang w:val="en-IE"/>
          </w:rPr>
          <w:t>8.2.1.</w:t>
        </w:r>
        <w:r w:rsidR="007F1DC8" w:rsidRPr="007F1DC8">
          <w:rPr>
            <w:rStyle w:val="Hyperlink"/>
            <w:noProof/>
          </w:rPr>
          <w:t xml:space="preserve"> </w:t>
        </w:r>
        <w:r w:rsidR="007F1DC8" w:rsidRPr="007F1DC8">
          <w:rPr>
            <w:rStyle w:val="Hyperlink"/>
            <w:noProof/>
            <w:lang w:val="en-IE"/>
          </w:rPr>
          <w:t>Effectiveness</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_Toc232176431 \h </w:instrText>
        </w:r>
        <w:r w:rsidR="007F1DC8" w:rsidRPr="007F1DC8">
          <w:rPr>
            <w:noProof/>
            <w:webHidden/>
          </w:rPr>
        </w:r>
        <w:r w:rsidR="007F1DC8" w:rsidRPr="007F1DC8">
          <w:rPr>
            <w:noProof/>
            <w:webHidden/>
          </w:rPr>
          <w:fldChar w:fldCharType="separate"/>
        </w:r>
        <w:r w:rsidR="00C43DEA">
          <w:rPr>
            <w:noProof/>
            <w:webHidden/>
          </w:rPr>
          <w:t>48</w:t>
        </w:r>
        <w:r w:rsidR="007F1DC8" w:rsidRPr="007F1DC8">
          <w:rPr>
            <w:noProof/>
            <w:webHidden/>
          </w:rPr>
          <w:fldChar w:fldCharType="end"/>
        </w:r>
      </w:hyperlink>
    </w:p>
    <w:p w14:paraId="1585BD43" w14:textId="3B9AEB34"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432" w:history="1">
        <w:r w:rsidR="007F1DC8" w:rsidRPr="007F1DC8">
          <w:rPr>
            <w:rStyle w:val="Hyperlink"/>
            <w:noProof/>
            <w:lang w:val="en-IE"/>
          </w:rPr>
          <w:t>8.2.2. Efficiency</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_Toc232176432 \h </w:instrText>
        </w:r>
        <w:r w:rsidR="007F1DC8" w:rsidRPr="007F1DC8">
          <w:rPr>
            <w:noProof/>
            <w:webHidden/>
          </w:rPr>
        </w:r>
        <w:r w:rsidR="007F1DC8" w:rsidRPr="007F1DC8">
          <w:rPr>
            <w:noProof/>
            <w:webHidden/>
          </w:rPr>
          <w:fldChar w:fldCharType="separate"/>
        </w:r>
        <w:r w:rsidR="00C43DEA">
          <w:rPr>
            <w:noProof/>
            <w:webHidden/>
          </w:rPr>
          <w:t>49</w:t>
        </w:r>
        <w:r w:rsidR="007F1DC8" w:rsidRPr="007F1DC8">
          <w:rPr>
            <w:noProof/>
            <w:webHidden/>
          </w:rPr>
          <w:fldChar w:fldCharType="end"/>
        </w:r>
      </w:hyperlink>
    </w:p>
    <w:p w14:paraId="46BA7893" w14:textId="00DA68DD"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433" w:history="1">
        <w:r w:rsidR="007F1DC8" w:rsidRPr="007F1DC8">
          <w:rPr>
            <w:rStyle w:val="Hyperlink"/>
            <w:noProof/>
            <w:lang w:val="en-IE"/>
          </w:rPr>
          <w:t>8.2.3. Coherence</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_Toc232176433 \h </w:instrText>
        </w:r>
        <w:r w:rsidR="007F1DC8" w:rsidRPr="007F1DC8">
          <w:rPr>
            <w:noProof/>
            <w:webHidden/>
          </w:rPr>
        </w:r>
        <w:r w:rsidR="007F1DC8" w:rsidRPr="007F1DC8">
          <w:rPr>
            <w:noProof/>
            <w:webHidden/>
          </w:rPr>
          <w:fldChar w:fldCharType="separate"/>
        </w:r>
        <w:r w:rsidR="00C43DEA">
          <w:rPr>
            <w:noProof/>
            <w:webHidden/>
          </w:rPr>
          <w:t>51</w:t>
        </w:r>
        <w:r w:rsidR="007F1DC8" w:rsidRPr="007F1DC8">
          <w:rPr>
            <w:noProof/>
            <w:webHidden/>
          </w:rPr>
          <w:fldChar w:fldCharType="end"/>
        </w:r>
      </w:hyperlink>
    </w:p>
    <w:p w14:paraId="7AB072F2" w14:textId="48EACD18" w:rsidR="007F1DC8" w:rsidRPr="007F1DC8" w:rsidRDefault="005028E8" w:rsidP="003E111D">
      <w:pPr>
        <w:pStyle w:val="TOC3"/>
        <w:ind w:right="965"/>
        <w:rPr>
          <w:rFonts w:asciiTheme="minorHAnsi" w:eastAsiaTheme="minorEastAsia" w:hAnsiTheme="minorHAnsi" w:cstheme="minorBidi"/>
          <w:noProof/>
          <w:kern w:val="2"/>
          <w:lang w:val="en-IE" w:eastAsia="en-IE"/>
          <w14:ligatures w14:val="standardContextual"/>
        </w:rPr>
      </w:pPr>
      <w:hyperlink w:anchor="_Toc232176434" w:history="1">
        <w:r w:rsidR="007F1DC8" w:rsidRPr="007F1DC8">
          <w:rPr>
            <w:rStyle w:val="Hyperlink"/>
            <w:noProof/>
          </w:rPr>
          <w:t>8.2.4. Impacts on Fundamental Rights</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_Toc232176434 \h </w:instrText>
        </w:r>
        <w:r w:rsidR="007F1DC8" w:rsidRPr="007F1DC8">
          <w:rPr>
            <w:noProof/>
            <w:webHidden/>
          </w:rPr>
        </w:r>
        <w:r w:rsidR="007F1DC8" w:rsidRPr="007F1DC8">
          <w:rPr>
            <w:noProof/>
            <w:webHidden/>
          </w:rPr>
          <w:fldChar w:fldCharType="separate"/>
        </w:r>
        <w:r w:rsidR="00C43DEA">
          <w:rPr>
            <w:noProof/>
            <w:webHidden/>
          </w:rPr>
          <w:t>53</w:t>
        </w:r>
        <w:r w:rsidR="007F1DC8" w:rsidRPr="007F1DC8">
          <w:rPr>
            <w:noProof/>
            <w:webHidden/>
          </w:rPr>
          <w:fldChar w:fldCharType="end"/>
        </w:r>
      </w:hyperlink>
    </w:p>
    <w:p w14:paraId="5E369C0F" w14:textId="6B3D7B54" w:rsidR="007F1DC8" w:rsidRPr="007F1DC8" w:rsidRDefault="005028E8" w:rsidP="003E111D">
      <w:pPr>
        <w:pStyle w:val="TOC2"/>
        <w:tabs>
          <w:tab w:val="left" w:pos="1200"/>
        </w:tabs>
        <w:ind w:left="1200" w:right="965" w:hanging="916"/>
        <w:rPr>
          <w:rFonts w:asciiTheme="minorHAnsi" w:eastAsiaTheme="minorEastAsia" w:hAnsiTheme="minorHAnsi" w:cstheme="minorBidi"/>
          <w:noProof/>
          <w:kern w:val="2"/>
          <w:szCs w:val="24"/>
          <w:lang w:val="en-IE" w:eastAsia="en-IE"/>
          <w14:ligatures w14:val="standardContextual"/>
        </w:rPr>
      </w:pPr>
      <w:hyperlink w:anchor="_Toc232176435" w:history="1">
        <w:r w:rsidR="007F1DC8" w:rsidRPr="007F1DC8">
          <w:rPr>
            <w:rStyle w:val="Hyperlink"/>
            <w:noProof/>
            <w:szCs w:val="24"/>
          </w:rPr>
          <w:t>8.3.</w:t>
        </w:r>
        <w:r w:rsidR="007F1DC8" w:rsidRPr="007F1DC8">
          <w:rPr>
            <w:rFonts w:asciiTheme="minorHAnsi" w:eastAsiaTheme="minorEastAsia" w:hAnsiTheme="minorHAnsi" w:cstheme="minorBidi"/>
            <w:noProof/>
            <w:kern w:val="2"/>
            <w:szCs w:val="24"/>
            <w:lang w:val="en-IE" w:eastAsia="en-IE"/>
            <w14:ligatures w14:val="standardContextual"/>
          </w:rPr>
          <w:tab/>
        </w:r>
        <w:r w:rsidR="007F1DC8" w:rsidRPr="007F1DC8">
          <w:rPr>
            <w:rStyle w:val="Hyperlink"/>
            <w:smallCaps/>
            <w:noProof/>
            <w:szCs w:val="24"/>
          </w:rPr>
          <w:t>Refit</w:t>
        </w:r>
        <w:r w:rsidR="007F1DC8" w:rsidRPr="007F1DC8">
          <w:rPr>
            <w:rStyle w:val="Hyperlink"/>
            <w:noProof/>
            <w:szCs w:val="24"/>
          </w:rPr>
          <w:t> (simplification and improved efficiency) and ‘one in, one out’ approach</w:t>
        </w:r>
        <w:r w:rsidR="007F1DC8" w:rsidRPr="007F1DC8">
          <w:rPr>
            <w:noProof/>
            <w:webHidden/>
            <w:szCs w:val="24"/>
          </w:rPr>
          <w:tab/>
        </w:r>
        <w:r w:rsidR="007F1DC8" w:rsidRPr="007F1DC8">
          <w:rPr>
            <w:noProof/>
            <w:webHidden/>
            <w:szCs w:val="24"/>
          </w:rPr>
          <w:fldChar w:fldCharType="begin"/>
        </w:r>
        <w:r w:rsidR="007F1DC8" w:rsidRPr="007F1DC8">
          <w:rPr>
            <w:noProof/>
            <w:webHidden/>
            <w:szCs w:val="24"/>
          </w:rPr>
          <w:instrText xml:space="preserve"> PAGEREF _Toc232176435 \h </w:instrText>
        </w:r>
        <w:r w:rsidR="007F1DC8" w:rsidRPr="007F1DC8">
          <w:rPr>
            <w:noProof/>
            <w:webHidden/>
            <w:szCs w:val="24"/>
          </w:rPr>
        </w:r>
        <w:r w:rsidR="007F1DC8" w:rsidRPr="007F1DC8">
          <w:rPr>
            <w:noProof/>
            <w:webHidden/>
            <w:szCs w:val="24"/>
          </w:rPr>
          <w:fldChar w:fldCharType="separate"/>
        </w:r>
        <w:r w:rsidR="00C43DEA">
          <w:rPr>
            <w:noProof/>
            <w:webHidden/>
            <w:szCs w:val="24"/>
          </w:rPr>
          <w:t>54</w:t>
        </w:r>
        <w:r w:rsidR="007F1DC8" w:rsidRPr="007F1DC8">
          <w:rPr>
            <w:noProof/>
            <w:webHidden/>
            <w:szCs w:val="24"/>
          </w:rPr>
          <w:fldChar w:fldCharType="end"/>
        </w:r>
      </w:hyperlink>
    </w:p>
    <w:p w14:paraId="700DC5E3" w14:textId="1ADB0075" w:rsidR="007F1DC8" w:rsidRPr="007F1DC8" w:rsidRDefault="005028E8" w:rsidP="003E111D">
      <w:pPr>
        <w:pStyle w:val="TOC1"/>
        <w:ind w:right="965"/>
        <w:rPr>
          <w:rFonts w:asciiTheme="minorHAnsi" w:eastAsiaTheme="minorEastAsia" w:hAnsiTheme="minorHAnsi" w:cstheme="minorBidi"/>
          <w:caps w:val="0"/>
          <w:noProof/>
          <w:kern w:val="2"/>
          <w:sz w:val="24"/>
          <w:szCs w:val="24"/>
          <w:lang w:val="en-IE" w:eastAsia="en-IE"/>
          <w14:ligatures w14:val="standardContextual"/>
        </w:rPr>
      </w:pPr>
      <w:hyperlink w:anchor="_Toc232176436" w:history="1">
        <w:r w:rsidR="007F1DC8" w:rsidRPr="007F1DC8">
          <w:rPr>
            <w:rStyle w:val="Hyperlink"/>
            <w:noProof/>
            <w:sz w:val="24"/>
            <w:szCs w:val="24"/>
          </w:rPr>
          <w:t>9.</w:t>
        </w:r>
        <w:r w:rsidR="007F1DC8" w:rsidRPr="007F1DC8">
          <w:rPr>
            <w:rFonts w:asciiTheme="minorHAnsi" w:eastAsiaTheme="minorEastAsia" w:hAnsiTheme="minorHAnsi" w:cstheme="minorBidi"/>
            <w:caps w:val="0"/>
            <w:noProof/>
            <w:kern w:val="2"/>
            <w:sz w:val="24"/>
            <w:szCs w:val="24"/>
            <w:lang w:val="en-IE" w:eastAsia="en-IE"/>
            <w14:ligatures w14:val="standardContextual"/>
          </w:rPr>
          <w:tab/>
        </w:r>
        <w:r w:rsidR="007F1DC8" w:rsidRPr="007F1DC8">
          <w:rPr>
            <w:rStyle w:val="Hyperlink"/>
            <w:noProof/>
            <w:sz w:val="24"/>
            <w:szCs w:val="24"/>
          </w:rPr>
          <w:t>How will actual impacts be monitored and evaluated?</w:t>
        </w:r>
        <w:r w:rsidR="007F1DC8" w:rsidRPr="007F1DC8">
          <w:rPr>
            <w:noProof/>
            <w:webHidden/>
            <w:sz w:val="24"/>
            <w:szCs w:val="24"/>
          </w:rPr>
          <w:tab/>
        </w:r>
        <w:r w:rsidR="007F1DC8" w:rsidRPr="007F1DC8">
          <w:rPr>
            <w:noProof/>
            <w:webHidden/>
            <w:sz w:val="24"/>
            <w:szCs w:val="24"/>
          </w:rPr>
          <w:fldChar w:fldCharType="begin"/>
        </w:r>
        <w:r w:rsidR="007F1DC8" w:rsidRPr="007F1DC8">
          <w:rPr>
            <w:noProof/>
            <w:webHidden/>
            <w:sz w:val="24"/>
            <w:szCs w:val="24"/>
          </w:rPr>
          <w:instrText xml:space="preserve"> PAGEREF _Toc232176436 \h </w:instrText>
        </w:r>
        <w:r w:rsidR="007F1DC8" w:rsidRPr="007F1DC8">
          <w:rPr>
            <w:noProof/>
            <w:webHidden/>
            <w:sz w:val="24"/>
            <w:szCs w:val="24"/>
          </w:rPr>
        </w:r>
        <w:r w:rsidR="007F1DC8" w:rsidRPr="007F1DC8">
          <w:rPr>
            <w:noProof/>
            <w:webHidden/>
            <w:sz w:val="24"/>
            <w:szCs w:val="24"/>
          </w:rPr>
          <w:fldChar w:fldCharType="separate"/>
        </w:r>
        <w:r w:rsidR="00C43DEA">
          <w:rPr>
            <w:noProof/>
            <w:webHidden/>
            <w:sz w:val="24"/>
            <w:szCs w:val="24"/>
          </w:rPr>
          <w:t>55</w:t>
        </w:r>
        <w:r w:rsidR="007F1DC8" w:rsidRPr="007F1DC8">
          <w:rPr>
            <w:noProof/>
            <w:webHidden/>
            <w:sz w:val="24"/>
            <w:szCs w:val="24"/>
          </w:rPr>
          <w:fldChar w:fldCharType="end"/>
        </w:r>
      </w:hyperlink>
    </w:p>
    <w:p w14:paraId="5B6D7885" w14:textId="37FF710E" w:rsidR="007F1DC8" w:rsidRPr="007F1DC8" w:rsidRDefault="005028E8" w:rsidP="003E111D">
      <w:pPr>
        <w:pStyle w:val="TOC3"/>
        <w:ind w:right="965" w:hanging="283"/>
        <w:rPr>
          <w:rFonts w:asciiTheme="minorHAnsi" w:eastAsiaTheme="minorEastAsia" w:hAnsiTheme="minorHAnsi" w:cstheme="minorBidi"/>
          <w:noProof/>
          <w:kern w:val="2"/>
          <w:lang w:val="en-IE" w:eastAsia="en-IE"/>
          <w14:ligatures w14:val="standardContextual"/>
        </w:rPr>
      </w:pPr>
      <w:hyperlink w:anchor="_Toc232176437" w:history="1">
        <w:r w:rsidR="007F1DC8" w:rsidRPr="007F1DC8">
          <w:rPr>
            <w:rStyle w:val="Hyperlink"/>
            <w:noProof/>
            <w:lang w:val="en-IE"/>
          </w:rPr>
          <w:t>9.1. Measurable indicators of success and proposed targets</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_Toc232176437 \h </w:instrText>
        </w:r>
        <w:r w:rsidR="007F1DC8" w:rsidRPr="007F1DC8">
          <w:rPr>
            <w:noProof/>
            <w:webHidden/>
          </w:rPr>
        </w:r>
        <w:r w:rsidR="007F1DC8" w:rsidRPr="007F1DC8">
          <w:rPr>
            <w:noProof/>
            <w:webHidden/>
          </w:rPr>
          <w:fldChar w:fldCharType="separate"/>
        </w:r>
        <w:r w:rsidR="00C43DEA">
          <w:rPr>
            <w:noProof/>
            <w:webHidden/>
          </w:rPr>
          <w:t>55</w:t>
        </w:r>
        <w:r w:rsidR="007F1DC8" w:rsidRPr="007F1DC8">
          <w:rPr>
            <w:noProof/>
            <w:webHidden/>
          </w:rPr>
          <w:fldChar w:fldCharType="end"/>
        </w:r>
      </w:hyperlink>
    </w:p>
    <w:p w14:paraId="11B56541" w14:textId="00CF8395" w:rsidR="007F1DC8" w:rsidRPr="007F1DC8" w:rsidRDefault="005028E8" w:rsidP="003E111D">
      <w:pPr>
        <w:pStyle w:val="TOC3"/>
        <w:ind w:right="965" w:hanging="283"/>
        <w:rPr>
          <w:rFonts w:asciiTheme="minorHAnsi" w:eastAsiaTheme="minorEastAsia" w:hAnsiTheme="minorHAnsi" w:cstheme="minorBidi"/>
          <w:noProof/>
          <w:kern w:val="2"/>
          <w:lang w:val="en-IE" w:eastAsia="en-IE"/>
          <w14:ligatures w14:val="standardContextual"/>
        </w:rPr>
      </w:pPr>
      <w:hyperlink w:anchor="_Toc232176438" w:history="1">
        <w:r w:rsidR="007F1DC8" w:rsidRPr="007F1DC8">
          <w:rPr>
            <w:rStyle w:val="Hyperlink"/>
            <w:noProof/>
            <w:lang w:val="en-IE"/>
          </w:rPr>
          <w:t>9.2. Operational objectives and related indicators proposed</w:t>
        </w:r>
        <w:r w:rsidR="007F1DC8" w:rsidRPr="007F1DC8">
          <w:rPr>
            <w:noProof/>
            <w:webHidden/>
          </w:rPr>
          <w:tab/>
        </w:r>
        <w:r w:rsidR="007F1DC8" w:rsidRPr="007F1DC8">
          <w:rPr>
            <w:noProof/>
            <w:webHidden/>
          </w:rPr>
          <w:fldChar w:fldCharType="begin"/>
        </w:r>
        <w:r w:rsidR="007F1DC8" w:rsidRPr="007F1DC8">
          <w:rPr>
            <w:noProof/>
            <w:webHidden/>
          </w:rPr>
          <w:instrText xml:space="preserve"> PAGEREF _Toc232176438 \h </w:instrText>
        </w:r>
        <w:r w:rsidR="007F1DC8" w:rsidRPr="007F1DC8">
          <w:rPr>
            <w:noProof/>
            <w:webHidden/>
          </w:rPr>
        </w:r>
        <w:r w:rsidR="007F1DC8" w:rsidRPr="007F1DC8">
          <w:rPr>
            <w:noProof/>
            <w:webHidden/>
          </w:rPr>
          <w:fldChar w:fldCharType="separate"/>
        </w:r>
        <w:r w:rsidR="00C43DEA">
          <w:rPr>
            <w:noProof/>
            <w:webHidden/>
          </w:rPr>
          <w:t>56</w:t>
        </w:r>
        <w:r w:rsidR="007F1DC8" w:rsidRPr="007F1DC8">
          <w:rPr>
            <w:noProof/>
            <w:webHidden/>
          </w:rPr>
          <w:fldChar w:fldCharType="end"/>
        </w:r>
      </w:hyperlink>
    </w:p>
    <w:p w14:paraId="1AB99A8F" w14:textId="76FA2768" w:rsidR="001B0161" w:rsidRPr="00D4396B" w:rsidRDefault="00E73FF0" w:rsidP="003E111D">
      <w:pPr>
        <w:tabs>
          <w:tab w:val="right" w:leader="dot" w:pos="8505"/>
          <w:tab w:val="right" w:leader="dot" w:pos="8640"/>
          <w:tab w:val="right" w:leader="dot" w:pos="8892"/>
        </w:tabs>
        <w:ind w:right="965"/>
        <w:jc w:val="left"/>
        <w:rPr>
          <w:noProof/>
        </w:rPr>
      </w:pPr>
      <w:r w:rsidRPr="007F1DC8">
        <w:rPr>
          <w:rFonts w:eastAsia="Times New Roman"/>
          <w:caps/>
          <w:noProof/>
        </w:rPr>
        <w:fldChar w:fldCharType="end"/>
      </w:r>
      <w:r w:rsidR="001B0161" w:rsidRPr="00D4396B">
        <w:rPr>
          <w:noProof/>
        </w:rPr>
        <w:br w:type="page"/>
      </w:r>
    </w:p>
    <w:p w14:paraId="6F8771C2" w14:textId="77777777" w:rsidR="006B087E" w:rsidRPr="00D4396B" w:rsidRDefault="00B21FC9" w:rsidP="0030343C">
      <w:pPr>
        <w:rPr>
          <w:noProof/>
        </w:rPr>
      </w:pPr>
      <w:r w:rsidRPr="00D4396B">
        <w:rPr>
          <w:noProof/>
        </w:rPr>
        <w:t>Glossary</w:t>
      </w:r>
    </w:p>
    <w:tbl>
      <w:tblPr>
        <w:tblStyle w:val="TableGrid"/>
        <w:tblW w:w="0" w:type="auto"/>
        <w:tblLook w:val="04A0" w:firstRow="1" w:lastRow="0" w:firstColumn="1" w:lastColumn="0" w:noHBand="0" w:noVBand="1"/>
      </w:tblPr>
      <w:tblGrid>
        <w:gridCol w:w="2052"/>
        <w:gridCol w:w="7299"/>
      </w:tblGrid>
      <w:tr w:rsidR="7D4F30D9" w:rsidRPr="00D4396B" w14:paraId="28EE43A4" w14:textId="77777777" w:rsidTr="00E43B13">
        <w:trPr>
          <w:trHeight w:val="300"/>
        </w:trPr>
        <w:tc>
          <w:tcPr>
            <w:tcW w:w="2052" w:type="dxa"/>
            <w:tcBorders>
              <w:bottom w:val="double" w:sz="4" w:space="0" w:color="auto"/>
            </w:tcBorders>
            <w:shd w:val="clear" w:color="auto" w:fill="F2F2F2" w:themeFill="background1" w:themeFillShade="F2"/>
            <w:vAlign w:val="center"/>
          </w:tcPr>
          <w:p w14:paraId="55F60D16" w14:textId="77777777" w:rsidR="7D4F30D9" w:rsidRPr="00D4396B" w:rsidRDefault="7D4F30D9" w:rsidP="7D4F30D9">
            <w:pPr>
              <w:spacing w:before="120" w:after="120"/>
              <w:rPr>
                <w:noProof/>
              </w:rPr>
            </w:pPr>
            <w:r w:rsidRPr="00D4396B">
              <w:rPr>
                <w:noProof/>
              </w:rPr>
              <w:t>Term or acronym</w:t>
            </w:r>
          </w:p>
        </w:tc>
        <w:tc>
          <w:tcPr>
            <w:tcW w:w="7299" w:type="dxa"/>
            <w:tcBorders>
              <w:bottom w:val="double" w:sz="4" w:space="0" w:color="auto"/>
            </w:tcBorders>
            <w:shd w:val="clear" w:color="auto" w:fill="F2F2F2" w:themeFill="background1" w:themeFillShade="F2"/>
            <w:vAlign w:val="center"/>
          </w:tcPr>
          <w:p w14:paraId="0F0F0A88" w14:textId="77777777" w:rsidR="7D4F30D9" w:rsidRPr="00D4396B" w:rsidRDefault="7D4F30D9" w:rsidP="7D4F30D9">
            <w:pPr>
              <w:spacing w:before="120" w:after="120"/>
              <w:rPr>
                <w:noProof/>
              </w:rPr>
            </w:pPr>
            <w:r w:rsidRPr="00D4396B">
              <w:rPr>
                <w:noProof/>
              </w:rPr>
              <w:t>Meaning or definition</w:t>
            </w:r>
          </w:p>
        </w:tc>
      </w:tr>
    </w:tbl>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0"/>
        <w:gridCol w:w="7296"/>
      </w:tblGrid>
      <w:tr w:rsidR="7D4F30D9" w:rsidRPr="00D4396B" w14:paraId="6AA4C466"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9545D23" w14:textId="3DC4BCA8" w:rsidR="7D4F30D9" w:rsidRPr="00D4396B" w:rsidRDefault="7D4F30D9" w:rsidP="7D4F30D9">
            <w:pPr>
              <w:spacing w:after="200" w:line="276" w:lineRule="auto"/>
              <w:rPr>
                <w:noProof/>
              </w:rPr>
            </w:pPr>
            <w:r w:rsidRPr="00D4396B">
              <w:rPr>
                <w:rFonts w:eastAsia="Times New Roman"/>
                <w:noProof/>
              </w:rPr>
              <w:t xml:space="preserve">AD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1DA90A4" w14:textId="70BE711F" w:rsidR="7D4F30D9" w:rsidRPr="00D4396B" w:rsidRDefault="7D4F30D9" w:rsidP="7D4F30D9">
            <w:pPr>
              <w:spacing w:after="200" w:line="276" w:lineRule="auto"/>
              <w:rPr>
                <w:noProof/>
              </w:rPr>
            </w:pPr>
            <w:r w:rsidRPr="00D4396B">
              <w:rPr>
                <w:rFonts w:eastAsia="Times New Roman"/>
                <w:noProof/>
              </w:rPr>
              <w:t xml:space="preserve">Administrative Director </w:t>
            </w:r>
          </w:p>
        </w:tc>
      </w:tr>
      <w:tr w:rsidR="00C97E48" w:rsidRPr="00D4396B" w14:paraId="3F418C8C"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62EE646" w14:textId="0D341305" w:rsidR="00C97E48" w:rsidRPr="00D4396B" w:rsidRDefault="00C97E48" w:rsidP="7D4F30D9">
            <w:pPr>
              <w:spacing w:after="200" w:line="276" w:lineRule="auto"/>
              <w:rPr>
                <w:rFonts w:eastAsia="Times New Roman"/>
                <w:noProof/>
              </w:rPr>
            </w:pPr>
            <w:r w:rsidRPr="00D4396B">
              <w:rPr>
                <w:rFonts w:eastAsia="Times New Roman"/>
                <w:noProof/>
              </w:rPr>
              <w:t xml:space="preserve">AFA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044ECEA" w14:textId="008006D1" w:rsidR="00C97E48" w:rsidRPr="00D4396B" w:rsidRDefault="00C97E48" w:rsidP="7D4F30D9">
            <w:pPr>
              <w:spacing w:after="200" w:line="276" w:lineRule="auto"/>
              <w:rPr>
                <w:rFonts w:eastAsia="Times New Roman"/>
                <w:noProof/>
              </w:rPr>
            </w:pPr>
            <w:r w:rsidRPr="00D4396B">
              <w:rPr>
                <w:rFonts w:eastAsia="Times New Roman"/>
                <w:noProof/>
              </w:rPr>
              <w:t xml:space="preserve">Anti-fraud </w:t>
            </w:r>
            <w:r w:rsidR="00C12019">
              <w:rPr>
                <w:rFonts w:eastAsia="Times New Roman"/>
                <w:noProof/>
              </w:rPr>
              <w:t>A</w:t>
            </w:r>
            <w:r w:rsidRPr="00D4396B">
              <w:rPr>
                <w:rFonts w:eastAsia="Times New Roman"/>
                <w:noProof/>
              </w:rPr>
              <w:t xml:space="preserve">rchitecture </w:t>
            </w:r>
          </w:p>
        </w:tc>
      </w:tr>
      <w:tr w:rsidR="0387C75E" w14:paraId="66CF547F"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CA262F6" w14:textId="4D17F2F3" w:rsidR="00BF8F5D" w:rsidRDefault="00BF8F5D" w:rsidP="0387C75E">
            <w:pPr>
              <w:spacing w:line="276" w:lineRule="auto"/>
              <w:rPr>
                <w:noProof/>
              </w:rPr>
            </w:pPr>
            <w:r w:rsidRPr="0387C75E">
              <w:rPr>
                <w:rFonts w:eastAsia="Times New Roman"/>
                <w:noProof/>
              </w:rPr>
              <w:t>AMLA</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6143B4A" w14:textId="32E9A3C8" w:rsidR="00BF8F5D" w:rsidRDefault="00BF8F5D" w:rsidP="0387C75E">
            <w:pPr>
              <w:spacing w:line="276" w:lineRule="auto"/>
              <w:rPr>
                <w:rFonts w:eastAsia="Times New Roman"/>
                <w:noProof/>
              </w:rPr>
            </w:pPr>
            <w:r w:rsidRPr="0387C75E">
              <w:rPr>
                <w:rFonts w:eastAsia="Times New Roman"/>
                <w:noProof/>
              </w:rPr>
              <w:t>Anti-Money Laundering Agency</w:t>
            </w:r>
          </w:p>
        </w:tc>
      </w:tr>
      <w:tr w:rsidR="314D575C" w:rsidRPr="00D4396B" w14:paraId="5EBB4DD8"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96D7746" w14:textId="38754098" w:rsidR="0B4101B0" w:rsidRPr="00D4396B" w:rsidRDefault="0B4101B0" w:rsidP="314D575C">
            <w:pPr>
              <w:spacing w:line="276" w:lineRule="auto"/>
              <w:rPr>
                <w:rFonts w:eastAsia="Times New Roman"/>
                <w:noProof/>
              </w:rPr>
            </w:pPr>
            <w:r w:rsidRPr="00D4396B">
              <w:rPr>
                <w:rFonts w:eastAsia="Times New Roman"/>
                <w:noProof/>
              </w:rPr>
              <w:t>ARO</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0BF7271C" w14:textId="219863FB" w:rsidR="0B4101B0" w:rsidRPr="00D4396B" w:rsidRDefault="0B4101B0" w:rsidP="314D575C">
            <w:pPr>
              <w:spacing w:line="276" w:lineRule="auto"/>
              <w:rPr>
                <w:rFonts w:eastAsia="Times New Roman"/>
                <w:noProof/>
              </w:rPr>
            </w:pPr>
            <w:r w:rsidRPr="00D4396B">
              <w:rPr>
                <w:rFonts w:eastAsia="Times New Roman"/>
                <w:noProof/>
              </w:rPr>
              <w:t>Asset Recovery Office</w:t>
            </w:r>
          </w:p>
        </w:tc>
      </w:tr>
      <w:tr w:rsidR="7D4F30D9" w:rsidRPr="00D4396B" w14:paraId="0A18810D"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C8F9C07" w14:textId="73C17E66" w:rsidR="7D4F30D9" w:rsidRPr="00D4396B" w:rsidRDefault="7D4F30D9" w:rsidP="7D4F30D9">
            <w:pPr>
              <w:spacing w:after="200" w:line="276" w:lineRule="auto"/>
              <w:rPr>
                <w:noProof/>
              </w:rPr>
            </w:pPr>
            <w:r w:rsidRPr="00D4396B">
              <w:rPr>
                <w:rFonts w:eastAsia="Times New Roman"/>
                <w:noProof/>
              </w:rPr>
              <w:t xml:space="preserve">CAAR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2ED4F4DE" w14:textId="23CED993" w:rsidR="7D4F30D9" w:rsidRPr="00D4396B" w:rsidRDefault="7D4F30D9" w:rsidP="7D4F30D9">
            <w:pPr>
              <w:spacing w:after="200" w:line="276" w:lineRule="auto"/>
              <w:rPr>
                <w:noProof/>
              </w:rPr>
            </w:pPr>
            <w:r w:rsidRPr="00D4396B">
              <w:rPr>
                <w:rFonts w:eastAsia="Times New Roman"/>
                <w:noProof/>
              </w:rPr>
              <w:t xml:space="preserve">Consolidated Annual Activity Report </w:t>
            </w:r>
          </w:p>
        </w:tc>
      </w:tr>
      <w:tr w:rsidR="7D4F30D9" w:rsidRPr="00D4396B" w14:paraId="75AD6269"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B028D77" w14:textId="758428DB" w:rsidR="7D4F30D9" w:rsidRPr="00D4396B" w:rsidRDefault="7D4F30D9" w:rsidP="7D4F30D9">
            <w:pPr>
              <w:spacing w:after="200" w:line="276" w:lineRule="auto"/>
              <w:rPr>
                <w:rFonts w:eastAsia="Times New Roman"/>
                <w:noProof/>
              </w:rPr>
            </w:pPr>
            <w:r w:rsidRPr="1F7DBC8D" w:rsidDel="6C8ADF5E">
              <w:rPr>
                <w:rFonts w:eastAsia="Times New Roman"/>
                <w:noProof/>
              </w:rPr>
              <w:t xml:space="preserve">CATS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EF21EF0" w14:textId="00BCA6BC" w:rsidR="7D4F30D9" w:rsidRPr="00D4396B" w:rsidRDefault="0CF2FB68" w:rsidP="1B170D98">
            <w:pPr>
              <w:spacing w:after="200" w:line="276" w:lineRule="auto"/>
              <w:rPr>
                <w:rFonts w:eastAsia="Times New Roman"/>
                <w:noProof/>
              </w:rPr>
            </w:pPr>
            <w:r w:rsidRPr="1F7DBC8D" w:rsidDel="12D7BFE7">
              <w:rPr>
                <w:rFonts w:eastAsia="Times New Roman"/>
                <w:noProof/>
              </w:rPr>
              <w:t xml:space="preserve">Informal Coordinating Committee in the area of police and judicial cooperation in criminal matters </w:t>
            </w:r>
          </w:p>
        </w:tc>
      </w:tr>
      <w:tr w:rsidR="7D4F30D9" w:rsidRPr="00D4396B" w14:paraId="7D0E0D87"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044D7722" w14:textId="775CB9B3" w:rsidR="7D4F30D9" w:rsidRPr="00D4396B" w:rsidRDefault="7D4F30D9" w:rsidP="7D4F30D9">
            <w:pPr>
              <w:spacing w:after="200" w:line="276" w:lineRule="auto"/>
              <w:rPr>
                <w:noProof/>
              </w:rPr>
            </w:pPr>
            <w:r w:rsidRPr="00D4396B">
              <w:rPr>
                <w:rFonts w:eastAsia="Times New Roman"/>
                <w:noProof/>
              </w:rPr>
              <w:t xml:space="preserve">CC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B7AE24E" w14:textId="5F372D69" w:rsidR="7D4F30D9" w:rsidRPr="00D4396B" w:rsidRDefault="7D4F30D9" w:rsidP="7D4F30D9">
            <w:pPr>
              <w:spacing w:after="200" w:line="276" w:lineRule="auto"/>
              <w:rPr>
                <w:noProof/>
              </w:rPr>
            </w:pPr>
            <w:r w:rsidRPr="00D4396B">
              <w:rPr>
                <w:rFonts w:eastAsia="Times New Roman"/>
                <w:noProof/>
              </w:rPr>
              <w:t xml:space="preserve">Coordination Centres </w:t>
            </w:r>
          </w:p>
        </w:tc>
      </w:tr>
      <w:tr w:rsidR="7D4F30D9" w:rsidRPr="00D4396B" w14:paraId="3C5570EB"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F50652D" w14:textId="115E2801" w:rsidR="7D4F30D9" w:rsidRPr="00D4396B" w:rsidRDefault="7D4F30D9" w:rsidP="7D4F30D9">
            <w:pPr>
              <w:spacing w:after="200" w:line="276" w:lineRule="auto"/>
              <w:rPr>
                <w:noProof/>
              </w:rPr>
            </w:pPr>
            <w:r w:rsidRPr="1F7DBC8D" w:rsidDel="6C8ADF5E">
              <w:rPr>
                <w:rFonts w:eastAsia="Times New Roman"/>
                <w:noProof/>
              </w:rPr>
              <w:t xml:space="preserve">CEPOL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4C440E1" w14:textId="2517F976" w:rsidR="7D4F30D9" w:rsidRPr="00D4396B" w:rsidRDefault="7D4F30D9" w:rsidP="7D4F30D9">
            <w:pPr>
              <w:spacing w:after="200" w:line="276" w:lineRule="auto"/>
              <w:rPr>
                <w:noProof/>
              </w:rPr>
            </w:pPr>
            <w:r w:rsidRPr="1F7DBC8D" w:rsidDel="6C8ADF5E">
              <w:rPr>
                <w:rFonts w:eastAsia="Times New Roman"/>
                <w:noProof/>
              </w:rPr>
              <w:t xml:space="preserve">European Union Agency for Law Enforcement Training </w:t>
            </w:r>
          </w:p>
        </w:tc>
      </w:tr>
      <w:tr w:rsidR="003D18CF" w:rsidRPr="00D4396B" w14:paraId="76F4D683"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78694F" w14:textId="0F8FF731" w:rsidR="003D18CF" w:rsidRPr="1F7DBC8D" w:rsidDel="6C8ADF5E" w:rsidRDefault="003D18CF" w:rsidP="7D4F30D9">
            <w:pPr>
              <w:spacing w:after="200" w:line="276" w:lineRule="auto"/>
              <w:rPr>
                <w:rFonts w:eastAsia="Times New Roman"/>
                <w:noProof/>
              </w:rPr>
            </w:pPr>
            <w:r>
              <w:rPr>
                <w:rFonts w:eastAsia="Times New Roman"/>
                <w:noProof/>
              </w:rPr>
              <w:t>CF</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D6CEE0B" w14:textId="6D3AD453" w:rsidR="003D18CF" w:rsidRPr="1F7DBC8D" w:rsidDel="6C8ADF5E" w:rsidRDefault="003D18CF" w:rsidP="7D4F30D9">
            <w:pPr>
              <w:spacing w:after="200" w:line="276" w:lineRule="auto"/>
              <w:rPr>
                <w:rFonts w:eastAsia="Times New Roman"/>
                <w:noProof/>
              </w:rPr>
            </w:pPr>
            <w:r>
              <w:rPr>
                <w:rFonts w:eastAsia="Times New Roman"/>
                <w:noProof/>
              </w:rPr>
              <w:t>Consultative Forum</w:t>
            </w:r>
            <w:r w:rsidR="00212638">
              <w:rPr>
                <w:rFonts w:eastAsia="Times New Roman"/>
                <w:noProof/>
              </w:rPr>
              <w:t xml:space="preserve"> </w:t>
            </w:r>
            <w:r w:rsidR="00212638" w:rsidRPr="00212638">
              <w:rPr>
                <w:rFonts w:eastAsia="Times New Roman"/>
                <w:noProof/>
              </w:rPr>
              <w:t>of Prosecutors General and Directors of Public Prosecutions</w:t>
            </w:r>
          </w:p>
        </w:tc>
      </w:tr>
      <w:tr w:rsidR="7D4F30D9" w:rsidRPr="00D4396B" w14:paraId="4AEF543C"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A68C9E8" w14:textId="6685A9EB" w:rsidR="7D4F30D9" w:rsidRPr="00D4396B" w:rsidRDefault="7D4F30D9" w:rsidP="7D4F30D9">
            <w:pPr>
              <w:spacing w:after="200" w:line="276" w:lineRule="auto"/>
              <w:rPr>
                <w:noProof/>
              </w:rPr>
            </w:pPr>
            <w:r w:rsidRPr="00D4396B">
              <w:rPr>
                <w:rFonts w:eastAsia="Times New Roman"/>
                <w:noProof/>
              </w:rPr>
              <w:t xml:space="preserve">CICED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B1AF93B" w14:textId="367EE46F" w:rsidR="7D4F30D9" w:rsidRPr="00D4396B" w:rsidRDefault="7D4F30D9" w:rsidP="7D4F30D9">
            <w:pPr>
              <w:spacing w:after="200" w:line="276" w:lineRule="auto"/>
              <w:rPr>
                <w:noProof/>
              </w:rPr>
            </w:pPr>
            <w:r w:rsidRPr="00D4396B">
              <w:rPr>
                <w:rFonts w:eastAsia="Times New Roman"/>
                <w:noProof/>
              </w:rPr>
              <w:t xml:space="preserve">Core International Crimes Evidence Database </w:t>
            </w:r>
          </w:p>
        </w:tc>
      </w:tr>
      <w:tr w:rsidR="7D4F30D9" w:rsidRPr="00D4396B" w14:paraId="0CEDCD88"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0678767" w14:textId="3CFB2BF0" w:rsidR="7D4F30D9" w:rsidRPr="00D4396B" w:rsidRDefault="7D4F30D9" w:rsidP="7D4F30D9">
            <w:pPr>
              <w:spacing w:after="200" w:line="276" w:lineRule="auto"/>
              <w:rPr>
                <w:noProof/>
              </w:rPr>
            </w:pPr>
            <w:r w:rsidRPr="00D4396B">
              <w:rPr>
                <w:rFonts w:eastAsia="Times New Roman"/>
                <w:noProof/>
              </w:rPr>
              <w:t xml:space="preserve">CM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FAF1A60" w14:textId="598E0ED6" w:rsidR="7D4F30D9" w:rsidRPr="00D4396B" w:rsidRDefault="7D4F30D9" w:rsidP="7D4F30D9">
            <w:pPr>
              <w:spacing w:after="200" w:line="276" w:lineRule="auto"/>
              <w:rPr>
                <w:noProof/>
              </w:rPr>
            </w:pPr>
            <w:r w:rsidRPr="00D4396B">
              <w:rPr>
                <w:rFonts w:eastAsia="Times New Roman"/>
                <w:noProof/>
              </w:rPr>
              <w:t xml:space="preserve">Coordination </w:t>
            </w:r>
            <w:r w:rsidRPr="4539C841">
              <w:rPr>
                <w:rFonts w:eastAsia="Times New Roman"/>
                <w:noProof/>
              </w:rPr>
              <w:t>Meeting</w:t>
            </w:r>
            <w:r w:rsidRPr="00D4396B">
              <w:rPr>
                <w:rFonts w:eastAsia="Times New Roman"/>
                <w:noProof/>
              </w:rPr>
              <w:t xml:space="preserve"> </w:t>
            </w:r>
          </w:p>
        </w:tc>
      </w:tr>
      <w:tr w:rsidR="7D4F30D9" w:rsidRPr="00D4396B" w14:paraId="169A6140"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141D087" w14:textId="0D28DDFD" w:rsidR="7D4F30D9" w:rsidRPr="00D4396B" w:rsidRDefault="7D4F30D9" w:rsidP="7D4F30D9">
            <w:pPr>
              <w:spacing w:after="200" w:line="276" w:lineRule="auto"/>
              <w:rPr>
                <w:noProof/>
              </w:rPr>
            </w:pPr>
            <w:r w:rsidRPr="00D4396B">
              <w:rPr>
                <w:rFonts w:eastAsia="Times New Roman"/>
                <w:noProof/>
              </w:rPr>
              <w:t xml:space="preserve">CMS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2F933CA4" w14:textId="7F9E2552" w:rsidR="7D4F30D9" w:rsidRPr="00D4396B" w:rsidRDefault="7D4F30D9" w:rsidP="7D4F30D9">
            <w:pPr>
              <w:spacing w:after="200" w:line="276" w:lineRule="auto"/>
              <w:rPr>
                <w:noProof/>
              </w:rPr>
            </w:pPr>
            <w:r w:rsidRPr="00D4396B">
              <w:rPr>
                <w:rFonts w:eastAsia="Times New Roman"/>
                <w:noProof/>
              </w:rPr>
              <w:t xml:space="preserve">Case Management System </w:t>
            </w:r>
          </w:p>
        </w:tc>
      </w:tr>
      <w:tr w:rsidR="7D4F30D9" w:rsidRPr="00D4396B" w14:paraId="734D015C"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C9F41D4" w14:textId="3D105A1E" w:rsidR="7D4F30D9" w:rsidRPr="00D4396B" w:rsidRDefault="7D4F30D9" w:rsidP="7D4F30D9">
            <w:pPr>
              <w:spacing w:after="200" w:line="276" w:lineRule="auto"/>
              <w:rPr>
                <w:noProof/>
              </w:rPr>
            </w:pPr>
            <w:r w:rsidRPr="00D4396B">
              <w:rPr>
                <w:rFonts w:eastAsia="Times New Roman"/>
                <w:noProof/>
              </w:rPr>
              <w:t xml:space="preserve">CTR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15685D0" w14:textId="77BBA649" w:rsidR="7D4F30D9" w:rsidRPr="00D4396B" w:rsidRDefault="7D4F30D9" w:rsidP="7D4F30D9">
            <w:pPr>
              <w:spacing w:after="200" w:line="276" w:lineRule="auto"/>
              <w:rPr>
                <w:noProof/>
              </w:rPr>
            </w:pPr>
            <w:r w:rsidRPr="00D4396B">
              <w:rPr>
                <w:rFonts w:eastAsia="Times New Roman"/>
                <w:noProof/>
              </w:rPr>
              <w:t xml:space="preserve">European Judicial Counter-Terrorism Register </w:t>
            </w:r>
          </w:p>
        </w:tc>
      </w:tr>
      <w:tr w:rsidR="7D4F30D9" w:rsidRPr="00D4396B" w14:paraId="70C9E729"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CAFFE0C" w14:textId="38AEEF9C" w:rsidR="7D4F30D9" w:rsidRPr="00D4396B" w:rsidRDefault="7D4F30D9" w:rsidP="7D4F30D9">
            <w:pPr>
              <w:spacing w:after="200" w:line="276" w:lineRule="auto"/>
              <w:rPr>
                <w:noProof/>
              </w:rPr>
            </w:pPr>
            <w:r w:rsidRPr="00D4396B">
              <w:rPr>
                <w:rFonts w:eastAsia="Times New Roman"/>
                <w:noProof/>
              </w:rPr>
              <w:t xml:space="preserve">DG HOME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0EB8945F" w14:textId="2D4CE93F" w:rsidR="7D4F30D9" w:rsidRPr="00D4396B" w:rsidRDefault="7D4F30D9" w:rsidP="7D4F30D9">
            <w:pPr>
              <w:spacing w:after="200" w:line="276" w:lineRule="auto"/>
              <w:rPr>
                <w:noProof/>
              </w:rPr>
            </w:pPr>
            <w:r w:rsidRPr="00D4396B">
              <w:rPr>
                <w:rFonts w:eastAsia="Times New Roman"/>
                <w:noProof/>
              </w:rPr>
              <w:t xml:space="preserve">Directorate-General for Migration and Home Affairs </w:t>
            </w:r>
          </w:p>
        </w:tc>
      </w:tr>
      <w:tr w:rsidR="7D4F30D9" w:rsidRPr="00D4396B" w14:paraId="676520C9"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F5CD43F" w14:textId="4CC66734" w:rsidR="7D4F30D9" w:rsidRPr="00D4396B" w:rsidRDefault="7D4F30D9" w:rsidP="7D4F30D9">
            <w:pPr>
              <w:spacing w:after="200" w:line="276" w:lineRule="auto"/>
              <w:rPr>
                <w:noProof/>
              </w:rPr>
            </w:pPr>
            <w:r w:rsidRPr="00D4396B">
              <w:rPr>
                <w:rFonts w:eastAsia="Times New Roman"/>
                <w:noProof/>
              </w:rPr>
              <w:t xml:space="preserve">DG JUST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53BBD68" w14:textId="4C09A089" w:rsidR="7D4F30D9" w:rsidRPr="00D4396B" w:rsidRDefault="0CF2FB68" w:rsidP="7D4F30D9">
            <w:pPr>
              <w:spacing w:after="200" w:line="276" w:lineRule="auto"/>
              <w:rPr>
                <w:noProof/>
              </w:rPr>
            </w:pPr>
            <w:r w:rsidRPr="00D4396B">
              <w:rPr>
                <w:rFonts w:eastAsia="Times New Roman"/>
                <w:noProof/>
              </w:rPr>
              <w:t xml:space="preserve">Directorate General </w:t>
            </w:r>
            <w:r w:rsidR="13260A3B" w:rsidRPr="00D4396B">
              <w:rPr>
                <w:rFonts w:eastAsia="Times New Roman"/>
                <w:noProof/>
              </w:rPr>
              <w:t xml:space="preserve">for </w:t>
            </w:r>
            <w:r w:rsidRPr="00D4396B">
              <w:rPr>
                <w:rFonts w:eastAsia="Times New Roman"/>
                <w:noProof/>
              </w:rPr>
              <w:t xml:space="preserve">Justice and Consumers  </w:t>
            </w:r>
          </w:p>
        </w:tc>
      </w:tr>
      <w:tr w:rsidR="7D4F30D9" w:rsidRPr="00D4396B" w14:paraId="0812E140"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5183150" w14:textId="30BB7D3E" w:rsidR="7D4F30D9" w:rsidRPr="00D4396B" w:rsidRDefault="7D4F30D9" w:rsidP="7D4F30D9">
            <w:pPr>
              <w:spacing w:after="200" w:line="276" w:lineRule="auto"/>
              <w:rPr>
                <w:noProof/>
              </w:rPr>
            </w:pPr>
            <w:r w:rsidRPr="00D4396B">
              <w:rPr>
                <w:rFonts w:eastAsia="Times New Roman"/>
                <w:noProof/>
              </w:rPr>
              <w:t xml:space="preserve">DPR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FF51A09" w14:textId="56AA4318" w:rsidR="7D4F30D9" w:rsidRPr="00D4396B" w:rsidRDefault="7D4F30D9" w:rsidP="7D4F30D9">
            <w:pPr>
              <w:spacing w:after="200" w:line="276" w:lineRule="auto"/>
              <w:rPr>
                <w:noProof/>
              </w:rPr>
            </w:pPr>
            <w:r w:rsidRPr="00D4396B">
              <w:rPr>
                <w:rFonts w:eastAsia="Times New Roman"/>
                <w:noProof/>
              </w:rPr>
              <w:t xml:space="preserve">Data Protection Rules </w:t>
            </w:r>
          </w:p>
        </w:tc>
      </w:tr>
      <w:tr w:rsidR="7D4F30D9" w:rsidRPr="00D4396B" w14:paraId="0A5253CB"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EBE208A" w14:textId="6BA28419" w:rsidR="7D4F30D9" w:rsidRPr="00D4396B" w:rsidRDefault="7D4F30D9" w:rsidP="7D4F30D9">
            <w:pPr>
              <w:spacing w:after="200" w:line="276" w:lineRule="auto"/>
              <w:rPr>
                <w:noProof/>
              </w:rPr>
            </w:pPr>
            <w:r w:rsidRPr="00D4396B">
              <w:rPr>
                <w:rFonts w:eastAsia="Times New Roman"/>
                <w:noProof/>
              </w:rPr>
              <w:t xml:space="preserve">EAW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F74CB7C" w14:textId="7A732D3B" w:rsidR="7D4F30D9" w:rsidRPr="00D4396B" w:rsidRDefault="7D4F30D9" w:rsidP="7D4F30D9">
            <w:pPr>
              <w:spacing w:after="200" w:line="276" w:lineRule="auto"/>
              <w:rPr>
                <w:noProof/>
              </w:rPr>
            </w:pPr>
            <w:r w:rsidRPr="00D4396B">
              <w:rPr>
                <w:rFonts w:eastAsia="Times New Roman"/>
                <w:noProof/>
              </w:rPr>
              <w:t xml:space="preserve">European Arrest Warrant </w:t>
            </w:r>
          </w:p>
        </w:tc>
      </w:tr>
      <w:tr w:rsidR="7D4F30D9" w:rsidRPr="00D4396B" w14:paraId="60CC04C5"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3CB793A" w14:textId="287CFDF8" w:rsidR="7D4F30D9" w:rsidRPr="00D4396B" w:rsidRDefault="7D4F30D9" w:rsidP="7D4F30D9">
            <w:pPr>
              <w:spacing w:after="200" w:line="276" w:lineRule="auto"/>
              <w:rPr>
                <w:noProof/>
              </w:rPr>
            </w:pPr>
            <w:r w:rsidRPr="00D4396B">
              <w:rPr>
                <w:rFonts w:eastAsia="Times New Roman"/>
                <w:noProof/>
              </w:rPr>
              <w:t xml:space="preserve">ECRIS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2AAD6A16" w14:textId="6C1D9892" w:rsidR="7D4F30D9" w:rsidRPr="00D4396B" w:rsidRDefault="7D4F30D9" w:rsidP="7D4F30D9">
            <w:pPr>
              <w:spacing w:after="200" w:line="276" w:lineRule="auto"/>
              <w:rPr>
                <w:noProof/>
              </w:rPr>
            </w:pPr>
            <w:r w:rsidRPr="00D4396B">
              <w:rPr>
                <w:rFonts w:eastAsia="Times New Roman"/>
                <w:noProof/>
              </w:rPr>
              <w:t xml:space="preserve">European Criminal Records Information System </w:t>
            </w:r>
          </w:p>
        </w:tc>
      </w:tr>
      <w:tr w:rsidR="00B23EF5" w:rsidRPr="00D4396B" w14:paraId="50FB918D" w14:textId="77777777" w:rsidTr="00E43B13">
        <w:trPr>
          <w:trHeight w:val="57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E8B004B" w14:textId="0D02A7F1" w:rsidR="00B23EF5" w:rsidRPr="00D4396B" w:rsidRDefault="00B23EF5" w:rsidP="7D4F30D9">
            <w:pPr>
              <w:spacing w:after="200" w:line="276" w:lineRule="auto"/>
              <w:rPr>
                <w:rFonts w:eastAsia="Times New Roman"/>
                <w:noProof/>
              </w:rPr>
            </w:pPr>
            <w:r w:rsidRPr="00D4396B">
              <w:rPr>
                <w:rFonts w:eastAsia="Times New Roman"/>
                <w:noProof/>
              </w:rPr>
              <w:t>ECRIS-TCN</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5971B35" w14:textId="1F9FDF93" w:rsidR="00B23EF5" w:rsidRPr="00D4396B" w:rsidRDefault="00B23EF5" w:rsidP="7D4F30D9">
            <w:pPr>
              <w:spacing w:after="200" w:line="276" w:lineRule="auto"/>
              <w:rPr>
                <w:rFonts w:eastAsia="Times New Roman"/>
                <w:noProof/>
              </w:rPr>
            </w:pPr>
            <w:r w:rsidRPr="00D4396B">
              <w:rPr>
                <w:rFonts w:eastAsia="Times New Roman"/>
                <w:noProof/>
              </w:rPr>
              <w:t>European Criminal Records Information System – Third Country Nationals</w:t>
            </w:r>
          </w:p>
        </w:tc>
      </w:tr>
      <w:tr w:rsidR="7D4F30D9" w:rsidRPr="00D4396B" w14:paraId="4B12E643"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B34318" w14:textId="1326DE8D" w:rsidR="7D4F30D9" w:rsidRPr="00D4396B" w:rsidRDefault="7D4F30D9" w:rsidP="7D4F30D9">
            <w:pPr>
              <w:spacing w:after="200" w:line="276" w:lineRule="auto"/>
              <w:rPr>
                <w:noProof/>
              </w:rPr>
            </w:pPr>
            <w:r w:rsidRPr="00D4396B">
              <w:rPr>
                <w:rFonts w:eastAsia="Times New Roman"/>
                <w:noProof/>
              </w:rPr>
              <w:t xml:space="preserve">EDPS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1F5C6AA" w14:textId="37223747" w:rsidR="7D4F30D9" w:rsidRPr="00D4396B" w:rsidRDefault="7D4F30D9" w:rsidP="7D4F30D9">
            <w:pPr>
              <w:spacing w:after="200" w:line="276" w:lineRule="auto"/>
              <w:rPr>
                <w:noProof/>
              </w:rPr>
            </w:pPr>
            <w:r w:rsidRPr="00D4396B">
              <w:rPr>
                <w:rFonts w:eastAsia="Times New Roman"/>
                <w:noProof/>
              </w:rPr>
              <w:t xml:space="preserve">European Data Protection Supervisor </w:t>
            </w:r>
          </w:p>
        </w:tc>
      </w:tr>
      <w:tr w:rsidR="7D4F30D9" w:rsidRPr="00D4396B" w14:paraId="1E51E69C"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653E3D2" w14:textId="24DAD1B9" w:rsidR="7D4F30D9" w:rsidRPr="00D4396B" w:rsidRDefault="7D4F30D9" w:rsidP="7D4F30D9">
            <w:pPr>
              <w:spacing w:after="200" w:line="276" w:lineRule="auto"/>
              <w:rPr>
                <w:noProof/>
              </w:rPr>
            </w:pPr>
            <w:r w:rsidRPr="00D4396B">
              <w:rPr>
                <w:rFonts w:eastAsia="Times New Roman"/>
                <w:noProof/>
              </w:rPr>
              <w:t xml:space="preserve">EJN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FE4821B" w14:textId="65A494F4" w:rsidR="7D4F30D9" w:rsidRPr="00D4396B" w:rsidRDefault="7D4F30D9" w:rsidP="7D4F30D9">
            <w:pPr>
              <w:spacing w:after="200" w:line="276" w:lineRule="auto"/>
              <w:rPr>
                <w:noProof/>
              </w:rPr>
            </w:pPr>
            <w:r w:rsidRPr="00D4396B">
              <w:rPr>
                <w:rFonts w:eastAsia="Times New Roman"/>
                <w:noProof/>
              </w:rPr>
              <w:t xml:space="preserve">European Judicial Network </w:t>
            </w:r>
          </w:p>
        </w:tc>
      </w:tr>
      <w:tr w:rsidR="7B32C537" w:rsidRPr="00D4396B" w14:paraId="44DE74AC"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6946C3E" w14:textId="7377F6B0" w:rsidR="2266B741" w:rsidRPr="00D4396B" w:rsidRDefault="2266B741" w:rsidP="7B32C537">
            <w:pPr>
              <w:spacing w:line="276" w:lineRule="auto"/>
              <w:rPr>
                <w:rFonts w:eastAsia="Times New Roman"/>
                <w:noProof/>
              </w:rPr>
            </w:pPr>
            <w:r w:rsidRPr="00D4396B">
              <w:rPr>
                <w:rFonts w:eastAsia="Times New Roman"/>
                <w:noProof/>
              </w:rPr>
              <w:t>EJR</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26CF68D" w14:textId="4F6AC109" w:rsidR="2266B741" w:rsidRPr="00D4396B" w:rsidRDefault="2266B741" w:rsidP="7B32C537">
            <w:pPr>
              <w:spacing w:line="276" w:lineRule="auto"/>
              <w:rPr>
                <w:rFonts w:eastAsia="Times New Roman"/>
                <w:noProof/>
              </w:rPr>
            </w:pPr>
            <w:r w:rsidRPr="00D4396B">
              <w:rPr>
                <w:rFonts w:eastAsia="Times New Roman"/>
                <w:noProof/>
              </w:rPr>
              <w:t>Eurojust Regulation</w:t>
            </w:r>
          </w:p>
        </w:tc>
      </w:tr>
      <w:tr w:rsidR="7D4F30D9" w:rsidRPr="00D4396B" w14:paraId="1313F639"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F4B00C0" w14:textId="7E5A0E67" w:rsidR="7D4F30D9" w:rsidRPr="00D4396B" w:rsidRDefault="7D4F30D9" w:rsidP="7D4F30D9">
            <w:pPr>
              <w:spacing w:after="200" w:line="276" w:lineRule="auto"/>
              <w:rPr>
                <w:noProof/>
              </w:rPr>
            </w:pPr>
            <w:r w:rsidRPr="00D4396B">
              <w:rPr>
                <w:rFonts w:eastAsia="Times New Roman"/>
                <w:noProof/>
              </w:rPr>
              <w:t xml:space="preserve">EIO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76EA8F7" w14:textId="110F4984" w:rsidR="7D4F30D9" w:rsidRPr="00D4396B" w:rsidRDefault="7D4F30D9" w:rsidP="7D4F30D9">
            <w:pPr>
              <w:spacing w:after="200" w:line="276" w:lineRule="auto"/>
              <w:rPr>
                <w:noProof/>
              </w:rPr>
            </w:pPr>
            <w:r w:rsidRPr="00D4396B">
              <w:rPr>
                <w:rFonts w:eastAsia="Times New Roman"/>
                <w:noProof/>
              </w:rPr>
              <w:t xml:space="preserve">European Investigation Order </w:t>
            </w:r>
          </w:p>
        </w:tc>
      </w:tr>
      <w:tr w:rsidR="7D4F30D9" w:rsidRPr="00D4396B" w14:paraId="5C8F1DBD"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BDACF75" w14:textId="5B0F44A4" w:rsidR="7D4F30D9" w:rsidRPr="00D4396B" w:rsidRDefault="7D4F30D9" w:rsidP="7D4F30D9">
            <w:pPr>
              <w:spacing w:after="200" w:line="276" w:lineRule="auto"/>
              <w:rPr>
                <w:noProof/>
              </w:rPr>
            </w:pPr>
            <w:r w:rsidRPr="00D4396B">
              <w:rPr>
                <w:rFonts w:eastAsia="Times New Roman"/>
                <w:noProof/>
              </w:rPr>
              <w:t xml:space="preserve">EMPACT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9BA7DBA" w14:textId="54D72FA9" w:rsidR="7D4F30D9" w:rsidRPr="00D4396B" w:rsidRDefault="7D4F30D9" w:rsidP="7D4F30D9">
            <w:pPr>
              <w:spacing w:after="200" w:line="276" w:lineRule="auto"/>
              <w:rPr>
                <w:noProof/>
              </w:rPr>
            </w:pPr>
            <w:r w:rsidRPr="00D4396B">
              <w:rPr>
                <w:rFonts w:eastAsia="Times New Roman"/>
                <w:noProof/>
              </w:rPr>
              <w:t xml:space="preserve">European Multidisciplinary Platform Against Criminal Threats </w:t>
            </w:r>
          </w:p>
        </w:tc>
      </w:tr>
      <w:tr w:rsidR="7D4F30D9" w:rsidRPr="00D4396B" w14:paraId="3ECD1A0A"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AA3479A" w14:textId="3F4F43F2" w:rsidR="7D4F30D9" w:rsidRPr="00D4396B" w:rsidRDefault="7D4F30D9" w:rsidP="7D4F30D9">
            <w:pPr>
              <w:spacing w:after="200" w:line="276" w:lineRule="auto"/>
              <w:rPr>
                <w:noProof/>
              </w:rPr>
            </w:pPr>
            <w:r w:rsidRPr="00D4396B">
              <w:rPr>
                <w:rFonts w:eastAsia="Times New Roman"/>
                <w:noProof/>
              </w:rPr>
              <w:t xml:space="preserve">ENCS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EF07FB5" w14:textId="498496E5" w:rsidR="7D4F30D9" w:rsidRPr="00D4396B" w:rsidRDefault="0CF2FB68" w:rsidP="7D4F30D9">
            <w:pPr>
              <w:spacing w:after="200" w:line="276" w:lineRule="auto"/>
              <w:rPr>
                <w:noProof/>
              </w:rPr>
            </w:pPr>
            <w:r w:rsidRPr="00D4396B">
              <w:rPr>
                <w:rFonts w:eastAsia="Times New Roman"/>
                <w:noProof/>
              </w:rPr>
              <w:t xml:space="preserve">Eurojust </w:t>
            </w:r>
            <w:r w:rsidR="438CA7AC" w:rsidRPr="00D4396B">
              <w:rPr>
                <w:rFonts w:eastAsia="Times New Roman"/>
                <w:noProof/>
              </w:rPr>
              <w:t>N</w:t>
            </w:r>
            <w:r w:rsidRPr="00D4396B">
              <w:rPr>
                <w:rFonts w:eastAsia="Times New Roman"/>
                <w:noProof/>
              </w:rPr>
              <w:t xml:space="preserve">ational </w:t>
            </w:r>
            <w:r w:rsidR="5E404E3C" w:rsidRPr="00D4396B">
              <w:rPr>
                <w:rFonts w:eastAsia="Times New Roman"/>
                <w:noProof/>
              </w:rPr>
              <w:t>C</w:t>
            </w:r>
            <w:r w:rsidRPr="00D4396B">
              <w:rPr>
                <w:rFonts w:eastAsia="Times New Roman"/>
                <w:noProof/>
              </w:rPr>
              <w:t xml:space="preserve">oordination </w:t>
            </w:r>
            <w:r w:rsidR="5E404E3C" w:rsidRPr="00D4396B">
              <w:rPr>
                <w:rFonts w:eastAsia="Times New Roman"/>
                <w:noProof/>
              </w:rPr>
              <w:t>S</w:t>
            </w:r>
            <w:r w:rsidRPr="00D4396B">
              <w:rPr>
                <w:rFonts w:eastAsia="Times New Roman"/>
                <w:noProof/>
              </w:rPr>
              <w:t xml:space="preserve">ystems  </w:t>
            </w:r>
          </w:p>
        </w:tc>
      </w:tr>
      <w:tr w:rsidR="7D4F30D9" w:rsidRPr="00D4396B" w14:paraId="7FEC5776"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20F775D0" w14:textId="1EE0283F" w:rsidR="7D4F30D9" w:rsidRPr="00D4396B" w:rsidRDefault="7D4F30D9" w:rsidP="7D4F30D9">
            <w:pPr>
              <w:spacing w:after="200" w:line="276" w:lineRule="auto"/>
              <w:rPr>
                <w:noProof/>
              </w:rPr>
            </w:pPr>
            <w:r w:rsidRPr="00D4396B">
              <w:rPr>
                <w:rFonts w:eastAsia="Times New Roman"/>
                <w:noProof/>
              </w:rPr>
              <w:t xml:space="preserve">EPPO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721D6F5" w14:textId="275C1F74" w:rsidR="7D4F30D9" w:rsidRPr="00D4396B" w:rsidRDefault="7D4F30D9" w:rsidP="7D4F30D9">
            <w:pPr>
              <w:spacing w:after="200" w:line="276" w:lineRule="auto"/>
              <w:rPr>
                <w:noProof/>
              </w:rPr>
            </w:pPr>
            <w:r w:rsidRPr="00D4396B">
              <w:rPr>
                <w:rFonts w:eastAsia="Times New Roman"/>
                <w:noProof/>
              </w:rPr>
              <w:t xml:space="preserve">European Public Prosecutor’s Office  </w:t>
            </w:r>
          </w:p>
        </w:tc>
      </w:tr>
      <w:tr w:rsidR="7D4F30D9" w:rsidRPr="00D4396B" w14:paraId="755145E1"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080ADAAA" w14:textId="2D2E07AB" w:rsidR="7D4F30D9" w:rsidRPr="00D4396B" w:rsidRDefault="7D4F30D9" w:rsidP="7D4F30D9">
            <w:pPr>
              <w:spacing w:after="200" w:line="276" w:lineRule="auto"/>
              <w:rPr>
                <w:noProof/>
              </w:rPr>
            </w:pPr>
            <w:r w:rsidRPr="00D4396B">
              <w:rPr>
                <w:rFonts w:eastAsia="Times New Roman"/>
                <w:noProof/>
              </w:rPr>
              <w:t xml:space="preserve">EU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F83543A" w14:textId="1F2272C8" w:rsidR="7D4F30D9" w:rsidRPr="00D4396B" w:rsidRDefault="7D4F30D9" w:rsidP="7D4F30D9">
            <w:pPr>
              <w:spacing w:after="200" w:line="276" w:lineRule="auto"/>
              <w:rPr>
                <w:noProof/>
              </w:rPr>
            </w:pPr>
            <w:r w:rsidRPr="00D4396B">
              <w:rPr>
                <w:rFonts w:eastAsia="Times New Roman"/>
                <w:noProof/>
              </w:rPr>
              <w:t xml:space="preserve">European Union </w:t>
            </w:r>
          </w:p>
        </w:tc>
      </w:tr>
      <w:tr w:rsidR="0387C75E" w14:paraId="401A18B7"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151E12D" w14:textId="12672281" w:rsidR="5CCE095E" w:rsidRDefault="5CCE095E" w:rsidP="0387C75E">
            <w:pPr>
              <w:spacing w:line="276" w:lineRule="auto"/>
              <w:rPr>
                <w:noProof/>
              </w:rPr>
            </w:pPr>
            <w:r w:rsidRPr="0387C75E">
              <w:rPr>
                <w:rFonts w:eastAsia="Times New Roman"/>
                <w:noProof/>
              </w:rPr>
              <w:t>EUCA</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0C7AE879" w14:textId="7AF3D9BA" w:rsidR="5CCE095E" w:rsidRDefault="5CCE095E" w:rsidP="0387C75E">
            <w:pPr>
              <w:spacing w:line="276" w:lineRule="auto"/>
              <w:rPr>
                <w:noProof/>
              </w:rPr>
            </w:pPr>
            <w:r w:rsidRPr="0387C75E">
              <w:rPr>
                <w:rFonts w:eastAsia="Times New Roman"/>
                <w:noProof/>
              </w:rPr>
              <w:t>European Union Customs Authority</w:t>
            </w:r>
          </w:p>
        </w:tc>
      </w:tr>
      <w:tr w:rsidR="7B32C537" w:rsidRPr="00D4396B" w14:paraId="267E4CC7"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09E79AD5" w14:textId="08A4B587" w:rsidR="65B04C4D" w:rsidRPr="00D4396B" w:rsidRDefault="65B04C4D" w:rsidP="7B32C537">
            <w:pPr>
              <w:spacing w:line="276" w:lineRule="auto"/>
              <w:rPr>
                <w:rFonts w:eastAsia="Times New Roman"/>
                <w:noProof/>
              </w:rPr>
            </w:pPr>
            <w:r w:rsidRPr="00D4396B">
              <w:rPr>
                <w:rFonts w:eastAsia="Times New Roman"/>
                <w:noProof/>
              </w:rPr>
              <w:t>EUDPR</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952AED0" w14:textId="7DF727EE" w:rsidR="0ACB507C" w:rsidRPr="00D4396B" w:rsidRDefault="0ACB507C" w:rsidP="7B32C537">
            <w:pPr>
              <w:spacing w:line="276" w:lineRule="auto"/>
              <w:rPr>
                <w:rFonts w:eastAsia="Times New Roman"/>
                <w:noProof/>
                <w:lang w:val="fr-FR"/>
              </w:rPr>
            </w:pPr>
            <w:r w:rsidRPr="00D4396B">
              <w:rPr>
                <w:rFonts w:eastAsia="Times New Roman"/>
                <w:noProof/>
                <w:lang w:val="fr-FR"/>
              </w:rPr>
              <w:t xml:space="preserve">EU Data Protection </w:t>
            </w:r>
            <w:r w:rsidR="4B99BA79" w:rsidRPr="00D4396B">
              <w:rPr>
                <w:rFonts w:eastAsia="Times New Roman"/>
                <w:noProof/>
                <w:lang w:val="fr-FR"/>
              </w:rPr>
              <w:t>R</w:t>
            </w:r>
            <w:r w:rsidR="51EBBAE3" w:rsidRPr="00D4396B">
              <w:rPr>
                <w:rFonts w:eastAsia="Times New Roman"/>
                <w:noProof/>
                <w:lang w:val="fr-FR"/>
              </w:rPr>
              <w:t>egulation</w:t>
            </w:r>
          </w:p>
        </w:tc>
      </w:tr>
      <w:tr w:rsidR="7D4F30D9" w:rsidRPr="00D4396B" w14:paraId="03E1CD2B"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534B2E3" w14:textId="20D8D179" w:rsidR="7D4F30D9" w:rsidRPr="00D4396B" w:rsidRDefault="7D4F30D9" w:rsidP="7D4F30D9">
            <w:pPr>
              <w:spacing w:after="200" w:line="276" w:lineRule="auto"/>
              <w:rPr>
                <w:noProof/>
              </w:rPr>
            </w:pPr>
            <w:r w:rsidRPr="00D4396B">
              <w:rPr>
                <w:rFonts w:eastAsia="Times New Roman"/>
                <w:noProof/>
              </w:rPr>
              <w:t xml:space="preserve">Eurojust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CCFE5FF" w14:textId="0DC3D42B" w:rsidR="7D4F30D9" w:rsidRPr="00D4396B" w:rsidRDefault="7D4F30D9" w:rsidP="7D4F30D9">
            <w:pPr>
              <w:spacing w:after="200" w:line="276" w:lineRule="auto"/>
              <w:rPr>
                <w:noProof/>
              </w:rPr>
            </w:pPr>
            <w:r w:rsidRPr="00D4396B">
              <w:rPr>
                <w:rFonts w:eastAsia="Times New Roman"/>
                <w:noProof/>
              </w:rPr>
              <w:t>E</w:t>
            </w:r>
            <w:r w:rsidR="00BC5F00" w:rsidRPr="00D4396B">
              <w:rPr>
                <w:rFonts w:eastAsia="Times New Roman"/>
                <w:noProof/>
              </w:rPr>
              <w:t>uropean Union</w:t>
            </w:r>
            <w:r w:rsidRPr="00D4396B">
              <w:rPr>
                <w:rFonts w:eastAsia="Times New Roman"/>
                <w:noProof/>
              </w:rPr>
              <w:t xml:space="preserve"> Agency for Criminal Justice Cooperation </w:t>
            </w:r>
          </w:p>
        </w:tc>
      </w:tr>
      <w:tr w:rsidR="7D4F30D9" w:rsidRPr="00D4396B" w14:paraId="27506F39"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A234734" w14:textId="7CE89AB0" w:rsidR="7D4F30D9" w:rsidRPr="00D4396B" w:rsidRDefault="7D4F30D9" w:rsidP="7D4F30D9">
            <w:pPr>
              <w:spacing w:after="200" w:line="276" w:lineRule="auto"/>
              <w:rPr>
                <w:noProof/>
              </w:rPr>
            </w:pPr>
            <w:r w:rsidRPr="00D4396B">
              <w:rPr>
                <w:rFonts w:eastAsia="Times New Roman"/>
                <w:noProof/>
              </w:rPr>
              <w:t xml:space="preserve">Europol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2B068B59" w14:textId="77777777" w:rsidR="7D4F30D9" w:rsidRPr="00D4396B" w:rsidRDefault="7D4F30D9" w:rsidP="7D4F30D9">
            <w:pPr>
              <w:spacing w:after="200" w:line="276" w:lineRule="auto"/>
              <w:rPr>
                <w:noProof/>
              </w:rPr>
            </w:pPr>
            <w:r w:rsidRPr="00D4396B">
              <w:rPr>
                <w:rFonts w:eastAsia="Times New Roman"/>
                <w:noProof/>
              </w:rPr>
              <w:t xml:space="preserve">European Union Agency for Law Enforcement Cooperation </w:t>
            </w:r>
          </w:p>
        </w:tc>
      </w:tr>
      <w:tr w:rsidR="7D4F30D9" w:rsidRPr="00D4396B" w14:paraId="25F59603"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2E33DF98" w14:textId="17301171" w:rsidR="7D4F30D9" w:rsidRPr="00D4396B" w:rsidRDefault="7D4F30D9" w:rsidP="7D4F30D9">
            <w:pPr>
              <w:spacing w:after="200" w:line="276" w:lineRule="auto"/>
              <w:rPr>
                <w:noProof/>
              </w:rPr>
            </w:pPr>
            <w:r w:rsidRPr="00D4396B">
              <w:rPr>
                <w:rFonts w:eastAsia="Times New Roman"/>
                <w:noProof/>
              </w:rPr>
              <w:t xml:space="preserve">eu-LISA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0681679" w14:textId="0F103F4F" w:rsidR="7D4F30D9" w:rsidRPr="00D4396B" w:rsidRDefault="7D4F30D9" w:rsidP="7D4F30D9">
            <w:pPr>
              <w:spacing w:after="200" w:line="276" w:lineRule="auto"/>
              <w:rPr>
                <w:noProof/>
              </w:rPr>
            </w:pPr>
            <w:r w:rsidRPr="00D4396B">
              <w:rPr>
                <w:rFonts w:eastAsia="Times New Roman"/>
                <w:noProof/>
              </w:rPr>
              <w:t xml:space="preserve">European Union Agency for the Operational Management of Large-Scale IT Systems in the Area of Freedom, Security and Justice </w:t>
            </w:r>
          </w:p>
        </w:tc>
      </w:tr>
      <w:tr w:rsidR="00864032" w:rsidRPr="00D4396B" w14:paraId="5E51E8C3"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B585124" w14:textId="6F676CA0" w:rsidR="00864032" w:rsidRPr="00D4396B" w:rsidRDefault="00864032" w:rsidP="7D4F30D9">
            <w:pPr>
              <w:spacing w:after="200" w:line="276" w:lineRule="auto"/>
              <w:rPr>
                <w:rFonts w:eastAsia="Times New Roman"/>
                <w:noProof/>
              </w:rPr>
            </w:pPr>
            <w:r>
              <w:rPr>
                <w:rFonts w:eastAsia="Times New Roman"/>
                <w:noProof/>
              </w:rPr>
              <w:t>E</w:t>
            </w:r>
            <w:r w:rsidR="00F66A0B">
              <w:rPr>
                <w:rFonts w:eastAsia="Times New Roman"/>
                <w:noProof/>
              </w:rPr>
              <w:t>B</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62D98F6" w14:textId="3D884FB5" w:rsidR="00864032" w:rsidRPr="00D4396B" w:rsidRDefault="00F66A0B" w:rsidP="7D4F30D9">
            <w:pPr>
              <w:spacing w:after="200" w:line="276" w:lineRule="auto"/>
              <w:rPr>
                <w:rFonts w:eastAsia="Times New Roman"/>
                <w:noProof/>
              </w:rPr>
            </w:pPr>
            <w:r>
              <w:rPr>
                <w:rFonts w:eastAsia="Times New Roman"/>
                <w:noProof/>
              </w:rPr>
              <w:t>Executive Board</w:t>
            </w:r>
          </w:p>
        </w:tc>
      </w:tr>
      <w:tr w:rsidR="7D4F30D9" w:rsidRPr="00D4396B" w14:paraId="0629A50A"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55EFFFA" w14:textId="67DCDF65" w:rsidR="7D4F30D9" w:rsidRPr="00D4396B" w:rsidRDefault="7D4F30D9" w:rsidP="7D4F30D9">
            <w:pPr>
              <w:spacing w:after="200" w:line="276" w:lineRule="auto"/>
              <w:rPr>
                <w:noProof/>
              </w:rPr>
            </w:pPr>
            <w:r w:rsidRPr="00D4396B">
              <w:rPr>
                <w:rFonts w:eastAsia="Times New Roman"/>
                <w:noProof/>
              </w:rPr>
              <w:t xml:space="preserve">FRA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4A7EC4D" w14:textId="52F24A88" w:rsidR="7D4F30D9" w:rsidRPr="00D4396B" w:rsidRDefault="7D4F30D9" w:rsidP="7D4F30D9">
            <w:pPr>
              <w:spacing w:after="200" w:line="276" w:lineRule="auto"/>
              <w:rPr>
                <w:noProof/>
              </w:rPr>
            </w:pPr>
            <w:r w:rsidRPr="00D4396B">
              <w:rPr>
                <w:rFonts w:eastAsia="Times New Roman"/>
                <w:noProof/>
              </w:rPr>
              <w:t xml:space="preserve">European Union Agency for Fundamental Rights </w:t>
            </w:r>
          </w:p>
        </w:tc>
      </w:tr>
      <w:tr w:rsidR="7D4F30D9" w:rsidRPr="00D4396B" w14:paraId="147E9470"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09E3B364" w14:textId="01E50BA5" w:rsidR="7D4F30D9" w:rsidRPr="00D4396B" w:rsidRDefault="7D4F30D9" w:rsidP="7D4F30D9">
            <w:pPr>
              <w:spacing w:after="200" w:line="276" w:lineRule="auto"/>
              <w:rPr>
                <w:noProof/>
              </w:rPr>
            </w:pPr>
            <w:r w:rsidRPr="00D4396B">
              <w:rPr>
                <w:rFonts w:eastAsia="Times New Roman"/>
                <w:noProof/>
              </w:rPr>
              <w:t xml:space="preserve">FRONTEX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4A864AA" w14:textId="0A86E2E6" w:rsidR="7D4F30D9" w:rsidRPr="00D4396B" w:rsidRDefault="7D4F30D9" w:rsidP="7D4F30D9">
            <w:pPr>
              <w:spacing w:after="200" w:line="276" w:lineRule="auto"/>
              <w:rPr>
                <w:noProof/>
              </w:rPr>
            </w:pPr>
            <w:r w:rsidRPr="00D4396B">
              <w:rPr>
                <w:rFonts w:eastAsia="Times New Roman"/>
                <w:noProof/>
              </w:rPr>
              <w:t xml:space="preserve">European Border and Coast Guard Agency </w:t>
            </w:r>
          </w:p>
        </w:tc>
      </w:tr>
      <w:tr w:rsidR="00B74E8F" w:rsidRPr="00D4396B" w14:paraId="76B588EB"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A4E3FD6" w14:textId="1D8A3B5C" w:rsidR="00B74E8F" w:rsidRPr="00D4396B" w:rsidRDefault="00B74E8F" w:rsidP="7D4F30D9">
            <w:pPr>
              <w:spacing w:after="200" w:line="276" w:lineRule="auto"/>
              <w:rPr>
                <w:rFonts w:eastAsia="Times New Roman"/>
                <w:noProof/>
              </w:rPr>
            </w:pPr>
            <w:r w:rsidRPr="00D4396B">
              <w:rPr>
                <w:rFonts w:eastAsia="Times New Roman"/>
                <w:noProof/>
              </w:rPr>
              <w:t>FTE</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26F3EC1B" w14:textId="14DA40FE" w:rsidR="00B74E8F" w:rsidRPr="00D4396B" w:rsidRDefault="00753A6A" w:rsidP="7D4F30D9">
            <w:pPr>
              <w:spacing w:after="200" w:line="276" w:lineRule="auto"/>
              <w:rPr>
                <w:rFonts w:eastAsia="Times New Roman"/>
                <w:noProof/>
              </w:rPr>
            </w:pPr>
            <w:r w:rsidRPr="00D4396B">
              <w:rPr>
                <w:rFonts w:eastAsia="Times New Roman"/>
                <w:noProof/>
              </w:rPr>
              <w:t>Full-Time Equivalent</w:t>
            </w:r>
          </w:p>
        </w:tc>
      </w:tr>
      <w:tr w:rsidR="0387C75E" w14:paraId="76BA9DD1"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646E777" w14:textId="5082E03A" w:rsidR="08E774BF" w:rsidRDefault="08E774BF" w:rsidP="0387C75E">
            <w:pPr>
              <w:spacing w:line="276" w:lineRule="auto"/>
              <w:rPr>
                <w:noProof/>
              </w:rPr>
            </w:pPr>
            <w:r w:rsidRPr="0387C75E">
              <w:rPr>
                <w:rFonts w:eastAsia="Times New Roman"/>
                <w:noProof/>
              </w:rPr>
              <w:t>GBV</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73C4A3C" w14:textId="6612A4DB" w:rsidR="08E774BF" w:rsidRDefault="08E774BF" w:rsidP="0387C75E">
            <w:pPr>
              <w:spacing w:line="276" w:lineRule="auto"/>
              <w:rPr>
                <w:noProof/>
              </w:rPr>
            </w:pPr>
            <w:r w:rsidRPr="0387C75E">
              <w:rPr>
                <w:rFonts w:eastAsia="Times New Roman"/>
                <w:noProof/>
              </w:rPr>
              <w:t>Gender</w:t>
            </w:r>
            <w:r w:rsidR="00D94299">
              <w:rPr>
                <w:rFonts w:eastAsia="Times New Roman"/>
                <w:noProof/>
              </w:rPr>
              <w:t>-</w:t>
            </w:r>
            <w:r w:rsidRPr="0387C75E">
              <w:rPr>
                <w:rFonts w:eastAsia="Times New Roman"/>
                <w:noProof/>
              </w:rPr>
              <w:t>Based Violence</w:t>
            </w:r>
          </w:p>
        </w:tc>
      </w:tr>
      <w:tr w:rsidR="7D4F30D9" w:rsidRPr="00D4396B" w14:paraId="0538B7E7"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5EB5E34" w14:textId="195BCBA2" w:rsidR="7D4F30D9" w:rsidRPr="00D4396B" w:rsidRDefault="7D4F30D9" w:rsidP="7D4F30D9">
            <w:pPr>
              <w:spacing w:after="200" w:line="276" w:lineRule="auto"/>
              <w:rPr>
                <w:noProof/>
              </w:rPr>
            </w:pPr>
            <w:r w:rsidRPr="00D4396B">
              <w:rPr>
                <w:rFonts w:eastAsia="Times New Roman"/>
                <w:noProof/>
              </w:rPr>
              <w:t xml:space="preserve">IBOA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B0B2AC1" w14:textId="5C26F7A6" w:rsidR="7D4F30D9" w:rsidRPr="00D4396B" w:rsidRDefault="0CF2FB68" w:rsidP="1B170D98">
            <w:pPr>
              <w:spacing w:after="200" w:line="276" w:lineRule="auto"/>
              <w:rPr>
                <w:rFonts w:eastAsia="Times New Roman"/>
                <w:noProof/>
              </w:rPr>
            </w:pPr>
            <w:r w:rsidRPr="00D4396B">
              <w:rPr>
                <w:rFonts w:eastAsia="Times New Roman"/>
                <w:noProof/>
              </w:rPr>
              <w:t xml:space="preserve">EU institutions, bodies, offices and agencies </w:t>
            </w:r>
          </w:p>
        </w:tc>
      </w:tr>
      <w:tr w:rsidR="7D4F30D9" w:rsidRPr="00D4396B" w14:paraId="546B2678"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074A2831" w14:textId="1CF7559E" w:rsidR="7D4F30D9" w:rsidRPr="00D4396B" w:rsidRDefault="7D4F30D9" w:rsidP="7D4F30D9">
            <w:pPr>
              <w:spacing w:after="200" w:line="276" w:lineRule="auto"/>
              <w:rPr>
                <w:noProof/>
              </w:rPr>
            </w:pPr>
            <w:r w:rsidRPr="00D4396B">
              <w:rPr>
                <w:rFonts w:eastAsia="Times New Roman"/>
                <w:noProof/>
              </w:rPr>
              <w:t xml:space="preserve">ICF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8A9E8F6" w14:textId="44EF5AA7" w:rsidR="7D4F30D9" w:rsidRPr="00D4396B" w:rsidRDefault="7D4F30D9" w:rsidP="7D4F30D9">
            <w:pPr>
              <w:spacing w:after="200" w:line="276" w:lineRule="auto"/>
              <w:rPr>
                <w:noProof/>
              </w:rPr>
            </w:pPr>
            <w:r w:rsidRPr="00D4396B">
              <w:rPr>
                <w:rFonts w:eastAsia="Times New Roman"/>
                <w:noProof/>
              </w:rPr>
              <w:t xml:space="preserve">Internal Control Framework </w:t>
            </w:r>
          </w:p>
        </w:tc>
      </w:tr>
      <w:tr w:rsidR="7D4F30D9" w:rsidRPr="00D4396B" w14:paraId="5A9995C7"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655E1F7" w14:textId="710B719A" w:rsidR="7D4F30D9" w:rsidRPr="00D4396B" w:rsidRDefault="7D4F30D9" w:rsidP="7D4F30D9">
            <w:pPr>
              <w:spacing w:after="200" w:line="276" w:lineRule="auto"/>
              <w:rPr>
                <w:noProof/>
              </w:rPr>
            </w:pPr>
            <w:r w:rsidRPr="00D4396B">
              <w:rPr>
                <w:rFonts w:eastAsia="Times New Roman"/>
                <w:noProof/>
              </w:rPr>
              <w:t xml:space="preserve">ICPA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A57C0A2" w14:textId="6BFD7209" w:rsidR="7D4F30D9" w:rsidRPr="00D4396B" w:rsidRDefault="7D4F30D9" w:rsidP="7D4F30D9">
            <w:pPr>
              <w:spacing w:after="200" w:line="276" w:lineRule="auto"/>
              <w:rPr>
                <w:noProof/>
              </w:rPr>
            </w:pPr>
            <w:r w:rsidRPr="00D4396B">
              <w:rPr>
                <w:rFonts w:eastAsia="Times New Roman"/>
                <w:noProof/>
              </w:rPr>
              <w:t xml:space="preserve">International Centre for the Prosecution of the Crime of Aggression against Ukraine </w:t>
            </w:r>
          </w:p>
        </w:tc>
      </w:tr>
      <w:tr w:rsidR="7D4F30D9" w:rsidRPr="00D4396B" w14:paraId="0BB1977F"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3F349F8" w14:textId="370E29E2" w:rsidR="7D4F30D9" w:rsidRPr="00D4396B" w:rsidRDefault="7D4F30D9" w:rsidP="7D4F30D9">
            <w:pPr>
              <w:spacing w:after="200" w:line="276" w:lineRule="auto"/>
              <w:rPr>
                <w:noProof/>
              </w:rPr>
            </w:pPr>
            <w:r w:rsidRPr="00D4396B">
              <w:rPr>
                <w:rFonts w:eastAsia="Times New Roman"/>
                <w:noProof/>
              </w:rPr>
              <w:t xml:space="preserve">JHA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BE996A7" w14:textId="1DE8CCEB" w:rsidR="7D4F30D9" w:rsidRPr="00D4396B" w:rsidRDefault="7D4F30D9" w:rsidP="7D4F30D9">
            <w:pPr>
              <w:spacing w:after="200" w:line="276" w:lineRule="auto"/>
              <w:rPr>
                <w:noProof/>
              </w:rPr>
            </w:pPr>
            <w:r w:rsidRPr="00D4396B">
              <w:rPr>
                <w:rFonts w:eastAsia="Times New Roman"/>
                <w:noProof/>
              </w:rPr>
              <w:t xml:space="preserve">Justice and Home Affairs </w:t>
            </w:r>
          </w:p>
        </w:tc>
      </w:tr>
      <w:tr w:rsidR="7D4F30D9" w:rsidRPr="00D4396B" w14:paraId="3D02F7B2"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60E23EE" w14:textId="3AF61631" w:rsidR="7D4F30D9" w:rsidRPr="00D4396B" w:rsidRDefault="7D4F30D9" w:rsidP="7D4F30D9">
            <w:pPr>
              <w:spacing w:after="200" w:line="276" w:lineRule="auto"/>
              <w:rPr>
                <w:noProof/>
              </w:rPr>
            </w:pPr>
            <w:r w:rsidRPr="00D4396B">
              <w:rPr>
                <w:rFonts w:eastAsia="Times New Roman"/>
                <w:noProof/>
              </w:rPr>
              <w:t xml:space="preserve">JIT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B6A2697" w14:textId="238D6F69" w:rsidR="7D4F30D9" w:rsidRPr="00D4396B" w:rsidRDefault="7D4F30D9" w:rsidP="7D4F30D9">
            <w:pPr>
              <w:spacing w:after="200" w:line="276" w:lineRule="auto"/>
              <w:rPr>
                <w:noProof/>
              </w:rPr>
            </w:pPr>
            <w:r w:rsidRPr="00D4396B">
              <w:rPr>
                <w:rFonts w:eastAsia="Times New Roman"/>
                <w:noProof/>
              </w:rPr>
              <w:t xml:space="preserve">Joint Investigation Team </w:t>
            </w:r>
          </w:p>
        </w:tc>
      </w:tr>
      <w:tr w:rsidR="00FC3C0A" w:rsidRPr="00D4396B" w14:paraId="010C37B7"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CCF24DF" w14:textId="1ECE1DB9" w:rsidR="00FC3C0A" w:rsidRPr="00D4396B" w:rsidRDefault="007542C2" w:rsidP="7D4F30D9">
            <w:pPr>
              <w:spacing w:after="200" w:line="276" w:lineRule="auto"/>
              <w:rPr>
                <w:rFonts w:eastAsia="Times New Roman"/>
                <w:noProof/>
              </w:rPr>
            </w:pPr>
            <w:r w:rsidRPr="00D4396B">
              <w:rPr>
                <w:rFonts w:eastAsia="Times New Roman"/>
                <w:noProof/>
              </w:rPr>
              <w:t>JOP</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1C65735" w14:textId="55A6C43D" w:rsidR="00FC3C0A" w:rsidRPr="00D4396B" w:rsidRDefault="007542C2" w:rsidP="7D4F30D9">
            <w:pPr>
              <w:spacing w:after="200" w:line="276" w:lineRule="auto"/>
              <w:rPr>
                <w:rFonts w:eastAsia="Times New Roman"/>
                <w:noProof/>
              </w:rPr>
            </w:pPr>
            <w:r w:rsidRPr="00D4396B">
              <w:rPr>
                <w:rFonts w:eastAsia="Times New Roman"/>
                <w:noProof/>
              </w:rPr>
              <w:t>Joint Operational Platform</w:t>
            </w:r>
          </w:p>
        </w:tc>
      </w:tr>
      <w:tr w:rsidR="00DE0C3F" w:rsidRPr="00D4396B" w14:paraId="20587EA0"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4490276" w14:textId="63887F88" w:rsidR="00DE0C3F" w:rsidRPr="00D4396B" w:rsidRDefault="00DE0C3F" w:rsidP="7D4F30D9">
            <w:pPr>
              <w:spacing w:after="200" w:line="276" w:lineRule="auto"/>
              <w:rPr>
                <w:rFonts w:eastAsia="Times New Roman"/>
                <w:noProof/>
              </w:rPr>
            </w:pPr>
            <w:r w:rsidRPr="00D4396B">
              <w:rPr>
                <w:rFonts w:eastAsia="Times New Roman"/>
                <w:noProof/>
              </w:rPr>
              <w:t>JUDEX</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FF04A1F" w14:textId="2128A150" w:rsidR="00DE0C3F" w:rsidRPr="00D4396B" w:rsidRDefault="00DE0C3F" w:rsidP="7D4F30D9">
            <w:pPr>
              <w:spacing w:after="200" w:line="276" w:lineRule="auto"/>
              <w:rPr>
                <w:rFonts w:eastAsia="Times New Roman"/>
                <w:noProof/>
              </w:rPr>
            </w:pPr>
            <w:r w:rsidRPr="00D4396B">
              <w:rPr>
                <w:rFonts w:eastAsia="Times New Roman"/>
                <w:noProof/>
              </w:rPr>
              <w:t xml:space="preserve">JUstice Digital </w:t>
            </w:r>
            <w:r w:rsidR="74AE9EDB" w:rsidRPr="00D4396B">
              <w:rPr>
                <w:rFonts w:eastAsia="Times New Roman"/>
                <w:noProof/>
              </w:rPr>
              <w:t>E</w:t>
            </w:r>
            <w:r w:rsidR="76F94865" w:rsidRPr="00D4396B">
              <w:rPr>
                <w:rFonts w:eastAsia="Times New Roman"/>
                <w:noProof/>
              </w:rPr>
              <w:t>X</w:t>
            </w:r>
            <w:r w:rsidR="74AE9EDB" w:rsidRPr="00D4396B">
              <w:rPr>
                <w:rFonts w:eastAsia="Times New Roman"/>
                <w:noProof/>
              </w:rPr>
              <w:t>change</w:t>
            </w:r>
            <w:r w:rsidRPr="00D4396B">
              <w:rPr>
                <w:rFonts w:eastAsia="Times New Roman"/>
                <w:noProof/>
              </w:rPr>
              <w:t xml:space="preserve"> system, </w:t>
            </w:r>
            <w:r w:rsidR="00DD47B4" w:rsidRPr="00D4396B">
              <w:rPr>
                <w:rFonts w:eastAsia="Times New Roman"/>
                <w:noProof/>
              </w:rPr>
              <w:t>the constellation of decentralised IT systems established by various EU legal instruments in civil, commercial, and criminal matters</w:t>
            </w:r>
          </w:p>
        </w:tc>
      </w:tr>
      <w:tr w:rsidR="7D4F30D9" w:rsidRPr="00D4396B" w14:paraId="45ED49E7"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2BD6AB7D" w14:textId="11523937" w:rsidR="7D4F30D9" w:rsidRPr="00D4396B" w:rsidRDefault="7D4F30D9" w:rsidP="7D4F30D9">
            <w:pPr>
              <w:spacing w:after="200" w:line="276" w:lineRule="auto"/>
              <w:rPr>
                <w:noProof/>
              </w:rPr>
            </w:pPr>
            <w:r w:rsidRPr="00D4396B">
              <w:rPr>
                <w:rFonts w:eastAsia="Times New Roman"/>
                <w:noProof/>
              </w:rPr>
              <w:t xml:space="preserve">KPI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08C16AA" w14:textId="642F3D4F" w:rsidR="7D4F30D9" w:rsidRPr="00D4396B" w:rsidRDefault="7D4F30D9" w:rsidP="7D4F30D9">
            <w:pPr>
              <w:spacing w:after="200" w:line="276" w:lineRule="auto"/>
              <w:rPr>
                <w:noProof/>
              </w:rPr>
            </w:pPr>
            <w:r w:rsidRPr="00D4396B">
              <w:rPr>
                <w:rFonts w:eastAsia="Times New Roman"/>
                <w:noProof/>
              </w:rPr>
              <w:t xml:space="preserve">Key Performance Indicator </w:t>
            </w:r>
          </w:p>
        </w:tc>
      </w:tr>
      <w:tr w:rsidR="7D4F30D9" w:rsidRPr="00D4396B" w14:paraId="142059AD"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F13E699" w14:textId="373C4CDF" w:rsidR="7D4F30D9" w:rsidRPr="00D4396B" w:rsidRDefault="7D4F30D9" w:rsidP="7D4F30D9">
            <w:pPr>
              <w:spacing w:after="200" w:line="276" w:lineRule="auto"/>
              <w:rPr>
                <w:noProof/>
              </w:rPr>
            </w:pPr>
            <w:r w:rsidRPr="00D4396B">
              <w:rPr>
                <w:rFonts w:eastAsia="Times New Roman"/>
                <w:noProof/>
              </w:rPr>
              <w:t xml:space="preserve">LM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73E2EB1" w14:textId="6D7D7870" w:rsidR="7D4F30D9" w:rsidRPr="00D4396B" w:rsidRDefault="7D4F30D9" w:rsidP="7D4F30D9">
            <w:pPr>
              <w:spacing w:after="200" w:line="276" w:lineRule="auto"/>
              <w:rPr>
                <w:noProof/>
              </w:rPr>
            </w:pPr>
            <w:r w:rsidRPr="00D4396B">
              <w:rPr>
                <w:rFonts w:eastAsia="Times New Roman"/>
                <w:noProof/>
              </w:rPr>
              <w:t xml:space="preserve">Liaison Magistrate </w:t>
            </w:r>
          </w:p>
        </w:tc>
      </w:tr>
      <w:tr w:rsidR="005470E7" w:rsidRPr="00D4396B" w14:paraId="796FEB39"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92AF564" w14:textId="6DCDC3FF" w:rsidR="005470E7" w:rsidRPr="00D4396B" w:rsidRDefault="006234E0" w:rsidP="7D4F30D9">
            <w:pPr>
              <w:spacing w:after="200" w:line="276" w:lineRule="auto"/>
              <w:rPr>
                <w:rFonts w:eastAsia="Times New Roman"/>
                <w:noProof/>
              </w:rPr>
            </w:pPr>
            <w:r w:rsidRPr="00D4396B">
              <w:rPr>
                <w:rFonts w:eastAsia="Times New Roman"/>
                <w:noProof/>
              </w:rPr>
              <w:t>LP</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014CFAD" w14:textId="22E1D085" w:rsidR="005470E7" w:rsidRPr="00D4396B" w:rsidRDefault="006234E0" w:rsidP="7D4F30D9">
            <w:pPr>
              <w:spacing w:after="200" w:line="276" w:lineRule="auto"/>
              <w:rPr>
                <w:rFonts w:eastAsia="Times New Roman"/>
                <w:noProof/>
              </w:rPr>
            </w:pPr>
            <w:r w:rsidRPr="00D4396B">
              <w:rPr>
                <w:rFonts w:eastAsia="Times New Roman"/>
                <w:noProof/>
              </w:rPr>
              <w:t>Liaison Prosecutor</w:t>
            </w:r>
          </w:p>
        </w:tc>
      </w:tr>
      <w:tr w:rsidR="009F1E58" w:rsidRPr="00D4396B" w14:paraId="3D73A542"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184E01E" w14:textId="192AA421" w:rsidR="009F1E58" w:rsidRPr="00D4396B" w:rsidRDefault="009F1E58" w:rsidP="7D4F30D9">
            <w:pPr>
              <w:spacing w:after="200" w:line="276" w:lineRule="auto"/>
              <w:rPr>
                <w:rFonts w:eastAsia="Times New Roman"/>
                <w:noProof/>
              </w:rPr>
            </w:pPr>
            <w:r>
              <w:rPr>
                <w:rFonts w:eastAsia="Times New Roman"/>
                <w:noProof/>
              </w:rPr>
              <w:t>MAS</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196B391" w14:textId="7F2CE2E6" w:rsidR="009F1E58" w:rsidRPr="00D4396B" w:rsidRDefault="009F1E58" w:rsidP="7D4F30D9">
            <w:pPr>
              <w:spacing w:after="200" w:line="276" w:lineRule="auto"/>
              <w:rPr>
                <w:rFonts w:eastAsia="Times New Roman"/>
                <w:noProof/>
              </w:rPr>
            </w:pPr>
            <w:r>
              <w:rPr>
                <w:rFonts w:eastAsia="Times New Roman"/>
                <w:noProof/>
              </w:rPr>
              <w:t>Multi-Annual Strategy</w:t>
            </w:r>
          </w:p>
        </w:tc>
      </w:tr>
      <w:tr w:rsidR="1F7DBC8D" w14:paraId="1AE225BE"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27D61B8" w14:textId="0A7F0BD5" w:rsidR="7367FEBF" w:rsidRDefault="7367FEBF" w:rsidP="1F7DBC8D">
            <w:pPr>
              <w:spacing w:line="276" w:lineRule="auto"/>
              <w:rPr>
                <w:rFonts w:eastAsia="Times New Roman"/>
                <w:noProof/>
              </w:rPr>
            </w:pPr>
            <w:r w:rsidRPr="1F7DBC8D">
              <w:rPr>
                <w:rFonts w:eastAsia="Times New Roman"/>
                <w:noProof/>
              </w:rPr>
              <w:t>MB</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3F8BC14" w14:textId="11005991" w:rsidR="7367FEBF" w:rsidRDefault="7367FEBF" w:rsidP="1F7DBC8D">
            <w:pPr>
              <w:spacing w:line="276" w:lineRule="auto"/>
              <w:rPr>
                <w:rFonts w:eastAsia="Times New Roman"/>
                <w:noProof/>
              </w:rPr>
            </w:pPr>
            <w:r w:rsidRPr="1F7DBC8D">
              <w:rPr>
                <w:rFonts w:eastAsia="Times New Roman"/>
                <w:noProof/>
              </w:rPr>
              <w:t>Management Board</w:t>
            </w:r>
          </w:p>
        </w:tc>
      </w:tr>
      <w:tr w:rsidR="00377605" w14:paraId="6E406B9D"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42E5793" w14:textId="08D85B9C" w:rsidR="00377605" w:rsidRPr="1F7DBC8D" w:rsidRDefault="00377605" w:rsidP="1F7DBC8D">
            <w:pPr>
              <w:spacing w:line="276" w:lineRule="auto"/>
              <w:rPr>
                <w:rFonts w:eastAsia="Times New Roman"/>
                <w:noProof/>
              </w:rPr>
            </w:pPr>
            <w:r>
              <w:rPr>
                <w:rFonts w:eastAsia="Times New Roman"/>
                <w:noProof/>
              </w:rPr>
              <w:t>MFF</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0E28CCD" w14:textId="154E72A4" w:rsidR="00377605" w:rsidRPr="1F7DBC8D" w:rsidRDefault="00377605" w:rsidP="1F7DBC8D">
            <w:pPr>
              <w:spacing w:line="276" w:lineRule="auto"/>
              <w:rPr>
                <w:rFonts w:eastAsia="Times New Roman"/>
                <w:noProof/>
              </w:rPr>
            </w:pPr>
            <w:r>
              <w:rPr>
                <w:rFonts w:eastAsia="Times New Roman"/>
                <w:noProof/>
              </w:rPr>
              <w:t>Multiannual Financial Framework (EU financial programming)</w:t>
            </w:r>
          </w:p>
        </w:tc>
      </w:tr>
      <w:tr w:rsidR="7D4F30D9" w:rsidRPr="00D4396B" w14:paraId="2472DF41"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26FBE4CC" w14:textId="0FB89F2B" w:rsidR="7D4F30D9" w:rsidRPr="00D4396B" w:rsidRDefault="7D4F30D9" w:rsidP="7D4F30D9">
            <w:pPr>
              <w:spacing w:after="200" w:line="276" w:lineRule="auto"/>
              <w:rPr>
                <w:noProof/>
              </w:rPr>
            </w:pPr>
            <w:r w:rsidRPr="00D4396B">
              <w:rPr>
                <w:rFonts w:eastAsia="Times New Roman"/>
                <w:noProof/>
              </w:rPr>
              <w:t xml:space="preserve">MLA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0FDF7534" w14:textId="4983BC2B" w:rsidR="7D4F30D9" w:rsidRPr="00D4396B" w:rsidRDefault="7D4F30D9" w:rsidP="7D4F30D9">
            <w:pPr>
              <w:spacing w:after="200" w:line="276" w:lineRule="auto"/>
              <w:rPr>
                <w:noProof/>
              </w:rPr>
            </w:pPr>
            <w:r w:rsidRPr="00D4396B">
              <w:rPr>
                <w:rFonts w:eastAsia="Times New Roman"/>
                <w:noProof/>
              </w:rPr>
              <w:t xml:space="preserve">Mutual Legal Assistance </w:t>
            </w:r>
          </w:p>
        </w:tc>
      </w:tr>
      <w:tr w:rsidR="20089EBD" w:rsidRPr="00D4396B" w14:paraId="0215398E"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2BBC1A11" w14:textId="3E161BB7" w:rsidR="20089EBD" w:rsidRPr="00D4396B" w:rsidRDefault="13A1C325" w:rsidP="20089EBD">
            <w:pPr>
              <w:spacing w:line="276" w:lineRule="auto"/>
              <w:rPr>
                <w:rFonts w:eastAsia="Times New Roman"/>
                <w:noProof/>
              </w:rPr>
            </w:pPr>
            <w:r w:rsidRPr="00D4396B">
              <w:rPr>
                <w:rFonts w:eastAsia="Times New Roman"/>
                <w:noProof/>
              </w:rPr>
              <w:t>MoJ</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8D437AC" w14:textId="45DC2681" w:rsidR="20089EBD" w:rsidRPr="00D4396B" w:rsidRDefault="13A1C325" w:rsidP="20089EBD">
            <w:pPr>
              <w:spacing w:line="276" w:lineRule="auto"/>
              <w:rPr>
                <w:rFonts w:eastAsia="Times New Roman"/>
                <w:noProof/>
              </w:rPr>
            </w:pPr>
            <w:r w:rsidRPr="00D4396B">
              <w:rPr>
                <w:rFonts w:eastAsia="Times New Roman"/>
                <w:noProof/>
              </w:rPr>
              <w:t>Ministry of Justice</w:t>
            </w:r>
          </w:p>
        </w:tc>
      </w:tr>
      <w:tr w:rsidR="2342BD73" w:rsidRPr="00D4396B" w14:paraId="4027477B"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73C35FD" w14:textId="214F5FA6" w:rsidR="2342BD73" w:rsidRPr="00D4396B" w:rsidRDefault="0F910F4D" w:rsidP="2342BD73">
            <w:pPr>
              <w:spacing w:line="276" w:lineRule="auto"/>
              <w:rPr>
                <w:rFonts w:eastAsia="Times New Roman"/>
                <w:noProof/>
              </w:rPr>
            </w:pPr>
            <w:r w:rsidRPr="00D4396B">
              <w:rPr>
                <w:rFonts w:eastAsia="Times New Roman"/>
                <w:noProof/>
              </w:rPr>
              <w:t>NM</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F1C143F" w14:textId="52B65AEB" w:rsidR="2342BD73" w:rsidRPr="00D4396B" w:rsidRDefault="0F910F4D" w:rsidP="2342BD73">
            <w:pPr>
              <w:spacing w:line="276" w:lineRule="auto"/>
              <w:rPr>
                <w:rFonts w:eastAsia="Times New Roman"/>
                <w:noProof/>
              </w:rPr>
            </w:pPr>
            <w:r w:rsidRPr="00D4396B">
              <w:rPr>
                <w:rFonts w:eastAsia="Times New Roman"/>
                <w:noProof/>
              </w:rPr>
              <w:t>National Member</w:t>
            </w:r>
          </w:p>
        </w:tc>
      </w:tr>
      <w:tr w:rsidR="7D4F30D9" w:rsidRPr="00D4396B" w14:paraId="628E987E"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909CB8C" w14:textId="004F420E" w:rsidR="7D4F30D9" w:rsidRPr="00D4396B" w:rsidRDefault="7D4F30D9" w:rsidP="7D4F30D9">
            <w:pPr>
              <w:spacing w:after="200" w:line="276" w:lineRule="auto"/>
              <w:rPr>
                <w:noProof/>
              </w:rPr>
            </w:pPr>
            <w:r w:rsidRPr="00D4396B">
              <w:rPr>
                <w:rFonts w:eastAsia="Times New Roman"/>
                <w:noProof/>
              </w:rPr>
              <w:t xml:space="preserve">OLAF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0084A936" w14:textId="6B354406" w:rsidR="7D4F30D9" w:rsidRPr="00D4396B" w:rsidRDefault="7D4F30D9" w:rsidP="7D4F30D9">
            <w:pPr>
              <w:spacing w:after="200" w:line="276" w:lineRule="auto"/>
              <w:rPr>
                <w:noProof/>
              </w:rPr>
            </w:pPr>
            <w:r w:rsidRPr="00D4396B">
              <w:rPr>
                <w:rFonts w:eastAsia="Times New Roman"/>
                <w:noProof/>
              </w:rPr>
              <w:t xml:space="preserve">European Anti-Fraud Office </w:t>
            </w:r>
          </w:p>
        </w:tc>
      </w:tr>
      <w:tr w:rsidR="007A050D" w:rsidRPr="00D4396B" w14:paraId="3F87F91D"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A9D25E5" w14:textId="46054D4C" w:rsidR="007A050D" w:rsidRPr="00D4396B" w:rsidRDefault="007A050D" w:rsidP="7D4F30D9">
            <w:pPr>
              <w:spacing w:after="200" w:line="276" w:lineRule="auto"/>
              <w:rPr>
                <w:rFonts w:eastAsia="Times New Roman"/>
                <w:noProof/>
              </w:rPr>
            </w:pPr>
            <w:r w:rsidRPr="00D4396B">
              <w:rPr>
                <w:rFonts w:eastAsia="Times New Roman"/>
                <w:noProof/>
              </w:rPr>
              <w:t>PIF</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9C39715" w14:textId="717282B1" w:rsidR="007A050D" w:rsidRPr="00D4396B" w:rsidRDefault="00C12C3B" w:rsidP="7D4F30D9">
            <w:pPr>
              <w:spacing w:after="200" w:line="276" w:lineRule="auto"/>
              <w:rPr>
                <w:rFonts w:eastAsia="Times New Roman"/>
                <w:noProof/>
              </w:rPr>
            </w:pPr>
            <w:r w:rsidRPr="00D4396B">
              <w:rPr>
                <w:rFonts w:eastAsia="Times New Roman"/>
                <w:noProof/>
              </w:rPr>
              <w:t>Protection of the European Union’s financial interests. In EU criminal law, it refers to offences that harm the EU budget, such as fraud, corruption, or related financial crime.</w:t>
            </w:r>
          </w:p>
        </w:tc>
      </w:tr>
      <w:tr w:rsidR="00D22622" w:rsidRPr="00D4396B" w14:paraId="454DA1E7"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AFDC16C" w14:textId="338D09DC" w:rsidR="00D22622" w:rsidRPr="00E43B13" w:rsidRDefault="00D22622" w:rsidP="00D22622">
            <w:pPr>
              <w:spacing w:after="200" w:line="276" w:lineRule="auto"/>
              <w:rPr>
                <w:rFonts w:eastAsia="Times New Roman"/>
                <w:noProof/>
              </w:rPr>
            </w:pPr>
            <w:r w:rsidRPr="00E43B13">
              <w:rPr>
                <w:rFonts w:eastAsia="Times New Roman"/>
                <w:noProof/>
              </w:rPr>
              <w:t>RACER</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3F1FB98" w14:textId="744B5679" w:rsidR="00D22622" w:rsidRPr="00E43B13" w:rsidRDefault="00E43B13" w:rsidP="00E43B13">
            <w:pPr>
              <w:pStyle w:val="FootnoteText"/>
              <w:spacing w:after="20"/>
              <w:rPr>
                <w:rFonts w:eastAsia="Times New Roman"/>
                <w:noProof/>
                <w:sz w:val="24"/>
                <w:szCs w:val="24"/>
                <w:lang w:val="en-IE"/>
              </w:rPr>
            </w:pPr>
            <w:r w:rsidRPr="00E43B13">
              <w:rPr>
                <w:rFonts w:eastAsia="Times New Roman"/>
                <w:noProof/>
                <w:sz w:val="24"/>
                <w:szCs w:val="24"/>
              </w:rPr>
              <w:t>Relevant, Accepted, Credible, Easy to monitor and Robust.</w:t>
            </w:r>
            <w:r w:rsidR="008B6882" w:rsidRPr="00E43B13">
              <w:rPr>
                <w:noProof/>
                <w:sz w:val="24"/>
                <w:szCs w:val="24"/>
              </w:rPr>
              <w:tab/>
            </w:r>
          </w:p>
        </w:tc>
      </w:tr>
      <w:tr w:rsidR="00D22622" w:rsidRPr="00D4396B" w14:paraId="64EE1286"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675EDAE" w14:textId="422E1FC1" w:rsidR="00D22622" w:rsidRPr="00E43B13" w:rsidRDefault="00D22622" w:rsidP="00D22622">
            <w:pPr>
              <w:spacing w:after="200" w:line="276" w:lineRule="auto"/>
              <w:rPr>
                <w:rFonts w:eastAsia="Times New Roman"/>
                <w:noProof/>
              </w:rPr>
            </w:pPr>
            <w:r w:rsidRPr="00E43B13">
              <w:rPr>
                <w:rFonts w:eastAsia="Times New Roman"/>
                <w:noProof/>
              </w:rPr>
              <w:t>SMART</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52C05F9" w14:textId="5ED9EFF6" w:rsidR="00D22622" w:rsidRPr="00E43B13" w:rsidRDefault="00D22622" w:rsidP="00E43B13">
            <w:pPr>
              <w:pStyle w:val="FootnoteText"/>
              <w:spacing w:after="20"/>
              <w:rPr>
                <w:rFonts w:eastAsia="Times New Roman"/>
                <w:noProof/>
                <w:sz w:val="24"/>
                <w:szCs w:val="24"/>
              </w:rPr>
            </w:pPr>
            <w:r w:rsidRPr="00E43B13">
              <w:rPr>
                <w:rFonts w:eastAsia="Times New Roman"/>
                <w:noProof/>
                <w:sz w:val="24"/>
                <w:szCs w:val="24"/>
              </w:rPr>
              <w:t>Specific, Measurable, Achievable, Relevant and Time-bound</w:t>
            </w:r>
            <w:r w:rsidR="008B6882" w:rsidRPr="00E43B13">
              <w:rPr>
                <w:noProof/>
                <w:sz w:val="24"/>
                <w:szCs w:val="24"/>
              </w:rPr>
              <w:tab/>
            </w:r>
            <w:r w:rsidR="008B6882" w:rsidRPr="00E43B13" w:rsidDel="00901697">
              <w:rPr>
                <w:noProof/>
                <w:sz w:val="24"/>
                <w:szCs w:val="24"/>
              </w:rPr>
              <w:br/>
            </w:r>
          </w:p>
        </w:tc>
      </w:tr>
      <w:tr w:rsidR="7D4F30D9" w:rsidRPr="00D4396B" w14:paraId="14C17B20"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DAB3BA4" w14:textId="02D6AF13" w:rsidR="7D4F30D9" w:rsidRPr="00D4396B" w:rsidRDefault="7D4F30D9" w:rsidP="7D4F30D9">
            <w:pPr>
              <w:spacing w:after="200" w:line="276" w:lineRule="auto"/>
              <w:rPr>
                <w:noProof/>
              </w:rPr>
            </w:pPr>
            <w:r w:rsidRPr="00D4396B">
              <w:rPr>
                <w:rFonts w:eastAsia="Times New Roman"/>
                <w:noProof/>
              </w:rPr>
              <w:t xml:space="preserve">SOCTA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D3B0EEB" w14:textId="2362FA84" w:rsidR="7D4F30D9" w:rsidRPr="00D4396B" w:rsidRDefault="7D4F30D9" w:rsidP="7D4F30D9">
            <w:pPr>
              <w:spacing w:after="200" w:line="276" w:lineRule="auto"/>
              <w:rPr>
                <w:noProof/>
              </w:rPr>
            </w:pPr>
            <w:r w:rsidRPr="00D4396B">
              <w:rPr>
                <w:rFonts w:eastAsia="Times New Roman"/>
                <w:noProof/>
              </w:rPr>
              <w:t xml:space="preserve">Serious and Organised Crime Threat Assessment </w:t>
            </w:r>
          </w:p>
        </w:tc>
      </w:tr>
      <w:tr w:rsidR="7D4F30D9" w:rsidRPr="00D4396B" w14:paraId="7E66F8D1"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438C61F4" w14:textId="2C034955" w:rsidR="7D4F30D9" w:rsidRPr="00D4396B" w:rsidRDefault="7D4F30D9" w:rsidP="7D4F30D9">
            <w:pPr>
              <w:spacing w:after="200" w:line="276" w:lineRule="auto"/>
              <w:rPr>
                <w:noProof/>
              </w:rPr>
            </w:pPr>
            <w:r w:rsidRPr="00D4396B">
              <w:rPr>
                <w:rFonts w:eastAsia="Times New Roman"/>
                <w:noProof/>
              </w:rPr>
              <w:t xml:space="preserve">TEU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72E4DB6" w14:textId="53F5AB85" w:rsidR="7D4F30D9" w:rsidRPr="00D4396B" w:rsidRDefault="7D4F30D9" w:rsidP="7D4F30D9">
            <w:pPr>
              <w:spacing w:after="200" w:line="276" w:lineRule="auto"/>
              <w:rPr>
                <w:noProof/>
              </w:rPr>
            </w:pPr>
            <w:r w:rsidRPr="00D4396B">
              <w:rPr>
                <w:rFonts w:eastAsia="Times New Roman"/>
                <w:noProof/>
              </w:rPr>
              <w:t xml:space="preserve">Treaty on European Union </w:t>
            </w:r>
          </w:p>
        </w:tc>
      </w:tr>
      <w:tr w:rsidR="7D4F30D9" w:rsidRPr="00D4396B" w14:paraId="1A5440CD"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E5470C1" w14:textId="6E1A1CE8" w:rsidR="7D4F30D9" w:rsidRPr="00D4396B" w:rsidRDefault="7D4F30D9" w:rsidP="7D4F30D9">
            <w:pPr>
              <w:spacing w:after="200" w:line="276" w:lineRule="auto"/>
              <w:rPr>
                <w:noProof/>
              </w:rPr>
            </w:pPr>
            <w:r w:rsidRPr="00D4396B">
              <w:rPr>
                <w:rFonts w:eastAsia="Times New Roman"/>
                <w:noProof/>
              </w:rPr>
              <w:t xml:space="preserve">TFEU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E6F2ADE" w14:textId="77777777" w:rsidR="7D4F30D9" w:rsidRPr="00D4396B" w:rsidRDefault="7D4F30D9" w:rsidP="7D4F30D9">
            <w:pPr>
              <w:spacing w:after="200" w:line="276" w:lineRule="auto"/>
              <w:rPr>
                <w:noProof/>
              </w:rPr>
            </w:pPr>
            <w:r w:rsidRPr="00D4396B">
              <w:rPr>
                <w:rFonts w:eastAsia="Times New Roman"/>
                <w:noProof/>
              </w:rPr>
              <w:t>Treaty on the Functioning of the European Union</w:t>
            </w:r>
          </w:p>
        </w:tc>
      </w:tr>
      <w:tr w:rsidR="00B63189" w:rsidRPr="00D4396B" w14:paraId="4906A9A6" w14:textId="77777777" w:rsidTr="00E43B13">
        <w:trPr>
          <w:trHeight w:val="300"/>
        </w:trPr>
        <w:tc>
          <w:tcPr>
            <w:tcW w:w="205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0511D8B" w14:textId="6A3393C6" w:rsidR="00B63189" w:rsidRPr="00D4396B" w:rsidRDefault="00B63189" w:rsidP="00B63189">
            <w:pPr>
              <w:spacing w:after="200" w:line="276" w:lineRule="auto"/>
              <w:rPr>
                <w:rFonts w:eastAsia="Times New Roman"/>
                <w:noProof/>
              </w:rPr>
            </w:pPr>
            <w:r w:rsidRPr="0387C75E">
              <w:rPr>
                <w:rFonts w:eastAsia="Times New Roman"/>
                <w:noProof/>
              </w:rPr>
              <w:t>VURM</w:t>
            </w:r>
            <w:r>
              <w:rPr>
                <w:rFonts w:eastAsia="Times New Roman"/>
                <w:noProof/>
              </w:rPr>
              <w:t xml:space="preserve"> </w:t>
            </w:r>
          </w:p>
        </w:tc>
        <w:tc>
          <w:tcPr>
            <w:tcW w:w="7296"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2E7286D" w14:textId="23E7FC88" w:rsidR="00B63189" w:rsidRPr="00D4396B" w:rsidRDefault="00B63189" w:rsidP="00B63189">
            <w:pPr>
              <w:spacing w:after="200" w:line="276" w:lineRule="auto"/>
              <w:rPr>
                <w:rFonts w:eastAsia="Times New Roman"/>
                <w:noProof/>
              </w:rPr>
            </w:pPr>
            <w:r w:rsidRPr="0387C75E">
              <w:rPr>
                <w:rFonts w:eastAsia="Times New Roman"/>
                <w:noProof/>
              </w:rPr>
              <w:t>Violation of Union Restrictive Measures</w:t>
            </w:r>
          </w:p>
        </w:tc>
      </w:tr>
    </w:tbl>
    <w:p w14:paraId="05FBFA43" w14:textId="7F349E5B" w:rsidR="4F9EAF9E" w:rsidRDefault="4F9EAF9E">
      <w:pPr>
        <w:rPr>
          <w:noProof/>
        </w:rPr>
      </w:pPr>
    </w:p>
    <w:p w14:paraId="4F1163B6" w14:textId="77777777" w:rsidR="00134014" w:rsidRPr="00D4396B" w:rsidRDefault="00134014" w:rsidP="20190CAA">
      <w:pPr>
        <w:pStyle w:val="Text1"/>
        <w:ind w:left="0"/>
        <w:rPr>
          <w:b/>
          <w:bCs/>
          <w:smallCaps/>
          <w:noProof/>
        </w:rPr>
        <w:sectPr w:rsidR="00134014" w:rsidRPr="00D4396B" w:rsidSect="009D4C15">
          <w:headerReference w:type="even" r:id="rId18"/>
          <w:headerReference w:type="default" r:id="rId19"/>
          <w:footerReference w:type="even" r:id="rId20"/>
          <w:footerReference w:type="default" r:id="rId21"/>
          <w:headerReference w:type="first" r:id="rId22"/>
          <w:footerReference w:type="first" r:id="rId23"/>
          <w:pgSz w:w="11906" w:h="16838"/>
          <w:pgMar w:top="1020" w:right="707" w:bottom="1020" w:left="1587" w:header="601" w:footer="1077" w:gutter="0"/>
          <w:cols w:space="720"/>
          <w:titlePg/>
        </w:sectPr>
      </w:pPr>
      <w:bookmarkStart w:id="2" w:name="_Toc857760815"/>
      <w:bookmarkStart w:id="3" w:name="_Toc221260311"/>
    </w:p>
    <w:p w14:paraId="2A001938" w14:textId="11CBA88C" w:rsidR="00A63B53" w:rsidRPr="00781830" w:rsidRDefault="0092673A" w:rsidP="00781830">
      <w:pPr>
        <w:pStyle w:val="Heading1"/>
        <w:rPr>
          <w:noProof/>
        </w:rPr>
      </w:pPr>
      <w:bookmarkStart w:id="4" w:name="_Toc224109548"/>
      <w:bookmarkStart w:id="5" w:name="_Toc232176391"/>
      <w:bookmarkEnd w:id="2"/>
      <w:bookmarkEnd w:id="3"/>
      <w:r w:rsidRPr="00781830">
        <w:rPr>
          <w:noProof/>
        </w:rPr>
        <w:t>1.</w:t>
      </w:r>
      <w:r w:rsidRPr="00781830">
        <w:rPr>
          <w:noProof/>
        </w:rPr>
        <w:tab/>
      </w:r>
      <w:r w:rsidR="00A63B53" w:rsidRPr="00781830">
        <w:rPr>
          <w:noProof/>
        </w:rPr>
        <w:t>Introduction: Political and legal context</w:t>
      </w:r>
      <w:bookmarkEnd w:id="4"/>
      <w:bookmarkEnd w:id="5"/>
    </w:p>
    <w:p w14:paraId="60D44A90" w14:textId="3D2D75C4" w:rsidR="00A63B53" w:rsidRPr="00D4396B" w:rsidRDefault="0092673A" w:rsidP="000C3545">
      <w:pPr>
        <w:pStyle w:val="Heading2"/>
        <w:rPr>
          <w:noProof/>
          <w:lang w:eastAsia="en-GB"/>
        </w:rPr>
      </w:pPr>
      <w:bookmarkStart w:id="6" w:name="_Toc53936605"/>
      <w:bookmarkStart w:id="7" w:name="_Toc53954880"/>
      <w:bookmarkStart w:id="8" w:name="_Toc55392048"/>
      <w:bookmarkStart w:id="9" w:name="_Toc1153443468"/>
      <w:bookmarkStart w:id="10" w:name="_Toc1362711766"/>
      <w:bookmarkStart w:id="11" w:name="_Toc1126990629"/>
      <w:bookmarkStart w:id="12" w:name="_Toc674987135"/>
      <w:bookmarkStart w:id="13" w:name="_Toc895180979"/>
      <w:bookmarkStart w:id="14" w:name="_Toc224109549"/>
      <w:bookmarkStart w:id="15" w:name="_Toc232176392"/>
      <w:r w:rsidRPr="00D4396B">
        <w:rPr>
          <w:noProof/>
          <w:lang w:eastAsia="en-GB"/>
        </w:rPr>
        <w:t>1.1.</w:t>
      </w:r>
      <w:r w:rsidRPr="00D4396B">
        <w:rPr>
          <w:noProof/>
          <w:lang w:eastAsia="en-GB"/>
        </w:rPr>
        <w:tab/>
      </w:r>
      <w:bookmarkStart w:id="16" w:name="_Toc53936608"/>
      <w:bookmarkStart w:id="17" w:name="_Toc53954883"/>
      <w:bookmarkStart w:id="18" w:name="_Toc55392049"/>
      <w:bookmarkEnd w:id="6"/>
      <w:bookmarkEnd w:id="7"/>
      <w:bookmarkEnd w:id="8"/>
      <w:bookmarkEnd w:id="9"/>
      <w:bookmarkEnd w:id="10"/>
      <w:bookmarkEnd w:id="11"/>
      <w:bookmarkEnd w:id="12"/>
      <w:bookmarkEnd w:id="13"/>
      <w:bookmarkEnd w:id="14"/>
      <w:r w:rsidR="005E7215" w:rsidRPr="00334ABC">
        <w:rPr>
          <w:noProof/>
        </w:rPr>
        <w:t>Eurojust</w:t>
      </w:r>
      <w:bookmarkEnd w:id="15"/>
    </w:p>
    <w:p w14:paraId="16EADAC5" w14:textId="77777777" w:rsidR="005E7215" w:rsidRPr="00D4396B" w:rsidRDefault="005E7215" w:rsidP="005E7215">
      <w:pPr>
        <w:spacing w:after="120"/>
        <w:rPr>
          <w:rFonts w:eastAsia="Times New Roman"/>
          <w:noProof/>
          <w:lang w:val="en-IE"/>
        </w:rPr>
      </w:pPr>
      <w:r w:rsidRPr="00D4396B">
        <w:rPr>
          <w:rFonts w:eastAsia="Times New Roman"/>
          <w:noProof/>
          <w:lang w:val="en-IE"/>
        </w:rPr>
        <w:t xml:space="preserve">Eurojust is the EU agency for </w:t>
      </w:r>
      <w:r w:rsidRPr="00D4396B">
        <w:rPr>
          <w:rFonts w:eastAsia="Times New Roman"/>
          <w:b/>
          <w:bCs/>
          <w:noProof/>
          <w:lang w:val="en-IE"/>
        </w:rPr>
        <w:t>criminal justice cooperation</w:t>
      </w:r>
      <w:r w:rsidRPr="00D4396B">
        <w:rPr>
          <w:rFonts w:eastAsia="Times New Roman"/>
          <w:noProof/>
          <w:lang w:val="en-IE"/>
        </w:rPr>
        <w:t>,</w:t>
      </w:r>
      <w:r w:rsidRPr="00D4396B">
        <w:rPr>
          <w:rFonts w:eastAsia="Times New Roman"/>
          <w:b/>
          <w:bCs/>
          <w:noProof/>
          <w:lang w:val="en-IE"/>
        </w:rPr>
        <w:t xml:space="preserve"> </w:t>
      </w:r>
      <w:r w:rsidRPr="00D4396B">
        <w:rPr>
          <w:rFonts w:eastAsia="Times New Roman"/>
          <w:noProof/>
          <w:lang w:val="en-IE"/>
        </w:rPr>
        <w:t>supporting national authorities in combating serious cross-border crime by strengthening coordination between national authorities. As criminal networks increasingly operate across borders, national authorities rely on Eurojust to facilitate parallel investigations across multiple Member States, resolve conflicts of jurisdiction, coordinate prosecutorial strategies and support the gathering and exchange of evidence.</w:t>
      </w:r>
    </w:p>
    <w:p w14:paraId="4AD768F2" w14:textId="43B047EA" w:rsidR="005E7215" w:rsidRDefault="005E7215" w:rsidP="005E7215">
      <w:pPr>
        <w:spacing w:after="120"/>
        <w:rPr>
          <w:rFonts w:eastAsia="Times New Roman"/>
          <w:noProof/>
          <w:lang w:val="en-US"/>
        </w:rPr>
      </w:pPr>
      <w:r w:rsidRPr="00D4396B">
        <w:rPr>
          <w:rFonts w:eastAsia="Times New Roman"/>
          <w:noProof/>
          <w:lang w:val="en-IE"/>
        </w:rPr>
        <w:t xml:space="preserve">Originally proposed in the </w:t>
      </w:r>
      <w:r w:rsidRPr="00D4396B">
        <w:rPr>
          <w:rFonts w:eastAsia="Times New Roman"/>
          <w:b/>
          <w:bCs/>
          <w:noProof/>
          <w:lang w:val="en-IE"/>
        </w:rPr>
        <w:t>Tampere Programme of 1999</w:t>
      </w:r>
      <w:r w:rsidR="007B6724" w:rsidRPr="007B6724">
        <w:rPr>
          <w:rFonts w:eastAsia="Times New Roman"/>
          <w:noProof/>
          <w:lang w:val="en-IE"/>
        </w:rPr>
        <w:t>,</w:t>
      </w:r>
      <w:r w:rsidRPr="00D4396B">
        <w:rPr>
          <w:rStyle w:val="FootnoteReference"/>
          <w:noProof/>
        </w:rPr>
        <w:footnoteReference w:id="2"/>
      </w:r>
      <w:r w:rsidRPr="00D4396B">
        <w:rPr>
          <w:rFonts w:eastAsia="Times New Roman"/>
          <w:noProof/>
          <w:lang w:val="en-IE"/>
        </w:rPr>
        <w:t xml:space="preserve"> Eurojust was </w:t>
      </w:r>
      <w:r w:rsidRPr="00D4396B">
        <w:rPr>
          <w:rFonts w:eastAsia="Times New Roman"/>
          <w:b/>
          <w:bCs/>
          <w:noProof/>
          <w:lang w:val="en-IE"/>
        </w:rPr>
        <w:t>formally established in 2002</w:t>
      </w:r>
      <w:r w:rsidRPr="00D4396B">
        <w:rPr>
          <w:rFonts w:eastAsia="Times New Roman"/>
          <w:noProof/>
          <w:lang w:val="en-IE"/>
        </w:rPr>
        <w:t xml:space="preserve"> as an intergovernmental body under the Third Pillar on Police and Judicial Cooperation in Criminal Matters.</w:t>
      </w:r>
      <w:r w:rsidRPr="00D4396B">
        <w:rPr>
          <w:rStyle w:val="FootnoteReference"/>
          <w:noProof/>
        </w:rPr>
        <w:footnoteReference w:id="3"/>
      </w:r>
      <w:r w:rsidRPr="00D4396B">
        <w:rPr>
          <w:rFonts w:eastAsia="Times New Roman"/>
          <w:noProof/>
          <w:lang w:val="en-IE"/>
        </w:rPr>
        <w:t xml:space="preserve"> The </w:t>
      </w:r>
      <w:r w:rsidRPr="00D4396B">
        <w:rPr>
          <w:rFonts w:eastAsia="Times New Roman"/>
          <w:b/>
          <w:bCs/>
          <w:noProof/>
          <w:lang w:val="en-IE"/>
        </w:rPr>
        <w:t>Treaty of Lisbon</w:t>
      </w:r>
      <w:r w:rsidRPr="00D4396B">
        <w:rPr>
          <w:rStyle w:val="FootnoteReference"/>
          <w:noProof/>
        </w:rPr>
        <w:footnoteReference w:id="4"/>
      </w:r>
      <w:r w:rsidRPr="00D4396B">
        <w:rPr>
          <w:rFonts w:eastAsia="Times New Roman"/>
          <w:noProof/>
          <w:lang w:val="en-IE"/>
        </w:rPr>
        <w:t xml:space="preserve"> transformed it into a</w:t>
      </w:r>
      <w:r w:rsidR="0063434B">
        <w:rPr>
          <w:rFonts w:eastAsia="Times New Roman"/>
          <w:noProof/>
          <w:lang w:val="en-IE"/>
        </w:rPr>
        <w:t>n</w:t>
      </w:r>
      <w:r w:rsidRPr="00D4396B">
        <w:rPr>
          <w:rFonts w:eastAsia="Times New Roman"/>
          <w:noProof/>
          <w:lang w:val="en-IE"/>
        </w:rPr>
        <w:t xml:space="preserve"> EU agency within the ‘</w:t>
      </w:r>
      <w:r w:rsidRPr="00D4396B">
        <w:rPr>
          <w:rFonts w:eastAsia="Times New Roman"/>
          <w:i/>
          <w:iCs/>
          <w:noProof/>
          <w:lang w:val="en-IE"/>
        </w:rPr>
        <w:t>Area of Freedom, Security and Justice</w:t>
      </w:r>
      <w:r w:rsidRPr="00D4396B">
        <w:rPr>
          <w:rFonts w:eastAsia="Times New Roman"/>
          <w:noProof/>
          <w:lang w:val="en-IE"/>
        </w:rPr>
        <w:t xml:space="preserve">’ in the TFEU, culminating in </w:t>
      </w:r>
      <w:r w:rsidR="0067696C" w:rsidRPr="00D4396B">
        <w:rPr>
          <w:rFonts w:eastAsia="Times New Roman"/>
          <w:b/>
          <w:bCs/>
          <w:noProof/>
          <w:lang w:val="en-IE"/>
        </w:rPr>
        <w:t xml:space="preserve">Regulation (EU) 2018/1727 on the European Union Agency for Criminal Justice Cooperation </w:t>
      </w:r>
      <w:r w:rsidR="0067696C" w:rsidRPr="00D4396B">
        <w:rPr>
          <w:rFonts w:eastAsia="Times New Roman"/>
          <w:noProof/>
          <w:lang w:val="en-IE"/>
        </w:rPr>
        <w:t>(EJR)</w:t>
      </w:r>
      <w:r w:rsidRPr="00D4396B">
        <w:rPr>
          <w:rFonts w:eastAsia="Times New Roman"/>
          <w:noProof/>
          <w:lang w:val="en-IE"/>
        </w:rPr>
        <w:t xml:space="preserve">, which modernised its governance and aligned it with post-Lisbon </w:t>
      </w:r>
      <w:r w:rsidR="075F0AC0" w:rsidRPr="00D4396B">
        <w:rPr>
          <w:rFonts w:eastAsia="Times New Roman"/>
          <w:noProof/>
          <w:lang w:val="en-IE"/>
        </w:rPr>
        <w:t xml:space="preserve">EU </w:t>
      </w:r>
      <w:r w:rsidR="075F0AC0" w:rsidRPr="1C9DB194">
        <w:rPr>
          <w:rFonts w:eastAsia="Times New Roman"/>
          <w:noProof/>
          <w:lang w:val="en-IE"/>
        </w:rPr>
        <w:t>agency</w:t>
      </w:r>
      <w:r w:rsidR="075F0AC0" w:rsidRPr="00D4396B">
        <w:rPr>
          <w:rFonts w:eastAsia="Times New Roman"/>
          <w:noProof/>
          <w:lang w:val="en-IE"/>
        </w:rPr>
        <w:t xml:space="preserve"> </w:t>
      </w:r>
      <w:r w:rsidRPr="00D4396B">
        <w:rPr>
          <w:rFonts w:eastAsia="Times New Roman"/>
          <w:noProof/>
          <w:lang w:val="en-IE"/>
        </w:rPr>
        <w:t xml:space="preserve">structures. This Regulation </w:t>
      </w:r>
      <w:r w:rsidRPr="00D4396B">
        <w:rPr>
          <w:rFonts w:eastAsia="Times New Roman"/>
          <w:noProof/>
          <w:lang w:val="en-US"/>
        </w:rPr>
        <w:t xml:space="preserve">has since been </w:t>
      </w:r>
      <w:r w:rsidRPr="00D4396B">
        <w:rPr>
          <w:rFonts w:eastAsia="Times New Roman"/>
          <w:b/>
          <w:bCs/>
          <w:noProof/>
          <w:lang w:val="en-US"/>
        </w:rPr>
        <w:t>amended three times</w:t>
      </w:r>
      <w:r w:rsidR="00944A8C">
        <w:rPr>
          <w:rFonts w:eastAsia="Times New Roman"/>
          <w:b/>
          <w:bCs/>
          <w:noProof/>
          <w:lang w:val="en-US"/>
        </w:rPr>
        <w:t xml:space="preserve"> </w:t>
      </w:r>
      <w:r w:rsidR="00A7546B">
        <w:rPr>
          <w:rFonts w:eastAsia="Times New Roman"/>
          <w:bCs/>
          <w:noProof/>
          <w:lang w:val="en-US"/>
        </w:rPr>
        <w:t>in a targeted manner</w:t>
      </w:r>
      <w:r w:rsidRPr="00D4396B">
        <w:rPr>
          <w:rFonts w:eastAsia="Times New Roman"/>
          <w:noProof/>
          <w:lang w:val="en-US"/>
        </w:rPr>
        <w:t xml:space="preserve"> to address </w:t>
      </w:r>
      <w:r w:rsidR="00152B77">
        <w:rPr>
          <w:rFonts w:eastAsia="Times New Roman"/>
          <w:noProof/>
          <w:lang w:val="en-US"/>
        </w:rPr>
        <w:t>pressing</w:t>
      </w:r>
      <w:r w:rsidR="00152B77" w:rsidRPr="00D4396B">
        <w:rPr>
          <w:rFonts w:eastAsia="Times New Roman"/>
          <w:noProof/>
          <w:lang w:val="en-US"/>
        </w:rPr>
        <w:t xml:space="preserve"> </w:t>
      </w:r>
      <w:r w:rsidRPr="00D4396B">
        <w:rPr>
          <w:rFonts w:eastAsia="Times New Roman"/>
          <w:noProof/>
          <w:lang w:val="en-US"/>
        </w:rPr>
        <w:t xml:space="preserve">operational </w:t>
      </w:r>
      <w:r w:rsidR="00541A89">
        <w:rPr>
          <w:rFonts w:eastAsia="Times New Roman"/>
          <w:noProof/>
          <w:lang w:val="en-US"/>
        </w:rPr>
        <w:t>needs</w:t>
      </w:r>
      <w:r w:rsidRPr="00D4396B">
        <w:rPr>
          <w:rFonts w:eastAsia="Times New Roman"/>
          <w:noProof/>
          <w:lang w:val="en-US"/>
        </w:rPr>
        <w:t xml:space="preserve">: </w:t>
      </w:r>
      <w:r w:rsidRPr="00D4396B">
        <w:rPr>
          <w:rFonts w:eastAsia="Times New Roman"/>
          <w:b/>
          <w:bCs/>
          <w:noProof/>
          <w:lang w:val="en-US"/>
        </w:rPr>
        <w:t>Regulation (EU) 2022/838</w:t>
      </w:r>
      <w:r w:rsidRPr="00D4396B">
        <w:rPr>
          <w:rFonts w:eastAsia="Times New Roman"/>
          <w:noProof/>
          <w:lang w:val="en-US"/>
        </w:rPr>
        <w:t>,</w:t>
      </w:r>
      <w:r w:rsidRPr="00D4396B">
        <w:rPr>
          <w:rFonts w:eastAsia="Times New Roman"/>
          <w:b/>
          <w:bCs/>
          <w:noProof/>
          <w:lang w:val="en-US"/>
        </w:rPr>
        <w:t xml:space="preserve"> </w:t>
      </w:r>
      <w:r w:rsidRPr="00D4396B">
        <w:rPr>
          <w:rFonts w:eastAsia="Times New Roman"/>
          <w:noProof/>
          <w:lang w:val="en-US"/>
        </w:rPr>
        <w:t xml:space="preserve">created the </w:t>
      </w:r>
      <w:r w:rsidRPr="00D4396B">
        <w:rPr>
          <w:rFonts w:eastAsia="Times New Roman"/>
          <w:b/>
          <w:bCs/>
          <w:noProof/>
          <w:lang w:val="en-US"/>
        </w:rPr>
        <w:t xml:space="preserve">Core International Crimes Evidence Database </w:t>
      </w:r>
      <w:r w:rsidRPr="009B7402">
        <w:rPr>
          <w:rFonts w:eastAsia="Times New Roman"/>
          <w:noProof/>
          <w:lang w:val="en-US"/>
        </w:rPr>
        <w:t>(CICED)</w:t>
      </w:r>
      <w:r w:rsidRPr="00D4396B">
        <w:rPr>
          <w:rFonts w:eastAsia="Times New Roman"/>
          <w:noProof/>
          <w:lang w:val="en-US"/>
        </w:rPr>
        <w:t xml:space="preserve"> following Russia’s full-scale war of aggression against Ukraine; </w:t>
      </w:r>
      <w:r w:rsidRPr="00D4396B">
        <w:rPr>
          <w:rFonts w:eastAsia="Times New Roman"/>
          <w:b/>
          <w:bCs/>
          <w:noProof/>
          <w:lang w:val="en-US"/>
        </w:rPr>
        <w:t>Regulation (EU) 2023/2131</w:t>
      </w:r>
      <w:r w:rsidRPr="00D4396B">
        <w:rPr>
          <w:rFonts w:eastAsia="Times New Roman"/>
          <w:noProof/>
          <w:lang w:val="en-US"/>
        </w:rPr>
        <w:t xml:space="preserve">, strengthened information-sharing in terrorism cases; and </w:t>
      </w:r>
      <w:r w:rsidRPr="00D4396B">
        <w:rPr>
          <w:rFonts w:eastAsia="Times New Roman"/>
          <w:b/>
          <w:bCs/>
          <w:noProof/>
          <w:lang w:val="en-US"/>
        </w:rPr>
        <w:t>Regulation (EU) 2025/2082</w:t>
      </w:r>
      <w:r w:rsidRPr="00D4396B">
        <w:rPr>
          <w:rFonts w:eastAsia="Times New Roman"/>
          <w:noProof/>
          <w:lang w:val="en-US"/>
        </w:rPr>
        <w:t xml:space="preserve">, extended the timeframe for the establishment of the </w:t>
      </w:r>
      <w:r w:rsidRPr="00D4396B">
        <w:rPr>
          <w:rFonts w:eastAsia="Times New Roman"/>
          <w:b/>
          <w:bCs/>
          <w:noProof/>
          <w:lang w:val="en-US"/>
        </w:rPr>
        <w:t xml:space="preserve">new Eurojust Case Management System </w:t>
      </w:r>
      <w:r w:rsidRPr="00D4396B">
        <w:rPr>
          <w:rFonts w:eastAsia="Times New Roman"/>
          <w:noProof/>
          <w:lang w:val="en-US"/>
        </w:rPr>
        <w:t>(CMS).</w:t>
      </w:r>
      <w:r w:rsidRPr="00D4396B">
        <w:rPr>
          <w:rStyle w:val="FootnoteReference"/>
          <w:noProof/>
        </w:rPr>
        <w:footnoteReference w:id="5"/>
      </w:r>
    </w:p>
    <w:p w14:paraId="677E9E8F" w14:textId="75264370" w:rsidR="00A63B53" w:rsidRPr="00D4396B" w:rsidRDefault="005E7215" w:rsidP="00FD5762">
      <w:pPr>
        <w:spacing w:after="120"/>
        <w:rPr>
          <w:rFonts w:eastAsia="Times New Roman"/>
          <w:noProof/>
          <w:lang w:val="en-IE"/>
        </w:rPr>
      </w:pPr>
      <w:r w:rsidRPr="384F7AB1">
        <w:rPr>
          <w:rFonts w:eastAsia="Times New Roman"/>
          <w:noProof/>
          <w:lang w:val="en-IE"/>
        </w:rPr>
        <w:t xml:space="preserve">Today, Eurojust is an </w:t>
      </w:r>
      <w:r w:rsidRPr="384F7AB1">
        <w:rPr>
          <w:rFonts w:eastAsia="Times New Roman"/>
          <w:b/>
          <w:bCs/>
          <w:noProof/>
          <w:lang w:val="en-IE"/>
        </w:rPr>
        <w:t xml:space="preserve">indispensable operational </w:t>
      </w:r>
      <w:r w:rsidRPr="384F7AB1">
        <w:rPr>
          <w:rFonts w:eastAsia="Times New Roman"/>
          <w:noProof/>
          <w:lang w:val="en-IE"/>
        </w:rPr>
        <w:t>and</w:t>
      </w:r>
      <w:r w:rsidRPr="384F7AB1">
        <w:rPr>
          <w:rFonts w:eastAsia="Times New Roman"/>
          <w:b/>
          <w:bCs/>
          <w:noProof/>
          <w:lang w:val="en-IE"/>
        </w:rPr>
        <w:t xml:space="preserve"> strategic hub for judicial cooperation, </w:t>
      </w:r>
      <w:r w:rsidR="002E1B85" w:rsidRPr="384F7AB1">
        <w:rPr>
          <w:rFonts w:eastAsia="Times New Roman"/>
          <w:noProof/>
          <w:lang w:val="en-IE"/>
        </w:rPr>
        <w:t>directly supporting</w:t>
      </w:r>
      <w:r w:rsidRPr="384F7AB1">
        <w:rPr>
          <w:rFonts w:eastAsia="Times New Roman"/>
          <w:noProof/>
          <w:lang w:val="en-IE"/>
        </w:rPr>
        <w:t xml:space="preserve"> the fight against cross-border criminal cases.</w:t>
      </w:r>
    </w:p>
    <w:p w14:paraId="7F95B8E0" w14:textId="1111A12F" w:rsidR="00A63B53" w:rsidRPr="00D4396B" w:rsidRDefault="0092673A" w:rsidP="000C3545">
      <w:pPr>
        <w:pStyle w:val="Heading2"/>
        <w:rPr>
          <w:noProof/>
          <w:lang w:eastAsia="en-GB"/>
        </w:rPr>
      </w:pPr>
      <w:bookmarkStart w:id="19" w:name="_Toc648655465"/>
      <w:bookmarkStart w:id="20" w:name="_Toc1202978852"/>
      <w:bookmarkStart w:id="21" w:name="_Toc1522327368"/>
      <w:bookmarkStart w:id="22" w:name="_Toc1954485699"/>
      <w:bookmarkStart w:id="23" w:name="_Toc2061296970"/>
      <w:bookmarkStart w:id="24" w:name="_Toc224109550"/>
      <w:bookmarkStart w:id="25" w:name="_Toc232176393"/>
      <w:r w:rsidRPr="00D4396B">
        <w:rPr>
          <w:noProof/>
          <w:lang w:eastAsia="fr-BE"/>
        </w:rPr>
        <w:t>1.2.</w:t>
      </w:r>
      <w:r>
        <w:rPr>
          <w:noProof/>
        </w:rPr>
        <w:tab/>
      </w:r>
      <w:bookmarkEnd w:id="16"/>
      <w:bookmarkEnd w:id="17"/>
      <w:bookmarkEnd w:id="18"/>
      <w:bookmarkEnd w:id="19"/>
      <w:bookmarkEnd w:id="20"/>
      <w:bookmarkEnd w:id="21"/>
      <w:bookmarkEnd w:id="22"/>
      <w:bookmarkEnd w:id="23"/>
      <w:bookmarkEnd w:id="24"/>
      <w:r w:rsidR="005E7215" w:rsidRPr="00D4396B">
        <w:rPr>
          <w:noProof/>
          <w:lang w:eastAsia="fr-BE"/>
        </w:rPr>
        <w:t xml:space="preserve">Legal context: </w:t>
      </w:r>
      <w:r w:rsidR="005E7215" w:rsidRPr="00C77B3C">
        <w:rPr>
          <w:noProof/>
        </w:rPr>
        <w:t>the</w:t>
      </w:r>
      <w:r w:rsidR="005E7215" w:rsidRPr="00D4396B">
        <w:rPr>
          <w:noProof/>
          <w:lang w:eastAsia="fr-BE"/>
        </w:rPr>
        <w:t xml:space="preserve"> Eurojust Regulation</w:t>
      </w:r>
      <w:bookmarkEnd w:id="25"/>
    </w:p>
    <w:p w14:paraId="34F197CF" w14:textId="395C038D" w:rsidR="005E7215" w:rsidRPr="00D4396B" w:rsidRDefault="005E7215" w:rsidP="005E7215">
      <w:pPr>
        <w:spacing w:after="120"/>
        <w:rPr>
          <w:rFonts w:eastAsia="Times New Roman"/>
          <w:noProof/>
          <w:lang w:val="en-IE"/>
        </w:rPr>
      </w:pPr>
      <w:r w:rsidRPr="6B48CBD7">
        <w:rPr>
          <w:rFonts w:eastAsia="Times New Roman"/>
          <w:noProof/>
          <w:lang w:val="en-IE"/>
        </w:rPr>
        <w:t>Eurojust’s mandate, structure, and operational framework are governed by</w:t>
      </w:r>
      <w:r w:rsidR="0067696C" w:rsidRPr="6B48CBD7">
        <w:rPr>
          <w:rFonts w:eastAsia="Times New Roman"/>
          <w:noProof/>
          <w:lang w:val="en-IE"/>
        </w:rPr>
        <w:t xml:space="preserve"> the EJR</w:t>
      </w:r>
      <w:r w:rsidRPr="6B48CBD7">
        <w:rPr>
          <w:rFonts w:eastAsia="Times New Roman"/>
          <w:noProof/>
          <w:lang w:val="en-IE"/>
        </w:rPr>
        <w:t>, which establishes it as a</w:t>
      </w:r>
      <w:r w:rsidR="638E2FD7" w:rsidRPr="6B48CBD7">
        <w:rPr>
          <w:rFonts w:eastAsia="Times New Roman"/>
          <w:noProof/>
          <w:lang w:val="en-IE"/>
        </w:rPr>
        <w:t xml:space="preserve"> decentrali</w:t>
      </w:r>
      <w:r w:rsidR="004203AF">
        <w:rPr>
          <w:rFonts w:eastAsia="Times New Roman"/>
          <w:noProof/>
          <w:lang w:val="en-IE"/>
        </w:rPr>
        <w:t>s</w:t>
      </w:r>
      <w:r w:rsidR="638E2FD7" w:rsidRPr="6B48CBD7">
        <w:rPr>
          <w:rFonts w:eastAsia="Times New Roman"/>
          <w:noProof/>
          <w:lang w:val="en-IE"/>
        </w:rPr>
        <w:t xml:space="preserve">ed </w:t>
      </w:r>
      <w:r w:rsidRPr="6B48CBD7">
        <w:rPr>
          <w:rFonts w:eastAsia="Times New Roman"/>
          <w:noProof/>
          <w:lang w:val="en-IE"/>
        </w:rPr>
        <w:t xml:space="preserve">EU agency with legal personality. The Regulation defines the mission of Eurojust as </w:t>
      </w:r>
      <w:r w:rsidRPr="6B48CBD7">
        <w:rPr>
          <w:rFonts w:eastAsia="Times New Roman"/>
          <w:b/>
          <w:bCs/>
          <w:noProof/>
          <w:lang w:val="en-IE"/>
        </w:rPr>
        <w:t xml:space="preserve">supporting </w:t>
      </w:r>
      <w:r w:rsidRPr="6B48CBD7">
        <w:rPr>
          <w:rFonts w:eastAsia="Times New Roman"/>
          <w:noProof/>
          <w:lang w:val="en-IE"/>
        </w:rPr>
        <w:t>and</w:t>
      </w:r>
      <w:r w:rsidRPr="6B48CBD7">
        <w:rPr>
          <w:rFonts w:eastAsia="Times New Roman"/>
          <w:b/>
          <w:bCs/>
          <w:noProof/>
          <w:lang w:val="en-IE"/>
        </w:rPr>
        <w:t xml:space="preserve"> strengthening coordination </w:t>
      </w:r>
      <w:r w:rsidRPr="6B48CBD7">
        <w:rPr>
          <w:rFonts w:eastAsia="Times New Roman"/>
          <w:noProof/>
          <w:lang w:val="en-IE"/>
        </w:rPr>
        <w:t>and</w:t>
      </w:r>
      <w:r w:rsidRPr="6B48CBD7">
        <w:rPr>
          <w:rFonts w:eastAsia="Times New Roman"/>
          <w:b/>
          <w:bCs/>
          <w:noProof/>
          <w:lang w:val="en-IE"/>
        </w:rPr>
        <w:t xml:space="preserve"> cooperation between national investigating and prosecuting authorities in relation to serious crime</w:t>
      </w:r>
      <w:r w:rsidRPr="6B48CBD7">
        <w:rPr>
          <w:rFonts w:eastAsia="Times New Roman"/>
          <w:noProof/>
          <w:lang w:val="en-IE"/>
        </w:rPr>
        <w:t>, particularly in cases affecting multiple Member States, based on information supplied by Member States’ authorities, Europol, the E</w:t>
      </w:r>
      <w:r w:rsidR="006D70FB" w:rsidRPr="6B48CBD7">
        <w:rPr>
          <w:rFonts w:eastAsia="Times New Roman"/>
          <w:noProof/>
          <w:lang w:val="en-IE"/>
        </w:rPr>
        <w:t xml:space="preserve">uropean </w:t>
      </w:r>
      <w:r w:rsidRPr="6B48CBD7">
        <w:rPr>
          <w:rFonts w:eastAsia="Times New Roman"/>
          <w:noProof/>
          <w:lang w:val="en-IE"/>
        </w:rPr>
        <w:t>P</w:t>
      </w:r>
      <w:r w:rsidR="006D70FB" w:rsidRPr="6B48CBD7">
        <w:rPr>
          <w:rFonts w:eastAsia="Times New Roman"/>
          <w:noProof/>
          <w:lang w:val="en-IE"/>
        </w:rPr>
        <w:t xml:space="preserve">ublic </w:t>
      </w:r>
      <w:r w:rsidRPr="6B48CBD7">
        <w:rPr>
          <w:rFonts w:eastAsia="Times New Roman"/>
          <w:noProof/>
          <w:lang w:val="en-IE"/>
        </w:rPr>
        <w:t>P</w:t>
      </w:r>
      <w:r w:rsidR="006D70FB" w:rsidRPr="6B48CBD7">
        <w:rPr>
          <w:rFonts w:eastAsia="Times New Roman"/>
          <w:noProof/>
          <w:lang w:val="en-IE"/>
        </w:rPr>
        <w:t xml:space="preserve">rosecutor’s </w:t>
      </w:r>
      <w:r w:rsidRPr="6B48CBD7">
        <w:rPr>
          <w:rFonts w:eastAsia="Times New Roman"/>
          <w:noProof/>
          <w:lang w:val="en-IE"/>
        </w:rPr>
        <w:t>O</w:t>
      </w:r>
      <w:r w:rsidR="006D70FB" w:rsidRPr="6B48CBD7">
        <w:rPr>
          <w:rFonts w:eastAsia="Times New Roman"/>
          <w:noProof/>
          <w:lang w:val="en-IE"/>
        </w:rPr>
        <w:t>ffice (EPPO)</w:t>
      </w:r>
      <w:r w:rsidRPr="6B48CBD7">
        <w:rPr>
          <w:rFonts w:eastAsia="Times New Roman"/>
          <w:noProof/>
          <w:lang w:val="en-IE"/>
        </w:rPr>
        <w:t xml:space="preserve"> and </w:t>
      </w:r>
      <w:r w:rsidR="00515F6E" w:rsidRPr="6B48CBD7">
        <w:rPr>
          <w:rFonts w:eastAsia="Times New Roman"/>
          <w:noProof/>
          <w:lang w:val="en-IE"/>
        </w:rPr>
        <w:t>the European Anti-</w:t>
      </w:r>
      <w:r w:rsidR="004138DE" w:rsidRPr="6B48CBD7">
        <w:rPr>
          <w:rFonts w:eastAsia="Times New Roman"/>
          <w:noProof/>
          <w:lang w:val="en-IE"/>
        </w:rPr>
        <w:t>F</w:t>
      </w:r>
      <w:r w:rsidR="00515F6E" w:rsidRPr="6B48CBD7">
        <w:rPr>
          <w:rFonts w:eastAsia="Times New Roman"/>
          <w:noProof/>
          <w:lang w:val="en-IE"/>
        </w:rPr>
        <w:t>raud Office (</w:t>
      </w:r>
      <w:r w:rsidRPr="6B48CBD7">
        <w:rPr>
          <w:rFonts w:eastAsia="Times New Roman"/>
          <w:noProof/>
          <w:lang w:val="en-IE"/>
        </w:rPr>
        <w:t>OLAF</w:t>
      </w:r>
      <w:r w:rsidR="00A17D04" w:rsidRPr="6B48CBD7">
        <w:rPr>
          <w:rFonts w:eastAsia="Times New Roman"/>
          <w:noProof/>
          <w:lang w:val="en-IE"/>
        </w:rPr>
        <w:t>)</w:t>
      </w:r>
      <w:r w:rsidRPr="6B48CBD7">
        <w:rPr>
          <w:rFonts w:eastAsia="Times New Roman"/>
          <w:noProof/>
          <w:lang w:val="en-IE"/>
        </w:rPr>
        <w:t xml:space="preserve">. </w:t>
      </w:r>
    </w:p>
    <w:p w14:paraId="3359A5BC" w14:textId="54503C30" w:rsidR="005E7215" w:rsidRPr="00D4396B" w:rsidRDefault="005E7215" w:rsidP="005E7215">
      <w:pPr>
        <w:spacing w:after="120"/>
        <w:rPr>
          <w:rFonts w:eastAsia="Times New Roman"/>
          <w:noProof/>
          <w:lang w:val="en-IE"/>
        </w:rPr>
      </w:pPr>
      <w:r w:rsidRPr="00D4396B">
        <w:rPr>
          <w:rFonts w:eastAsia="Times New Roman"/>
          <w:noProof/>
          <w:lang w:val="en-IE"/>
        </w:rPr>
        <w:t xml:space="preserve">Eurojust’s material competence </w:t>
      </w:r>
      <w:r w:rsidR="001615AE">
        <w:rPr>
          <w:rFonts w:eastAsia="Times New Roman"/>
          <w:noProof/>
          <w:lang w:val="en-IE"/>
        </w:rPr>
        <w:t>e</w:t>
      </w:r>
      <w:r w:rsidR="001E5DD6">
        <w:rPr>
          <w:rFonts w:eastAsia="Times New Roman"/>
          <w:noProof/>
          <w:lang w:val="en-IE"/>
        </w:rPr>
        <w:t>xtends to</w:t>
      </w:r>
      <w:r w:rsidR="001615AE" w:rsidRPr="00D4396B">
        <w:rPr>
          <w:rFonts w:eastAsia="Times New Roman"/>
          <w:noProof/>
          <w:lang w:val="en-IE"/>
        </w:rPr>
        <w:t xml:space="preserve"> </w:t>
      </w:r>
      <w:r w:rsidRPr="00D4396B">
        <w:rPr>
          <w:rFonts w:eastAsia="Times New Roman"/>
          <w:b/>
          <w:bCs/>
          <w:noProof/>
          <w:lang w:val="en-IE"/>
        </w:rPr>
        <w:t>serious forms of crime listed in Annex I</w:t>
      </w:r>
      <w:r w:rsidRPr="00D4396B">
        <w:rPr>
          <w:rFonts w:eastAsia="Times New Roman"/>
          <w:noProof/>
          <w:lang w:val="en-IE"/>
        </w:rPr>
        <w:t xml:space="preserve"> of the </w:t>
      </w:r>
      <w:r w:rsidR="003F0AAF">
        <w:rPr>
          <w:rFonts w:eastAsia="Times New Roman"/>
          <w:noProof/>
          <w:lang w:val="en-IE"/>
        </w:rPr>
        <w:t>EJR</w:t>
      </w:r>
      <w:r w:rsidRPr="00D4396B">
        <w:rPr>
          <w:rFonts w:eastAsia="Times New Roman"/>
          <w:noProof/>
          <w:lang w:val="en-IE"/>
        </w:rPr>
        <w:t xml:space="preserve">, </w:t>
      </w:r>
      <w:r w:rsidR="006A2EA8">
        <w:rPr>
          <w:rFonts w:eastAsia="Times New Roman"/>
          <w:noProof/>
          <w:lang w:val="en-IE"/>
        </w:rPr>
        <w:t>and</w:t>
      </w:r>
      <w:r w:rsidRPr="00D4396B">
        <w:rPr>
          <w:rFonts w:eastAsia="Times New Roman"/>
          <w:noProof/>
          <w:lang w:val="en-IE"/>
        </w:rPr>
        <w:t xml:space="preserve"> related offences. While Eurojust itself does not exercise prosecutorial powers, the</w:t>
      </w:r>
      <w:r w:rsidR="00B82C93">
        <w:rPr>
          <w:rFonts w:eastAsia="Times New Roman"/>
          <w:noProof/>
          <w:lang w:val="en-IE"/>
        </w:rPr>
        <w:t xml:space="preserve"> EJR</w:t>
      </w:r>
      <w:r w:rsidRPr="00D4396B">
        <w:rPr>
          <w:rFonts w:eastAsia="Times New Roman"/>
          <w:noProof/>
          <w:lang w:val="en-IE"/>
        </w:rPr>
        <w:t xml:space="preserve"> equips it with </w:t>
      </w:r>
      <w:r w:rsidRPr="00D4396B">
        <w:rPr>
          <w:rFonts w:eastAsia="Times New Roman"/>
          <w:b/>
          <w:bCs/>
          <w:noProof/>
          <w:lang w:val="en-IE"/>
        </w:rPr>
        <w:t>coordination tools that go beyond informal facilitation</w:t>
      </w:r>
      <w:r w:rsidR="00DA76C0">
        <w:rPr>
          <w:rFonts w:eastAsia="Times New Roman"/>
          <w:noProof/>
          <w:lang w:val="en-IE"/>
        </w:rPr>
        <w:t xml:space="preserve">. </w:t>
      </w:r>
      <w:r w:rsidR="002175C0">
        <w:rPr>
          <w:rFonts w:eastAsia="Times New Roman"/>
          <w:noProof/>
          <w:lang w:val="en-IE"/>
        </w:rPr>
        <w:t xml:space="preserve">These include </w:t>
      </w:r>
      <w:r w:rsidRPr="00D4396B">
        <w:rPr>
          <w:rFonts w:eastAsia="Times New Roman"/>
          <w:noProof/>
          <w:lang w:val="en-IE"/>
        </w:rPr>
        <w:t>the power to request national authorities to initiate investigations, to recommend jurisdictional leadership, and to issue opinions to resolve disputes.</w:t>
      </w:r>
    </w:p>
    <w:p w14:paraId="2532A119" w14:textId="2521EAE9" w:rsidR="00E7482A" w:rsidRPr="00B149D5" w:rsidRDefault="005E7215" w:rsidP="00314138">
      <w:pPr>
        <w:spacing w:after="120"/>
        <w:rPr>
          <w:noProof/>
        </w:rPr>
      </w:pPr>
      <w:r w:rsidRPr="3F8EAE7B">
        <w:rPr>
          <w:rFonts w:eastAsia="Times New Roman"/>
          <w:noProof/>
          <w:lang w:val="en-IE"/>
        </w:rPr>
        <w:t xml:space="preserve">Operational tasks are </w:t>
      </w:r>
      <w:r w:rsidR="0041469E">
        <w:rPr>
          <w:rFonts w:eastAsia="Times New Roman"/>
          <w:noProof/>
          <w:lang w:val="en-IE"/>
        </w:rPr>
        <w:t>perfo</w:t>
      </w:r>
      <w:r w:rsidR="00BE7F67">
        <w:rPr>
          <w:rFonts w:eastAsia="Times New Roman"/>
          <w:noProof/>
          <w:lang w:val="en-IE"/>
        </w:rPr>
        <w:t>rmed</w:t>
      </w:r>
      <w:r w:rsidRPr="3F8EAE7B">
        <w:rPr>
          <w:rFonts w:eastAsia="Times New Roman"/>
          <w:noProof/>
          <w:lang w:val="en-IE"/>
        </w:rPr>
        <w:t xml:space="preserve"> by </w:t>
      </w:r>
      <w:r w:rsidRPr="3F8EAE7B">
        <w:rPr>
          <w:rFonts w:eastAsia="Times New Roman"/>
          <w:b/>
          <w:bCs/>
          <w:noProof/>
          <w:lang w:val="en-IE"/>
        </w:rPr>
        <w:t xml:space="preserve">National Members </w:t>
      </w:r>
      <w:r w:rsidR="105A9D75" w:rsidRPr="3F8EAE7B">
        <w:rPr>
          <w:rFonts w:eastAsia="Times New Roman"/>
          <w:noProof/>
          <w:lang w:val="en-IE"/>
        </w:rPr>
        <w:t>(NMs)</w:t>
      </w:r>
      <w:r w:rsidRPr="3F8EAE7B">
        <w:rPr>
          <w:rFonts w:eastAsia="Times New Roman"/>
          <w:noProof/>
          <w:lang w:val="en-IE"/>
        </w:rPr>
        <w:t xml:space="preserve"> – judicial </w:t>
      </w:r>
      <w:r w:rsidR="30BAF648" w:rsidRPr="3F8EAE7B">
        <w:rPr>
          <w:rFonts w:eastAsia="Times New Roman"/>
          <w:noProof/>
          <w:lang w:val="en-IE"/>
        </w:rPr>
        <w:t>representatives</w:t>
      </w:r>
      <w:r w:rsidRPr="3F8EAE7B">
        <w:rPr>
          <w:rFonts w:eastAsia="Times New Roman"/>
          <w:noProof/>
          <w:lang w:val="en-IE"/>
        </w:rPr>
        <w:t xml:space="preserve"> from each Member State – who may act in individual capacity or collectively as the </w:t>
      </w:r>
      <w:r w:rsidRPr="3F8EAE7B">
        <w:rPr>
          <w:rFonts w:eastAsia="Times New Roman"/>
          <w:b/>
          <w:bCs/>
          <w:noProof/>
          <w:lang w:val="en-IE"/>
        </w:rPr>
        <w:t>College</w:t>
      </w:r>
      <w:r w:rsidRPr="3F8EAE7B">
        <w:rPr>
          <w:rFonts w:eastAsia="Times New Roman"/>
          <w:noProof/>
          <w:lang w:val="en-IE"/>
        </w:rPr>
        <w:t xml:space="preserve">. </w:t>
      </w:r>
      <w:r w:rsidRPr="3F8EAE7B">
        <w:rPr>
          <w:rFonts w:eastAsia="Times New Roman"/>
          <w:noProof/>
        </w:rPr>
        <w:t>This ensures that all actions undertaken remain grounded in national law, while enabling coordination among Member States.</w:t>
      </w:r>
      <w:r w:rsidR="234B3B45" w:rsidRPr="3F8EAE7B">
        <w:rPr>
          <w:rFonts w:eastAsia="Times New Roman"/>
          <w:noProof/>
        </w:rPr>
        <w:t xml:space="preserve"> </w:t>
      </w:r>
      <w:r w:rsidRPr="3F8EAE7B">
        <w:rPr>
          <w:rFonts w:eastAsia="Times New Roman"/>
          <w:noProof/>
          <w:lang w:val="en-IE"/>
        </w:rPr>
        <w:t>Strategic planning and management are</w:t>
      </w:r>
      <w:r w:rsidR="45027106" w:rsidRPr="3F8EAE7B">
        <w:rPr>
          <w:rFonts w:eastAsia="Times New Roman"/>
          <w:noProof/>
          <w:lang w:val="en-IE"/>
        </w:rPr>
        <w:t>, as a rule,</w:t>
      </w:r>
      <w:r w:rsidRPr="3F8EAE7B">
        <w:rPr>
          <w:rFonts w:eastAsia="Times New Roman"/>
          <w:noProof/>
          <w:lang w:val="en-IE"/>
        </w:rPr>
        <w:t xml:space="preserve"> entrusted to the </w:t>
      </w:r>
      <w:r w:rsidRPr="3F8EAE7B">
        <w:rPr>
          <w:rFonts w:eastAsia="Times New Roman"/>
          <w:b/>
          <w:bCs/>
          <w:noProof/>
          <w:lang w:val="en-IE"/>
        </w:rPr>
        <w:t>Executive Board</w:t>
      </w:r>
      <w:r w:rsidR="5853171A" w:rsidRPr="3F8EAE7B">
        <w:rPr>
          <w:rFonts w:eastAsia="Times New Roman"/>
          <w:noProof/>
          <w:lang w:val="en-IE"/>
        </w:rPr>
        <w:t xml:space="preserve"> (EB)</w:t>
      </w:r>
      <w:r w:rsidRPr="3F8EAE7B">
        <w:rPr>
          <w:rFonts w:eastAsia="Times New Roman"/>
          <w:noProof/>
          <w:lang w:val="en-IE"/>
        </w:rPr>
        <w:t xml:space="preserve"> and </w:t>
      </w:r>
      <w:r w:rsidRPr="3F8EAE7B">
        <w:rPr>
          <w:rFonts w:eastAsia="Times New Roman"/>
          <w:b/>
          <w:bCs/>
          <w:noProof/>
          <w:lang w:val="en-IE"/>
        </w:rPr>
        <w:t>Administrative Director</w:t>
      </w:r>
      <w:r w:rsidR="254E680F" w:rsidRPr="3F8EAE7B">
        <w:rPr>
          <w:rFonts w:eastAsia="Times New Roman"/>
          <w:noProof/>
          <w:lang w:val="en-IE"/>
        </w:rPr>
        <w:t xml:space="preserve"> (AD)</w:t>
      </w:r>
      <w:r w:rsidRPr="3F8EAE7B">
        <w:rPr>
          <w:rFonts w:eastAsia="Times New Roman"/>
          <w:noProof/>
          <w:lang w:val="en-IE"/>
        </w:rPr>
        <w:t>.</w:t>
      </w:r>
      <w:r w:rsidR="47EEC590" w:rsidRPr="3F8EAE7B">
        <w:rPr>
          <w:rFonts w:eastAsia="Times New Roman"/>
          <w:noProof/>
          <w:lang w:val="en-IE"/>
        </w:rPr>
        <w:t xml:space="preserve"> </w:t>
      </w:r>
    </w:p>
    <w:p w14:paraId="3458C8B7" w14:textId="0A5F16B1" w:rsidR="00E7482A" w:rsidRPr="00314138" w:rsidRDefault="4EB37F18" w:rsidP="00390347">
      <w:pPr>
        <w:spacing w:after="120"/>
        <w:rPr>
          <w:rFonts w:asciiTheme="majorBidi" w:hAnsiTheme="majorBidi" w:cstheme="majorBidi"/>
          <w:noProof/>
          <w:lang w:val="en-IE"/>
        </w:rPr>
      </w:pPr>
      <w:r w:rsidRPr="384F7AB1">
        <w:rPr>
          <w:rFonts w:asciiTheme="majorBidi" w:hAnsiTheme="majorBidi" w:cstheme="majorBidi"/>
          <w:noProof/>
          <w:lang w:val="en-IE"/>
        </w:rPr>
        <w:t xml:space="preserve">Eurojust’s operational model relies on multilateral judicial coordination, primarily through </w:t>
      </w:r>
      <w:r w:rsidRPr="384F7AB1">
        <w:rPr>
          <w:rFonts w:asciiTheme="majorBidi" w:hAnsiTheme="majorBidi" w:cstheme="majorBidi"/>
          <w:b/>
          <w:bCs/>
          <w:noProof/>
          <w:lang w:val="en-IE"/>
        </w:rPr>
        <w:t>case management</w:t>
      </w:r>
      <w:r w:rsidRPr="384F7AB1">
        <w:rPr>
          <w:rFonts w:asciiTheme="majorBidi" w:hAnsiTheme="majorBidi" w:cstheme="majorBidi"/>
          <w:noProof/>
          <w:lang w:val="en-IE"/>
        </w:rPr>
        <w:t xml:space="preserve">, </w:t>
      </w:r>
      <w:r w:rsidRPr="384F7AB1">
        <w:rPr>
          <w:rFonts w:eastAsia="Times New Roman"/>
          <w:b/>
          <w:bCs/>
          <w:noProof/>
          <w:lang w:val="en-IE"/>
        </w:rPr>
        <w:t>Joint Investigation Teams</w:t>
      </w:r>
      <w:r w:rsidRPr="384F7AB1">
        <w:rPr>
          <w:rFonts w:asciiTheme="majorBidi" w:hAnsiTheme="majorBidi" w:cstheme="majorBidi"/>
          <w:b/>
          <w:bCs/>
          <w:noProof/>
          <w:lang w:val="en-IE"/>
        </w:rPr>
        <w:t xml:space="preserve"> </w:t>
      </w:r>
      <w:r w:rsidRPr="384F7AB1">
        <w:rPr>
          <w:rFonts w:asciiTheme="majorBidi" w:hAnsiTheme="majorBidi" w:cstheme="majorBidi"/>
          <w:noProof/>
          <w:lang w:val="en-IE"/>
        </w:rPr>
        <w:t xml:space="preserve">(JITs), and </w:t>
      </w:r>
      <w:r w:rsidRPr="384F7AB1">
        <w:rPr>
          <w:rFonts w:asciiTheme="majorBidi" w:hAnsiTheme="majorBidi" w:cstheme="majorBidi"/>
          <w:b/>
          <w:bCs/>
          <w:noProof/>
          <w:lang w:val="en-IE"/>
        </w:rPr>
        <w:t>strategic platforms</w:t>
      </w:r>
      <w:r w:rsidRPr="384F7AB1">
        <w:rPr>
          <w:rFonts w:asciiTheme="majorBidi" w:hAnsiTheme="majorBidi" w:cstheme="majorBidi"/>
          <w:noProof/>
          <w:lang w:val="en-IE"/>
        </w:rPr>
        <w:t xml:space="preserve"> like the Counter-Terrorism Register.</w:t>
      </w:r>
    </w:p>
    <w:p w14:paraId="4657F9FE" w14:textId="3F582A3A" w:rsidR="0069379A" w:rsidRPr="00314138" w:rsidRDefault="0069379A" w:rsidP="00390347">
      <w:pPr>
        <w:pStyle w:val="NormalWeb"/>
        <w:spacing w:before="0" w:beforeAutospacing="0" w:after="120" w:afterAutospacing="0"/>
        <w:jc w:val="both"/>
        <w:rPr>
          <w:rFonts w:asciiTheme="majorBidi" w:hAnsiTheme="majorBidi" w:cstheme="majorBidi"/>
          <w:noProof/>
        </w:rPr>
      </w:pPr>
      <w:r w:rsidRPr="00314138">
        <w:rPr>
          <w:rFonts w:asciiTheme="majorBidi" w:hAnsiTheme="majorBidi" w:cstheme="majorBidi"/>
          <w:noProof/>
        </w:rPr>
        <w:t xml:space="preserve">Recent years have seen a shift toward crisis-driven coordination, exemplified by Eurojust’s pivotal role in the International Centre for the Prosecution of the Crime of Aggression (ICPA). Established under the CICED framework, ICPA facilitates evidence-sharing for war crimes linked to Russia’s aggression in Ukraine, requiring close collaboration with the ICC, Europol’s War Crimes Task Force, and national war crimes units. This expansion underscores Eurojust’s evolving mandate in international criminal justice, with resource demands outpacing current capacities. </w:t>
      </w:r>
    </w:p>
    <w:p w14:paraId="288CE85C" w14:textId="11E46620" w:rsidR="005E7215" w:rsidRPr="00D4396B" w:rsidRDefault="005E7215" w:rsidP="005E7215">
      <w:pPr>
        <w:spacing w:after="120"/>
        <w:rPr>
          <w:rFonts w:eastAsia="Times New Roman"/>
          <w:noProof/>
          <w:lang w:val="en-IE"/>
        </w:rPr>
      </w:pPr>
      <w:r w:rsidRPr="00D4396B">
        <w:rPr>
          <w:rFonts w:eastAsia="Times New Roman"/>
          <w:noProof/>
        </w:rPr>
        <w:t xml:space="preserve">The Regulation imposes on Member States specific information-sharing obligations, coupled with </w:t>
      </w:r>
      <w:r w:rsidRPr="7CA858E4">
        <w:rPr>
          <w:rFonts w:eastAsia="Times New Roman"/>
          <w:noProof/>
        </w:rPr>
        <w:t>data protection rules</w:t>
      </w:r>
      <w:r w:rsidR="559DF74F" w:rsidRPr="7CA858E4">
        <w:rPr>
          <w:rFonts w:eastAsia="Times New Roman"/>
          <w:noProof/>
        </w:rPr>
        <w:t xml:space="preserve"> (DPR)</w:t>
      </w:r>
      <w:r w:rsidRPr="00D4396B">
        <w:rPr>
          <w:rFonts w:eastAsia="Times New Roman"/>
          <w:noProof/>
        </w:rPr>
        <w:t xml:space="preserve"> governing the transfer of data. It also provides the legal basis for Eurojust’s </w:t>
      </w:r>
      <w:r w:rsidRPr="7CA858E4">
        <w:rPr>
          <w:rFonts w:eastAsia="Times New Roman"/>
          <w:noProof/>
        </w:rPr>
        <w:t>CMS</w:t>
      </w:r>
      <w:r w:rsidRPr="00D4396B">
        <w:rPr>
          <w:rFonts w:eastAsia="Times New Roman"/>
          <w:noProof/>
        </w:rPr>
        <w:t>.</w:t>
      </w:r>
    </w:p>
    <w:p w14:paraId="40BAC6D9" w14:textId="68921391" w:rsidR="005E7215" w:rsidRPr="00D4396B" w:rsidRDefault="0E58D364" w:rsidP="005E7215">
      <w:pPr>
        <w:spacing w:after="120"/>
        <w:rPr>
          <w:rFonts w:eastAsia="Times New Roman"/>
          <w:noProof/>
        </w:rPr>
      </w:pPr>
      <w:r w:rsidRPr="07306001">
        <w:rPr>
          <w:rFonts w:eastAsia="Times New Roman"/>
          <w:noProof/>
        </w:rPr>
        <w:t>Finally, it establishes a framework for cooperation with judicial networks</w:t>
      </w:r>
      <w:r w:rsidR="66F899CB" w:rsidRPr="07306001">
        <w:rPr>
          <w:rFonts w:eastAsia="Times New Roman"/>
          <w:noProof/>
        </w:rPr>
        <w:t xml:space="preserve"> – </w:t>
      </w:r>
      <w:r w:rsidR="7B4CDDE2" w:rsidRPr="07306001">
        <w:rPr>
          <w:rFonts w:eastAsia="Times New Roman"/>
          <w:noProof/>
        </w:rPr>
        <w:t>notably</w:t>
      </w:r>
      <w:r w:rsidRPr="07306001">
        <w:rPr>
          <w:rFonts w:eastAsia="Times New Roman"/>
          <w:noProof/>
        </w:rPr>
        <w:t xml:space="preserve"> the </w:t>
      </w:r>
      <w:r w:rsidR="66F899CB" w:rsidRPr="07306001">
        <w:rPr>
          <w:rFonts w:asciiTheme="majorBidi" w:hAnsiTheme="majorBidi" w:cstheme="majorBidi"/>
          <w:noProof/>
        </w:rPr>
        <w:t>European Judicial Network (</w:t>
      </w:r>
      <w:r w:rsidRPr="07306001">
        <w:rPr>
          <w:rFonts w:eastAsia="Times New Roman"/>
          <w:noProof/>
        </w:rPr>
        <w:t>EJN)</w:t>
      </w:r>
      <w:r w:rsidR="4C13AFF0" w:rsidRPr="07306001">
        <w:rPr>
          <w:rFonts w:eastAsia="Times New Roman"/>
          <w:noProof/>
        </w:rPr>
        <w:t xml:space="preserve"> –</w:t>
      </w:r>
      <w:r w:rsidR="5798ECC5" w:rsidRPr="07306001">
        <w:rPr>
          <w:rFonts w:eastAsia="Times New Roman"/>
          <w:noProof/>
        </w:rPr>
        <w:t xml:space="preserve"> as well as </w:t>
      </w:r>
      <w:r w:rsidRPr="07306001">
        <w:rPr>
          <w:rFonts w:eastAsia="Times New Roman"/>
          <w:noProof/>
        </w:rPr>
        <w:t>Europol and the EPPO, other</w:t>
      </w:r>
      <w:r w:rsidR="6C6B619C" w:rsidRPr="07306001">
        <w:rPr>
          <w:rFonts w:eastAsia="Times New Roman"/>
          <w:noProof/>
        </w:rPr>
        <w:t xml:space="preserve"> EU institutions, bodies, offices and agencies</w:t>
      </w:r>
      <w:r w:rsidRPr="07306001">
        <w:rPr>
          <w:rFonts w:eastAsia="Times New Roman"/>
          <w:noProof/>
        </w:rPr>
        <w:t xml:space="preserve"> </w:t>
      </w:r>
      <w:r w:rsidR="6C6B619C" w:rsidRPr="07306001">
        <w:rPr>
          <w:rFonts w:eastAsia="Times New Roman"/>
          <w:noProof/>
        </w:rPr>
        <w:t>(</w:t>
      </w:r>
      <w:r w:rsidRPr="07306001">
        <w:rPr>
          <w:rFonts w:eastAsia="Times New Roman"/>
          <w:noProof/>
        </w:rPr>
        <w:t>IBOAs</w:t>
      </w:r>
      <w:r w:rsidR="6C6B619C" w:rsidRPr="07306001">
        <w:rPr>
          <w:rFonts w:eastAsia="Times New Roman"/>
          <w:noProof/>
        </w:rPr>
        <w:t>)</w:t>
      </w:r>
      <w:r w:rsidRPr="07306001">
        <w:rPr>
          <w:rFonts w:eastAsia="Times New Roman"/>
          <w:noProof/>
        </w:rPr>
        <w:t>, third countries, and international organisations.</w:t>
      </w:r>
    </w:p>
    <w:p w14:paraId="7061D73C" w14:textId="368AE812" w:rsidR="79901F18" w:rsidRPr="00C04E7E" w:rsidRDefault="79901F18" w:rsidP="72717BEC">
      <w:pPr>
        <w:pBdr>
          <w:top w:val="single" w:sz="4" w:space="4" w:color="auto"/>
          <w:left w:val="single" w:sz="4" w:space="4" w:color="auto"/>
          <w:bottom w:val="single" w:sz="4" w:space="4" w:color="auto"/>
          <w:right w:val="single" w:sz="4" w:space="4" w:color="auto"/>
        </w:pBdr>
        <w:shd w:val="clear" w:color="auto" w:fill="B8CCE4" w:themeFill="accent1" w:themeFillTint="66"/>
        <w:spacing w:after="120"/>
        <w:rPr>
          <w:rFonts w:eastAsia="Times New Roman"/>
          <w:b/>
          <w:bCs/>
          <w:i/>
          <w:iCs/>
          <w:noProof/>
          <w:sz w:val="20"/>
          <w:szCs w:val="20"/>
          <w:u w:val="single"/>
        </w:rPr>
      </w:pPr>
      <w:r w:rsidRPr="00C04E7E">
        <w:rPr>
          <w:rFonts w:eastAsia="Times New Roman"/>
          <w:b/>
          <w:bCs/>
          <w:i/>
          <w:iCs/>
          <w:noProof/>
          <w:sz w:val="20"/>
          <w:szCs w:val="20"/>
          <w:u w:val="single"/>
        </w:rPr>
        <w:t>Internal functioning of Eurojust</w:t>
      </w:r>
    </w:p>
    <w:p w14:paraId="09751370" w14:textId="1E046357" w:rsidR="79901F18" w:rsidRDefault="79901F18" w:rsidP="00C04E7E">
      <w:pPr>
        <w:pBdr>
          <w:top w:val="single" w:sz="4" w:space="4" w:color="auto"/>
          <w:left w:val="single" w:sz="4" w:space="4" w:color="auto"/>
          <w:bottom w:val="single" w:sz="4" w:space="4" w:color="auto"/>
          <w:right w:val="single" w:sz="4" w:space="4" w:color="auto"/>
        </w:pBdr>
        <w:shd w:val="clear" w:color="auto" w:fill="B8CCE4" w:themeFill="accent1" w:themeFillTint="66"/>
        <w:spacing w:after="160" w:line="276" w:lineRule="auto"/>
        <w:rPr>
          <w:rFonts w:eastAsia="Times New Roman"/>
          <w:noProof/>
          <w:sz w:val="20"/>
          <w:szCs w:val="20"/>
        </w:rPr>
      </w:pPr>
      <w:r w:rsidRPr="72717BEC">
        <w:rPr>
          <w:rFonts w:eastAsia="Times New Roman"/>
          <w:noProof/>
          <w:sz w:val="20"/>
          <w:szCs w:val="20"/>
        </w:rPr>
        <w:t xml:space="preserve">The main governance organs of Eurojust are the Eurojust’s </w:t>
      </w:r>
      <w:r w:rsidRPr="00C04E7E">
        <w:rPr>
          <w:rFonts w:eastAsia="Times New Roman"/>
          <w:b/>
          <w:bCs/>
          <w:noProof/>
          <w:sz w:val="20"/>
          <w:szCs w:val="20"/>
        </w:rPr>
        <w:t>College</w:t>
      </w:r>
      <w:r w:rsidRPr="72717BEC">
        <w:rPr>
          <w:rFonts w:eastAsia="Times New Roman"/>
          <w:noProof/>
          <w:sz w:val="20"/>
          <w:szCs w:val="20"/>
        </w:rPr>
        <w:t>, the Executive Board (</w:t>
      </w:r>
      <w:r w:rsidRPr="00C04E7E">
        <w:rPr>
          <w:rFonts w:eastAsia="Times New Roman"/>
          <w:b/>
          <w:bCs/>
          <w:noProof/>
          <w:sz w:val="20"/>
          <w:szCs w:val="20"/>
        </w:rPr>
        <w:t>EB)</w:t>
      </w:r>
      <w:r w:rsidRPr="72717BEC">
        <w:rPr>
          <w:rFonts w:eastAsia="Times New Roman"/>
          <w:noProof/>
          <w:sz w:val="20"/>
          <w:szCs w:val="20"/>
        </w:rPr>
        <w:t xml:space="preserve"> and the Administrative Director (</w:t>
      </w:r>
      <w:r w:rsidRPr="00C04E7E">
        <w:rPr>
          <w:rFonts w:eastAsia="Times New Roman"/>
          <w:b/>
          <w:bCs/>
          <w:noProof/>
          <w:sz w:val="20"/>
          <w:szCs w:val="20"/>
        </w:rPr>
        <w:t>AD</w:t>
      </w:r>
      <w:r w:rsidRPr="72717BEC">
        <w:rPr>
          <w:rFonts w:eastAsia="Times New Roman"/>
          <w:noProof/>
          <w:sz w:val="20"/>
          <w:szCs w:val="20"/>
        </w:rPr>
        <w:t xml:space="preserve">). The </w:t>
      </w:r>
      <w:r w:rsidRPr="00C04E7E">
        <w:rPr>
          <w:rFonts w:eastAsia="Times New Roman"/>
          <w:b/>
          <w:bCs/>
          <w:noProof/>
          <w:sz w:val="20"/>
          <w:szCs w:val="20"/>
        </w:rPr>
        <w:t>College</w:t>
      </w:r>
      <w:r w:rsidR="21543F61" w:rsidRPr="72717BEC">
        <w:rPr>
          <w:rFonts w:eastAsia="Times New Roman"/>
          <w:b/>
          <w:bCs/>
          <w:noProof/>
          <w:sz w:val="20"/>
          <w:szCs w:val="20"/>
        </w:rPr>
        <w:t xml:space="preserve"> </w:t>
      </w:r>
      <w:r w:rsidRPr="72717BEC">
        <w:rPr>
          <w:rFonts w:eastAsia="Times New Roman"/>
          <w:noProof/>
          <w:sz w:val="20"/>
          <w:szCs w:val="20"/>
        </w:rPr>
        <w:t>is the body in charge of operational and operational-related decisions</w:t>
      </w:r>
      <w:r w:rsidR="199C9FB3" w:rsidRPr="72717BEC">
        <w:rPr>
          <w:rFonts w:eastAsia="Times New Roman"/>
          <w:noProof/>
          <w:sz w:val="20"/>
          <w:szCs w:val="20"/>
        </w:rPr>
        <w:t>; it</w:t>
      </w:r>
      <w:r w:rsidRPr="72717BEC">
        <w:rPr>
          <w:rFonts w:eastAsia="Times New Roman"/>
          <w:noProof/>
          <w:sz w:val="20"/>
          <w:szCs w:val="20"/>
        </w:rPr>
        <w:t xml:space="preserve"> is chaired by the President, who is a National Member elected by their peers for a four-year term and is assisted by two Vice-Presidents. When exercising its management functions, the </w:t>
      </w:r>
      <w:r w:rsidRPr="00C04E7E">
        <w:rPr>
          <w:rFonts w:eastAsia="Times New Roman"/>
          <w:b/>
          <w:bCs/>
          <w:noProof/>
          <w:sz w:val="20"/>
          <w:szCs w:val="20"/>
        </w:rPr>
        <w:t>College</w:t>
      </w:r>
      <w:r w:rsidRPr="72717BEC">
        <w:rPr>
          <w:rFonts w:eastAsia="Times New Roman"/>
          <w:noProof/>
          <w:sz w:val="20"/>
          <w:szCs w:val="20"/>
        </w:rPr>
        <w:t xml:space="preserve"> also includes a representative of the European Commission. The </w:t>
      </w:r>
      <w:r w:rsidRPr="00C04E7E">
        <w:rPr>
          <w:rFonts w:eastAsia="Times New Roman"/>
          <w:b/>
          <w:bCs/>
          <w:noProof/>
          <w:sz w:val="20"/>
          <w:szCs w:val="20"/>
        </w:rPr>
        <w:t>College</w:t>
      </w:r>
      <w:r w:rsidRPr="72717BEC">
        <w:rPr>
          <w:rFonts w:eastAsia="Times New Roman"/>
          <w:noProof/>
          <w:sz w:val="20"/>
          <w:szCs w:val="20"/>
        </w:rPr>
        <w:t xml:space="preserve"> adopts the Agency’s budget, Rules of Procedure, as well as policy papers and guidelines related to the operational work of Eurojust. There is one National Member per Member State. National Members are responsible for overseeing the operational work of their respective National Desks. They are supported by a deputy and assistant(s). While the National Members are organs of Eurojust, they are appointed and continue to be employed by their respective Member States. The introduction of the </w:t>
      </w:r>
      <w:r w:rsidRPr="00C04E7E">
        <w:rPr>
          <w:rFonts w:eastAsia="Times New Roman"/>
          <w:b/>
          <w:bCs/>
          <w:noProof/>
          <w:sz w:val="20"/>
          <w:szCs w:val="20"/>
        </w:rPr>
        <w:t>EB</w:t>
      </w:r>
      <w:r w:rsidRPr="72717BEC">
        <w:rPr>
          <w:rFonts w:eastAsia="Times New Roman"/>
          <w:noProof/>
          <w:sz w:val="20"/>
          <w:szCs w:val="20"/>
        </w:rPr>
        <w:t xml:space="preserve"> by the Eurojust Regulation aimed at reducing the administrative burden on the College. The </w:t>
      </w:r>
      <w:r w:rsidRPr="00C04E7E">
        <w:rPr>
          <w:rFonts w:eastAsia="Times New Roman"/>
          <w:b/>
          <w:bCs/>
          <w:noProof/>
          <w:sz w:val="20"/>
          <w:szCs w:val="20"/>
        </w:rPr>
        <w:t>B</w:t>
      </w:r>
      <w:r w:rsidR="4AE3B49A" w:rsidRPr="00C04E7E">
        <w:rPr>
          <w:rFonts w:eastAsia="Times New Roman"/>
          <w:b/>
          <w:bCs/>
          <w:noProof/>
          <w:sz w:val="20"/>
          <w:szCs w:val="20"/>
        </w:rPr>
        <w:t>oard</w:t>
      </w:r>
      <w:r w:rsidRPr="72717BEC">
        <w:rPr>
          <w:rFonts w:eastAsia="Times New Roman"/>
          <w:noProof/>
          <w:sz w:val="20"/>
          <w:szCs w:val="20"/>
        </w:rPr>
        <w:t xml:space="preserve"> consists of Eurojust’s President, its two Vice-Presidents, a representative of the European Commission, and two other College Members designated on a two-year rotation system. As such, membership of the Board is not conditional on any managerial skill or experience. The </w:t>
      </w:r>
      <w:r w:rsidR="1BEE4906" w:rsidRPr="72717BEC">
        <w:rPr>
          <w:rFonts w:eastAsia="Times New Roman"/>
          <w:noProof/>
          <w:sz w:val="20"/>
          <w:szCs w:val="20"/>
        </w:rPr>
        <w:t>E</w:t>
      </w:r>
      <w:r w:rsidRPr="72717BEC">
        <w:rPr>
          <w:rFonts w:eastAsia="Times New Roman"/>
          <w:noProof/>
          <w:sz w:val="20"/>
          <w:szCs w:val="20"/>
        </w:rPr>
        <w:t>B</w:t>
      </w:r>
      <w:r w:rsidR="2D599084" w:rsidRPr="72717BEC">
        <w:rPr>
          <w:rFonts w:eastAsia="Times New Roman"/>
          <w:noProof/>
          <w:sz w:val="20"/>
          <w:szCs w:val="20"/>
        </w:rPr>
        <w:t xml:space="preserve"> is not</w:t>
      </w:r>
      <w:r w:rsidRPr="72717BEC">
        <w:rPr>
          <w:rFonts w:eastAsia="Times New Roman"/>
          <w:noProof/>
          <w:sz w:val="20"/>
          <w:szCs w:val="20"/>
        </w:rPr>
        <w:t xml:space="preserve"> involved in the operational functions of Eurojust. Instead, it </w:t>
      </w:r>
      <w:r w:rsidR="03DB06AA" w:rsidRPr="72717BEC">
        <w:rPr>
          <w:rFonts w:eastAsia="Times New Roman"/>
          <w:noProof/>
          <w:sz w:val="20"/>
          <w:szCs w:val="20"/>
        </w:rPr>
        <w:t>focuses</w:t>
      </w:r>
      <w:r w:rsidRPr="72717BEC">
        <w:rPr>
          <w:rFonts w:eastAsia="Times New Roman"/>
          <w:noProof/>
          <w:sz w:val="20"/>
          <w:szCs w:val="20"/>
        </w:rPr>
        <w:t xml:space="preserve"> on ensuring the Agency’s proper functioning. Activities of the Board include reviewing key programming and planning documents (e.g. the draft annual budget), assisting and advising the </w:t>
      </w:r>
      <w:r w:rsidRPr="00C04E7E">
        <w:rPr>
          <w:rFonts w:eastAsia="Times New Roman"/>
          <w:b/>
          <w:bCs/>
          <w:noProof/>
          <w:sz w:val="20"/>
          <w:szCs w:val="20"/>
        </w:rPr>
        <w:t>AD</w:t>
      </w:r>
      <w:r w:rsidRPr="72717BEC">
        <w:rPr>
          <w:rFonts w:eastAsia="Times New Roman"/>
          <w:noProof/>
          <w:sz w:val="20"/>
          <w:szCs w:val="20"/>
        </w:rPr>
        <w:t xml:space="preserve"> on the implementation of College decisions, and adopting the anti-fraud strategy and financial rules. The administration of Eurojust is headed by the </w:t>
      </w:r>
      <w:r w:rsidRPr="00C04E7E">
        <w:rPr>
          <w:rFonts w:eastAsia="Times New Roman"/>
          <w:b/>
          <w:bCs/>
          <w:noProof/>
          <w:sz w:val="20"/>
          <w:szCs w:val="20"/>
        </w:rPr>
        <w:t>AD</w:t>
      </w:r>
      <w:r w:rsidRPr="72717BEC">
        <w:rPr>
          <w:rFonts w:eastAsia="Times New Roman"/>
          <w:noProof/>
          <w:sz w:val="20"/>
          <w:szCs w:val="20"/>
        </w:rPr>
        <w:t xml:space="preserve">, who is appointed by the College. The </w:t>
      </w:r>
      <w:r w:rsidRPr="00C04E7E">
        <w:rPr>
          <w:rFonts w:eastAsia="Times New Roman"/>
          <w:b/>
          <w:bCs/>
          <w:noProof/>
          <w:sz w:val="20"/>
          <w:szCs w:val="20"/>
        </w:rPr>
        <w:t>AD</w:t>
      </w:r>
      <w:r w:rsidRPr="72717BEC">
        <w:rPr>
          <w:rFonts w:eastAsia="Times New Roman"/>
          <w:noProof/>
          <w:sz w:val="20"/>
          <w:szCs w:val="20"/>
        </w:rPr>
        <w:t xml:space="preserve"> is responsible for the day-to-day administration of Eurojust, in line with the Eurojust Regulation, College decisions, and Eurojust programming documents, etc. The administration</w:t>
      </w:r>
      <w:r w:rsidR="7FA92510" w:rsidRPr="72717BEC">
        <w:rPr>
          <w:rFonts w:eastAsia="Times New Roman"/>
          <w:noProof/>
          <w:sz w:val="20"/>
          <w:szCs w:val="20"/>
        </w:rPr>
        <w:t xml:space="preserve"> (Eurojust staff)</w:t>
      </w:r>
      <w:r w:rsidRPr="72717BEC">
        <w:rPr>
          <w:rFonts w:eastAsia="Times New Roman"/>
          <w:noProof/>
          <w:sz w:val="20"/>
          <w:szCs w:val="20"/>
        </w:rPr>
        <w:t xml:space="preserve"> is further divided into two main departments, the Operations Department and the Resources Department.</w:t>
      </w:r>
    </w:p>
    <w:p w14:paraId="31917F93" w14:textId="569C872D" w:rsidR="00A63B53" w:rsidRPr="00D4396B" w:rsidRDefault="0092673A" w:rsidP="000C3545">
      <w:pPr>
        <w:pStyle w:val="Heading2"/>
        <w:rPr>
          <w:noProof/>
          <w:lang w:eastAsia="fr-BE"/>
        </w:rPr>
      </w:pPr>
      <w:bookmarkStart w:id="26" w:name="_Toc2041704098"/>
      <w:bookmarkStart w:id="27" w:name="_Toc831429918"/>
      <w:bookmarkStart w:id="28" w:name="_Toc504849028"/>
      <w:bookmarkStart w:id="29" w:name="_Toc600474116"/>
      <w:bookmarkStart w:id="30" w:name="_Toc750645951"/>
      <w:bookmarkStart w:id="31" w:name="_Toc224109551"/>
      <w:bookmarkStart w:id="32" w:name="_Toc232176394"/>
      <w:r w:rsidRPr="00D4396B">
        <w:rPr>
          <w:noProof/>
          <w:lang w:eastAsia="fr-BE"/>
        </w:rPr>
        <w:t>1.3.</w:t>
      </w:r>
      <w:r w:rsidRPr="00D4396B">
        <w:rPr>
          <w:noProof/>
          <w:lang w:eastAsia="fr-BE"/>
        </w:rPr>
        <w:tab/>
      </w:r>
      <w:bookmarkEnd w:id="26"/>
      <w:bookmarkEnd w:id="27"/>
      <w:bookmarkEnd w:id="28"/>
      <w:bookmarkEnd w:id="29"/>
      <w:bookmarkEnd w:id="30"/>
      <w:bookmarkEnd w:id="31"/>
      <w:r w:rsidR="005E7215" w:rsidRPr="009B7402">
        <w:rPr>
          <w:noProof/>
        </w:rPr>
        <w:t>Political</w:t>
      </w:r>
      <w:r w:rsidR="005E7215" w:rsidRPr="00D4396B">
        <w:rPr>
          <w:noProof/>
          <w:lang w:eastAsia="fr-BE"/>
        </w:rPr>
        <w:t xml:space="preserve"> context</w:t>
      </w:r>
      <w:bookmarkEnd w:id="32"/>
    </w:p>
    <w:p w14:paraId="4802C8AC" w14:textId="49387A02" w:rsidR="005E7215" w:rsidRPr="00D4396B" w:rsidRDefault="005E7215" w:rsidP="005E7215">
      <w:pPr>
        <w:spacing w:after="120"/>
        <w:rPr>
          <w:rFonts w:eastAsia="Times New Roman"/>
          <w:noProof/>
          <w:lang w:val="en-IE"/>
        </w:rPr>
      </w:pPr>
      <w:r w:rsidRPr="00D4396B">
        <w:rPr>
          <w:rFonts w:eastAsia="Times New Roman"/>
          <w:noProof/>
          <w:lang w:val="en-IE"/>
        </w:rPr>
        <w:t>The E</w:t>
      </w:r>
      <w:r w:rsidR="448E9F65" w:rsidRPr="00D4396B">
        <w:rPr>
          <w:rFonts w:eastAsia="Times New Roman"/>
          <w:noProof/>
          <w:lang w:val="en-IE"/>
        </w:rPr>
        <w:t>U</w:t>
      </w:r>
      <w:r w:rsidRPr="00D4396B">
        <w:rPr>
          <w:rFonts w:eastAsia="Times New Roman"/>
          <w:noProof/>
          <w:lang w:val="en-IE"/>
        </w:rPr>
        <w:t>’s internal security landscape is evolving rapidly, shaped by</w:t>
      </w:r>
      <w:r w:rsidRPr="00D4396B">
        <w:rPr>
          <w:rFonts w:eastAsia="Times New Roman"/>
          <w:b/>
          <w:bCs/>
          <w:noProof/>
          <w:lang w:val="en-IE"/>
        </w:rPr>
        <w:t xml:space="preserve"> increasingly complex criminal ecosystems</w:t>
      </w:r>
      <w:r w:rsidRPr="00D4396B">
        <w:rPr>
          <w:rFonts w:eastAsia="Times New Roman"/>
          <w:noProof/>
          <w:lang w:val="en-IE"/>
        </w:rPr>
        <w:t>,</w:t>
      </w:r>
      <w:r w:rsidRPr="00D4396B">
        <w:rPr>
          <w:rFonts w:eastAsia="Times New Roman"/>
          <w:b/>
          <w:bCs/>
          <w:noProof/>
          <w:lang w:val="en-IE"/>
        </w:rPr>
        <w:t xml:space="preserve"> a steady expansion of cross-border threats</w:t>
      </w:r>
      <w:r w:rsidRPr="00D4396B">
        <w:rPr>
          <w:rFonts w:eastAsia="Times New Roman"/>
          <w:noProof/>
          <w:lang w:val="en-IE"/>
        </w:rPr>
        <w:t>,</w:t>
      </w:r>
      <w:r w:rsidRPr="00D4396B">
        <w:rPr>
          <w:rFonts w:eastAsia="Times New Roman"/>
          <w:b/>
          <w:bCs/>
          <w:noProof/>
          <w:lang w:val="en-IE"/>
        </w:rPr>
        <w:t xml:space="preserve"> </w:t>
      </w:r>
      <w:r w:rsidRPr="00D4396B">
        <w:rPr>
          <w:rFonts w:eastAsia="Times New Roman"/>
          <w:noProof/>
          <w:lang w:val="en-IE"/>
        </w:rPr>
        <w:t>and</w:t>
      </w:r>
      <w:r w:rsidRPr="00D4396B">
        <w:rPr>
          <w:rFonts w:eastAsia="Times New Roman"/>
          <w:b/>
          <w:bCs/>
          <w:noProof/>
          <w:lang w:val="en-IE"/>
        </w:rPr>
        <w:t xml:space="preserve"> </w:t>
      </w:r>
      <w:r w:rsidRPr="00D4396B">
        <w:rPr>
          <w:rFonts w:eastAsia="Times New Roman"/>
          <w:noProof/>
          <w:lang w:val="en-IE"/>
        </w:rPr>
        <w:t xml:space="preserve">ongoing </w:t>
      </w:r>
      <w:r w:rsidRPr="00D4396B">
        <w:rPr>
          <w:rFonts w:eastAsia="Times New Roman"/>
          <w:b/>
          <w:bCs/>
          <w:noProof/>
          <w:lang w:val="en-IE"/>
        </w:rPr>
        <w:t>geopolitical instability</w:t>
      </w:r>
      <w:r w:rsidRPr="00D4396B">
        <w:rPr>
          <w:rFonts w:eastAsia="Times New Roman"/>
          <w:noProof/>
          <w:lang w:val="en-IE"/>
        </w:rPr>
        <w:t xml:space="preserve">. Criminal networks operate seamlessly across borders, exploiting jurisdictional fragmentation and technical innovation to commit illegal activities and evade detection. </w:t>
      </w:r>
      <w:r w:rsidR="00FD18A0" w:rsidRPr="00D4396B">
        <w:rPr>
          <w:rFonts w:eastAsia="Times New Roman"/>
          <w:noProof/>
          <w:lang w:val="en-IE"/>
        </w:rPr>
        <w:t>Whil</w:t>
      </w:r>
      <w:r w:rsidR="00FD18A0">
        <w:rPr>
          <w:rFonts w:eastAsia="Times New Roman"/>
          <w:noProof/>
          <w:lang w:val="en-IE"/>
        </w:rPr>
        <w:t>e</w:t>
      </w:r>
      <w:r w:rsidRPr="00D4396B">
        <w:rPr>
          <w:rFonts w:eastAsia="Times New Roman"/>
          <w:noProof/>
          <w:lang w:val="en-IE"/>
        </w:rPr>
        <w:t xml:space="preserve"> Europe’s institutional systems are largely recognised as effective and resilient, there are regional variations.</w:t>
      </w:r>
      <w:r w:rsidRPr="00D4396B">
        <w:rPr>
          <w:rStyle w:val="FootnoteReference"/>
          <w:rFonts w:eastAsia="Times New Roman"/>
          <w:noProof/>
          <w:lang w:val="en-IE"/>
        </w:rPr>
        <w:footnoteReference w:id="6"/>
      </w:r>
      <w:r w:rsidRPr="00D4396B">
        <w:rPr>
          <w:rFonts w:eastAsia="Times New Roman"/>
          <w:noProof/>
          <w:lang w:val="en-IE"/>
        </w:rPr>
        <w:t xml:space="preserve"> National judicial and law enforcement systems are under unprecedented strain, intensifying the operational demand for coordinated support at EU level. </w:t>
      </w:r>
    </w:p>
    <w:p w14:paraId="2DD940C2" w14:textId="77777777" w:rsidR="005E7215" w:rsidRPr="00D4396B" w:rsidRDefault="005E7215" w:rsidP="005E7215">
      <w:pPr>
        <w:spacing w:after="120"/>
        <w:rPr>
          <w:rFonts w:eastAsia="Times New Roman"/>
          <w:noProof/>
          <w:lang w:val="en-IE"/>
        </w:rPr>
      </w:pPr>
      <w:r w:rsidRPr="00D4396B">
        <w:rPr>
          <w:rFonts w:eastAsia="Times New Roman"/>
          <w:noProof/>
          <w:lang w:val="en-IE"/>
        </w:rPr>
        <w:t xml:space="preserve">The recent </w:t>
      </w:r>
      <w:r w:rsidRPr="00D4396B">
        <w:rPr>
          <w:rFonts w:eastAsia="Times New Roman"/>
          <w:b/>
          <w:bCs/>
          <w:noProof/>
          <w:lang w:val="en-IE"/>
        </w:rPr>
        <w:t xml:space="preserve">Serious and Organised Crime Threat Assessment </w:t>
      </w:r>
      <w:r w:rsidRPr="00D4396B">
        <w:rPr>
          <w:rFonts w:eastAsia="Times New Roman"/>
          <w:noProof/>
          <w:lang w:val="en-IE"/>
        </w:rPr>
        <w:t>(SOCTA)</w:t>
      </w:r>
      <w:r w:rsidRPr="00D4396B">
        <w:rPr>
          <w:rStyle w:val="FootnoteReference"/>
          <w:rFonts w:eastAsia="Times New Roman"/>
          <w:noProof/>
          <w:lang w:val="en-IE"/>
        </w:rPr>
        <w:footnoteReference w:id="7"/>
      </w:r>
      <w:r w:rsidRPr="00D4396B">
        <w:rPr>
          <w:rFonts w:eastAsia="Times New Roman"/>
          <w:noProof/>
          <w:lang w:val="en-IE"/>
        </w:rPr>
        <w:t xml:space="preserve"> underlines this shift, depicting a </w:t>
      </w:r>
      <w:r w:rsidRPr="00D4396B">
        <w:rPr>
          <w:rFonts w:eastAsia="Times New Roman"/>
          <w:b/>
          <w:noProof/>
          <w:lang w:val="en-IE"/>
        </w:rPr>
        <w:t>highly interconnected, technology-driven criminal ecosystem</w:t>
      </w:r>
      <w:r w:rsidRPr="00D4396B">
        <w:rPr>
          <w:rFonts w:eastAsia="Times New Roman"/>
          <w:noProof/>
          <w:lang w:val="en-IE"/>
        </w:rPr>
        <w:t xml:space="preserve"> that systematically outpaces national law enforcement and judicial responses.</w:t>
      </w:r>
    </w:p>
    <w:p w14:paraId="029616E4" w14:textId="00645921" w:rsidR="005E7215" w:rsidRPr="00D4396B" w:rsidRDefault="005E7215" w:rsidP="005E7215">
      <w:pPr>
        <w:spacing w:after="120"/>
        <w:rPr>
          <w:rFonts w:eastAsia="Times New Roman"/>
          <w:noProof/>
          <w:lang w:val="en-IE"/>
        </w:rPr>
      </w:pPr>
      <w:r w:rsidRPr="00D4396B">
        <w:rPr>
          <w:rFonts w:eastAsia="Times New Roman"/>
          <w:noProof/>
          <w:lang w:val="en-IE"/>
        </w:rPr>
        <w:t xml:space="preserve">In response, the EU has strengthened its strategic framework for internal security. The </w:t>
      </w:r>
      <w:r w:rsidRPr="00D4396B">
        <w:rPr>
          <w:rFonts w:eastAsia="Times New Roman"/>
          <w:b/>
          <w:bCs/>
          <w:noProof/>
          <w:lang w:val="en-IE"/>
        </w:rPr>
        <w:t>ProtectEU Strategy</w:t>
      </w:r>
      <w:r w:rsidRPr="00D4396B">
        <w:rPr>
          <w:rStyle w:val="FootnoteReference"/>
          <w:rFonts w:eastAsia="Times New Roman"/>
          <w:noProof/>
          <w:lang w:val="en-IE"/>
        </w:rPr>
        <w:footnoteReference w:id="8"/>
      </w:r>
      <w:r w:rsidRPr="00D4396B">
        <w:rPr>
          <w:rFonts w:eastAsia="Times New Roman"/>
          <w:noProof/>
          <w:lang w:val="en-IE"/>
        </w:rPr>
        <w:t xml:space="preserve"> explicitly prioritises judicial cooperation, recognising that operational intelligence must translate into effective prosecutions. It highlights the need to </w:t>
      </w:r>
      <w:r w:rsidRPr="00D4396B">
        <w:rPr>
          <w:rFonts w:eastAsia="Times New Roman"/>
          <w:b/>
          <w:bCs/>
          <w:noProof/>
          <w:lang w:val="en-IE"/>
        </w:rPr>
        <w:t>assess and</w:t>
      </w:r>
      <w:r w:rsidRPr="00D4396B">
        <w:rPr>
          <w:rFonts w:eastAsia="Times New Roman"/>
          <w:noProof/>
          <w:lang w:val="en-IE"/>
        </w:rPr>
        <w:t xml:space="preserve"> </w:t>
      </w:r>
      <w:r w:rsidRPr="00D4396B">
        <w:rPr>
          <w:rFonts w:eastAsia="Times New Roman"/>
          <w:b/>
          <w:bCs/>
          <w:noProof/>
          <w:lang w:val="en-IE"/>
        </w:rPr>
        <w:t>strengthen Eurojust’s mandate in 2026</w:t>
      </w:r>
      <w:r w:rsidRPr="00D4396B">
        <w:rPr>
          <w:rFonts w:eastAsia="Times New Roman"/>
          <w:noProof/>
          <w:lang w:val="en-IE"/>
        </w:rPr>
        <w:t xml:space="preserve">, underscoring the Agency’s central role in coordinating cross-border prosecutions, enabling information exchange between judicial authorities, and ensuring coherent prosecution at EU level and beyond. This is echoed in the </w:t>
      </w:r>
      <w:r w:rsidRPr="00D4396B">
        <w:rPr>
          <w:rFonts w:eastAsia="Times New Roman"/>
          <w:b/>
          <w:bCs/>
          <w:noProof/>
          <w:lang w:val="en-IE"/>
        </w:rPr>
        <w:t>EU</w:t>
      </w:r>
      <w:r w:rsidRPr="00D4396B">
        <w:rPr>
          <w:rFonts w:eastAsia="Times New Roman"/>
          <w:noProof/>
          <w:lang w:val="en-IE"/>
        </w:rPr>
        <w:t xml:space="preserve"> </w:t>
      </w:r>
      <w:r w:rsidRPr="00D4396B">
        <w:rPr>
          <w:rFonts w:eastAsia="Times New Roman"/>
          <w:b/>
          <w:bCs/>
          <w:noProof/>
          <w:lang w:val="en-IE"/>
        </w:rPr>
        <w:t>Roadmap to fight Drug Trafficking and Organised Crime</w:t>
      </w:r>
      <w:r w:rsidRPr="00D4396B">
        <w:rPr>
          <w:rFonts w:eastAsia="Times New Roman"/>
          <w:noProof/>
          <w:lang w:val="en-IE"/>
        </w:rPr>
        <w:t xml:space="preserve"> and the </w:t>
      </w:r>
      <w:r w:rsidRPr="00D4396B">
        <w:rPr>
          <w:rFonts w:eastAsia="Times New Roman"/>
          <w:b/>
          <w:bCs/>
          <w:noProof/>
        </w:rPr>
        <w:t>EU Drugs Strategy and EU Action Plan against drug trafficking</w:t>
      </w:r>
      <w:r w:rsidRPr="00D4396B">
        <w:rPr>
          <w:rStyle w:val="FootnoteReference"/>
          <w:rFonts w:eastAsia="Times New Roman"/>
          <w:noProof/>
        </w:rPr>
        <w:footnoteReference w:id="9"/>
      </w:r>
      <w:r w:rsidRPr="00D4396B">
        <w:rPr>
          <w:rFonts w:eastAsia="Times New Roman"/>
          <w:noProof/>
        </w:rPr>
        <w:t>.</w:t>
      </w:r>
      <w:r w:rsidRPr="00D4396B">
        <w:rPr>
          <w:rFonts w:eastAsia="Times New Roman"/>
          <w:b/>
          <w:bCs/>
          <w:noProof/>
        </w:rPr>
        <w:t xml:space="preserve"> </w:t>
      </w:r>
      <w:r w:rsidRPr="00D4396B">
        <w:rPr>
          <w:rFonts w:eastAsia="Times New Roman"/>
          <w:noProof/>
          <w:lang w:val="en-IE"/>
        </w:rPr>
        <w:t>Given that successful prosecutions hinge on swift mutual legal assistance and parallel investigations, Eurojust’s role as the EU’s criminal justice hub has never been more critical.</w:t>
      </w:r>
    </w:p>
    <w:p w14:paraId="52F8D616" w14:textId="555CADAB" w:rsidR="005E7215" w:rsidRPr="00D4396B" w:rsidRDefault="005E7215" w:rsidP="005E7215">
      <w:pPr>
        <w:spacing w:after="120"/>
        <w:rPr>
          <w:rFonts w:eastAsia="Times New Roman"/>
          <w:noProof/>
          <w:lang w:val="en-IE"/>
        </w:rPr>
      </w:pPr>
      <w:r w:rsidRPr="00D4396B">
        <w:rPr>
          <w:rFonts w:eastAsia="Times New Roman"/>
          <w:noProof/>
          <w:lang w:val="en-IE"/>
        </w:rPr>
        <w:t>A clear trend has</w:t>
      </w:r>
      <w:r w:rsidR="7AFDF77C" w:rsidRPr="00D4396B">
        <w:rPr>
          <w:rFonts w:eastAsia="Times New Roman"/>
          <w:noProof/>
          <w:lang w:val="en-IE"/>
        </w:rPr>
        <w:t xml:space="preserve"> </w:t>
      </w:r>
      <w:r w:rsidRPr="00D4396B">
        <w:rPr>
          <w:rFonts w:eastAsia="Times New Roman"/>
          <w:noProof/>
          <w:lang w:val="en-IE"/>
        </w:rPr>
        <w:t xml:space="preserve">emerged: </w:t>
      </w:r>
      <w:r w:rsidRPr="00D4396B">
        <w:rPr>
          <w:rFonts w:eastAsia="Times New Roman"/>
          <w:b/>
          <w:bCs/>
          <w:noProof/>
          <w:lang w:val="en-IE"/>
        </w:rPr>
        <w:t xml:space="preserve">the </w:t>
      </w:r>
      <w:r w:rsidR="00704627">
        <w:rPr>
          <w:rFonts w:eastAsia="Times New Roman"/>
          <w:b/>
          <w:bCs/>
          <w:noProof/>
          <w:lang w:val="en-IE"/>
        </w:rPr>
        <w:t>line</w:t>
      </w:r>
      <w:r w:rsidR="00704627" w:rsidRPr="00D4396B">
        <w:rPr>
          <w:rFonts w:eastAsia="Times New Roman"/>
          <w:b/>
          <w:bCs/>
          <w:noProof/>
          <w:lang w:val="en-IE"/>
        </w:rPr>
        <w:t xml:space="preserve"> </w:t>
      </w:r>
      <w:r w:rsidRPr="00D4396B">
        <w:rPr>
          <w:rFonts w:eastAsia="Times New Roman"/>
          <w:b/>
          <w:bCs/>
          <w:noProof/>
          <w:lang w:val="en-IE"/>
        </w:rPr>
        <w:t xml:space="preserve">between domestic and cross-border crime </w:t>
      </w:r>
      <w:r w:rsidR="00704627">
        <w:rPr>
          <w:rFonts w:eastAsia="Times New Roman"/>
          <w:b/>
          <w:bCs/>
          <w:noProof/>
          <w:lang w:val="en-IE"/>
        </w:rPr>
        <w:t>is</w:t>
      </w:r>
      <w:r w:rsidRPr="00D4396B">
        <w:rPr>
          <w:rFonts w:eastAsia="Times New Roman"/>
          <w:b/>
          <w:bCs/>
          <w:noProof/>
          <w:lang w:val="en-IE"/>
        </w:rPr>
        <w:t xml:space="preserve"> blurring</w:t>
      </w:r>
      <w:r w:rsidRPr="00D4396B">
        <w:rPr>
          <w:rFonts w:eastAsia="Times New Roman"/>
          <w:noProof/>
          <w:lang w:val="en-IE"/>
        </w:rPr>
        <w:t>, and effectiveness of national judicial action now depends on robust EU-level support. Recent reforms – such as the</w:t>
      </w:r>
      <w:r w:rsidRPr="00D4396B">
        <w:rPr>
          <w:rFonts w:eastAsia="Times New Roman"/>
          <w:b/>
          <w:bCs/>
          <w:noProof/>
          <w:lang w:val="en-IE"/>
        </w:rPr>
        <w:t xml:space="preserve"> E-evidence framework</w:t>
      </w:r>
      <w:r w:rsidR="00142030" w:rsidRPr="00142030">
        <w:rPr>
          <w:rFonts w:eastAsia="Times New Roman"/>
          <w:noProof/>
          <w:lang w:val="en-IE"/>
        </w:rPr>
        <w:t>,</w:t>
      </w:r>
      <w:r w:rsidRPr="00D4396B">
        <w:rPr>
          <w:rStyle w:val="FootnoteReference"/>
          <w:noProof/>
        </w:rPr>
        <w:footnoteReference w:id="10"/>
      </w:r>
      <w:r w:rsidRPr="00D4396B">
        <w:rPr>
          <w:rFonts w:eastAsia="Times New Roman"/>
          <w:noProof/>
          <w:lang w:val="en-IE"/>
        </w:rPr>
        <w:t xml:space="preserve"> the</w:t>
      </w:r>
      <w:r w:rsidRPr="00D4396B">
        <w:rPr>
          <w:rFonts w:eastAsia="Times New Roman"/>
          <w:b/>
          <w:bCs/>
          <w:noProof/>
          <w:lang w:val="en-IE"/>
        </w:rPr>
        <w:t xml:space="preserve"> Anti-Money Laundering package</w:t>
      </w:r>
      <w:r w:rsidR="00142030">
        <w:rPr>
          <w:rFonts w:eastAsia="Times New Roman"/>
          <w:noProof/>
          <w:lang w:val="en-IE"/>
        </w:rPr>
        <w:t>,</w:t>
      </w:r>
      <w:r w:rsidRPr="00D4396B">
        <w:rPr>
          <w:rStyle w:val="FootnoteReference"/>
          <w:noProof/>
        </w:rPr>
        <w:footnoteReference w:id="11"/>
      </w:r>
      <w:r w:rsidRPr="00D4396B">
        <w:rPr>
          <w:rFonts w:eastAsia="Times New Roman"/>
          <w:b/>
          <w:bCs/>
          <w:noProof/>
          <w:lang w:val="en-IE"/>
        </w:rPr>
        <w:t xml:space="preserve"> </w:t>
      </w:r>
      <w:r w:rsidRPr="00D4396B">
        <w:rPr>
          <w:rFonts w:eastAsia="Times New Roman"/>
          <w:noProof/>
          <w:lang w:val="en-IE"/>
        </w:rPr>
        <w:t>and the</w:t>
      </w:r>
      <w:r w:rsidRPr="00D4396B">
        <w:rPr>
          <w:rFonts w:eastAsia="Times New Roman"/>
          <w:b/>
          <w:bCs/>
          <w:noProof/>
          <w:lang w:val="en-IE"/>
        </w:rPr>
        <w:t xml:space="preserve"> interoperability of EU information systems</w:t>
      </w:r>
      <w:r w:rsidRPr="00D4396B">
        <w:rPr>
          <w:rStyle w:val="FootnoteReference"/>
          <w:noProof/>
        </w:rPr>
        <w:footnoteReference w:id="12"/>
      </w:r>
      <w:r w:rsidRPr="00D4396B">
        <w:rPr>
          <w:rFonts w:eastAsia="Times New Roman"/>
          <w:noProof/>
          <w:lang w:val="en-IE"/>
        </w:rPr>
        <w:t xml:space="preserve"> – are </w:t>
      </w:r>
      <w:r w:rsidR="00F8772F">
        <w:rPr>
          <w:rFonts w:eastAsia="Times New Roman"/>
          <w:noProof/>
          <w:lang w:val="en-IE"/>
        </w:rPr>
        <w:t>transforming data-sharing practices of</w:t>
      </w:r>
      <w:r w:rsidRPr="00D4396B">
        <w:rPr>
          <w:rFonts w:eastAsia="Times New Roman"/>
          <w:noProof/>
          <w:lang w:val="en-IE"/>
        </w:rPr>
        <w:t xml:space="preserve"> national authorities, making coordination </w:t>
      </w:r>
      <w:r w:rsidR="00A70D6E">
        <w:rPr>
          <w:rFonts w:eastAsia="Times New Roman"/>
          <w:noProof/>
          <w:lang w:val="en-IE"/>
        </w:rPr>
        <w:t>even</w:t>
      </w:r>
      <w:r w:rsidRPr="00D4396B">
        <w:rPr>
          <w:rFonts w:eastAsia="Times New Roman"/>
          <w:noProof/>
          <w:lang w:val="en-IE"/>
        </w:rPr>
        <w:t xml:space="preserve"> more essential.</w:t>
      </w:r>
    </w:p>
    <w:p w14:paraId="2F39D8BF" w14:textId="578A9999" w:rsidR="005E7215" w:rsidRPr="00D4396B" w:rsidRDefault="005E7215" w:rsidP="005E7215">
      <w:pPr>
        <w:spacing w:after="120"/>
        <w:rPr>
          <w:rFonts w:eastAsia="Times New Roman"/>
          <w:noProof/>
          <w:lang w:val="en-IE"/>
        </w:rPr>
      </w:pPr>
      <w:r w:rsidRPr="00D4396B">
        <w:rPr>
          <w:rFonts w:eastAsia="Times New Roman"/>
          <w:noProof/>
          <w:lang w:val="en-IE"/>
        </w:rPr>
        <w:t xml:space="preserve">Member States increasingly </w:t>
      </w:r>
      <w:r w:rsidR="00E35C5D">
        <w:rPr>
          <w:rFonts w:eastAsia="Times New Roman"/>
          <w:noProof/>
          <w:lang w:val="en-IE"/>
        </w:rPr>
        <w:t>depend on Eurojust’s support, using</w:t>
      </w:r>
      <w:r w:rsidRPr="00D4396B">
        <w:rPr>
          <w:rFonts w:eastAsia="Times New Roman"/>
          <w:noProof/>
          <w:lang w:val="en-IE"/>
        </w:rPr>
        <w:t xml:space="preserve"> </w:t>
      </w:r>
      <w:r w:rsidR="031955AF" w:rsidRPr="001E4846">
        <w:rPr>
          <w:rFonts w:eastAsia="Times New Roman"/>
          <w:b/>
          <w:bCs/>
          <w:noProof/>
          <w:lang w:val="en-IE"/>
        </w:rPr>
        <w:t>Joint Investigation Teams</w:t>
      </w:r>
      <w:r w:rsidRPr="001E4846">
        <w:rPr>
          <w:rFonts w:eastAsia="Times New Roman"/>
          <w:b/>
          <w:bCs/>
          <w:noProof/>
          <w:lang w:val="en-IE"/>
        </w:rPr>
        <w:t xml:space="preserve"> </w:t>
      </w:r>
      <w:r w:rsidR="08A27FAA" w:rsidRPr="00314138">
        <w:rPr>
          <w:rFonts w:eastAsia="Times New Roman"/>
          <w:noProof/>
          <w:lang w:val="en-IE"/>
        </w:rPr>
        <w:t>(</w:t>
      </w:r>
      <w:r w:rsidRPr="00314138">
        <w:rPr>
          <w:rFonts w:eastAsia="Times New Roman"/>
          <w:noProof/>
          <w:lang w:val="en-IE"/>
        </w:rPr>
        <w:t>JIT</w:t>
      </w:r>
      <w:r w:rsidR="3FBB9E15" w:rsidRPr="00314138">
        <w:rPr>
          <w:rFonts w:eastAsia="Times New Roman"/>
          <w:noProof/>
          <w:lang w:val="en-IE"/>
        </w:rPr>
        <w:t>s)</w:t>
      </w:r>
      <w:r w:rsidR="0044030E">
        <w:rPr>
          <w:rStyle w:val="FootnoteReference"/>
          <w:rFonts w:eastAsia="Times New Roman"/>
          <w:noProof/>
          <w:lang w:val="en-IE"/>
        </w:rPr>
        <w:footnoteReference w:id="13"/>
      </w:r>
      <w:r w:rsidRPr="00BD65BE">
        <w:rPr>
          <w:rFonts w:eastAsia="Times New Roman"/>
          <w:noProof/>
          <w:lang w:val="en-IE"/>
        </w:rPr>
        <w:t>,</w:t>
      </w:r>
      <w:r w:rsidRPr="00BD65BE">
        <w:rPr>
          <w:rFonts w:eastAsia="Times New Roman"/>
          <w:b/>
          <w:noProof/>
          <w:lang w:val="en-IE"/>
        </w:rPr>
        <w:t xml:space="preserve"> </w:t>
      </w:r>
      <w:r w:rsidRPr="00BD65BE">
        <w:rPr>
          <w:rFonts w:eastAsia="Times New Roman"/>
          <w:b/>
          <w:bCs/>
          <w:noProof/>
          <w:lang w:val="en-IE"/>
        </w:rPr>
        <w:t>Coordination</w:t>
      </w:r>
      <w:r w:rsidRPr="00D4396B">
        <w:rPr>
          <w:rFonts w:eastAsia="Times New Roman"/>
          <w:b/>
          <w:bCs/>
          <w:noProof/>
          <w:lang w:val="en-IE"/>
        </w:rPr>
        <w:t xml:space="preserve"> Meetings </w:t>
      </w:r>
      <w:r w:rsidRPr="00314138">
        <w:rPr>
          <w:rFonts w:eastAsia="Times New Roman"/>
          <w:noProof/>
          <w:lang w:val="en-IE"/>
        </w:rPr>
        <w:t>(CMs)</w:t>
      </w:r>
      <w:r w:rsidRPr="00D4396B">
        <w:rPr>
          <w:rFonts w:eastAsia="Times New Roman"/>
          <w:b/>
          <w:bCs/>
          <w:noProof/>
          <w:lang w:val="en-IE"/>
        </w:rPr>
        <w:t xml:space="preserve"> </w:t>
      </w:r>
      <w:r w:rsidRPr="00314138">
        <w:rPr>
          <w:rFonts w:eastAsia="Times New Roman"/>
          <w:noProof/>
          <w:lang w:val="en-IE"/>
        </w:rPr>
        <w:t>and</w:t>
      </w:r>
      <w:r w:rsidRPr="00D4396B">
        <w:rPr>
          <w:rFonts w:eastAsia="Times New Roman"/>
          <w:b/>
          <w:bCs/>
          <w:noProof/>
          <w:lang w:val="en-IE"/>
        </w:rPr>
        <w:t xml:space="preserve"> </w:t>
      </w:r>
      <w:r w:rsidR="7318B6F7" w:rsidRPr="7E8FC249">
        <w:rPr>
          <w:rFonts w:eastAsia="Times New Roman"/>
          <w:b/>
          <w:bCs/>
          <w:noProof/>
          <w:lang w:val="en-IE"/>
        </w:rPr>
        <w:t>C</w:t>
      </w:r>
      <w:r w:rsidRPr="00D4396B">
        <w:rPr>
          <w:rFonts w:eastAsia="Times New Roman"/>
          <w:b/>
          <w:bCs/>
          <w:noProof/>
          <w:lang w:val="en-IE"/>
        </w:rPr>
        <w:t xml:space="preserve">oordination </w:t>
      </w:r>
      <w:r w:rsidR="033DFBCC" w:rsidRPr="7E8FC249">
        <w:rPr>
          <w:rFonts w:eastAsia="Times New Roman"/>
          <w:b/>
          <w:bCs/>
          <w:noProof/>
          <w:lang w:val="en-IE"/>
        </w:rPr>
        <w:t>C</w:t>
      </w:r>
      <w:r w:rsidRPr="00D4396B">
        <w:rPr>
          <w:rFonts w:eastAsia="Times New Roman"/>
          <w:b/>
          <w:bCs/>
          <w:noProof/>
          <w:lang w:val="en-IE"/>
        </w:rPr>
        <w:t>entres</w:t>
      </w:r>
      <w:r w:rsidR="749E27E2" w:rsidRPr="7E8FC249">
        <w:rPr>
          <w:rFonts w:eastAsia="Times New Roman"/>
          <w:b/>
          <w:bCs/>
          <w:noProof/>
          <w:lang w:val="en-IE"/>
        </w:rPr>
        <w:t xml:space="preserve"> </w:t>
      </w:r>
      <w:r w:rsidR="749E27E2" w:rsidRPr="00314138">
        <w:rPr>
          <w:rFonts w:eastAsia="Times New Roman"/>
          <w:noProof/>
          <w:lang w:val="en-IE"/>
        </w:rPr>
        <w:t>(CC)</w:t>
      </w:r>
      <w:r w:rsidRPr="00D4396B">
        <w:rPr>
          <w:rFonts w:eastAsia="Times New Roman"/>
          <w:noProof/>
          <w:lang w:val="en-IE"/>
        </w:rPr>
        <w:t xml:space="preserve"> to manage parallel investigations, prevent jurisdictional conflicts, and secure admissible evidence.</w:t>
      </w:r>
      <w:r w:rsidRPr="00D4396B">
        <w:rPr>
          <w:rStyle w:val="FootnoteReference"/>
          <w:rFonts w:eastAsia="Times New Roman"/>
          <w:noProof/>
          <w:lang w:val="en-IE"/>
        </w:rPr>
        <w:footnoteReference w:id="14"/>
      </w:r>
      <w:r w:rsidRPr="00D4396B">
        <w:rPr>
          <w:rFonts w:eastAsia="Times New Roman"/>
          <w:noProof/>
          <w:lang w:val="en-IE"/>
        </w:rPr>
        <w:t xml:space="preserve"> </w:t>
      </w:r>
      <w:r w:rsidRPr="00D4396B">
        <w:rPr>
          <w:rFonts w:eastAsia="Times New Roman"/>
          <w:b/>
          <w:bCs/>
          <w:noProof/>
          <w:lang w:val="en-IE"/>
        </w:rPr>
        <w:t>Judicial cooperation needs have expanded in both volume and complexity</w:t>
      </w:r>
      <w:r w:rsidRPr="00D4396B">
        <w:rPr>
          <w:rFonts w:eastAsia="Times New Roman"/>
          <w:noProof/>
          <w:lang w:val="en-IE"/>
        </w:rPr>
        <w:t>, particularly in cyber-enabled crime, financial crime, terrorism, and organised crime cases. Eurojust must be ready to rise to these challenges.</w:t>
      </w:r>
    </w:p>
    <w:p w14:paraId="593CDE31" w14:textId="77777777" w:rsidR="005E7215" w:rsidRPr="00D4396B" w:rsidRDefault="005E7215" w:rsidP="005E7215">
      <w:pPr>
        <w:spacing w:after="120"/>
        <w:rPr>
          <w:rFonts w:eastAsia="Times New Roman"/>
          <w:noProof/>
        </w:rPr>
      </w:pPr>
      <w:r w:rsidRPr="00D4396B">
        <w:rPr>
          <w:rFonts w:eastAsia="Times New Roman"/>
          <w:noProof/>
          <w:lang w:val="en-IE"/>
        </w:rPr>
        <w:t xml:space="preserve">The </w:t>
      </w:r>
      <w:r w:rsidRPr="00D4396B">
        <w:rPr>
          <w:rFonts w:eastAsia="Times New Roman"/>
          <w:b/>
          <w:bCs/>
          <w:noProof/>
          <w:lang w:val="en-IE"/>
        </w:rPr>
        <w:t>2025 evaluation of Eurojust</w:t>
      </w:r>
      <w:r w:rsidRPr="00D4396B">
        <w:rPr>
          <w:rFonts w:eastAsia="Times New Roman"/>
          <w:noProof/>
          <w:lang w:val="en-IE"/>
        </w:rPr>
        <w:t>,</w:t>
      </w:r>
      <w:r w:rsidRPr="00D4396B">
        <w:rPr>
          <w:rStyle w:val="FootnoteReference"/>
          <w:noProof/>
        </w:rPr>
        <w:footnoteReference w:id="15"/>
      </w:r>
      <w:r w:rsidRPr="00D4396B">
        <w:rPr>
          <w:rFonts w:eastAsia="Times New Roman"/>
          <w:b/>
          <w:bCs/>
          <w:noProof/>
          <w:lang w:val="en-IE"/>
        </w:rPr>
        <w:t xml:space="preserve"> </w:t>
      </w:r>
      <w:r w:rsidRPr="00D4396B">
        <w:rPr>
          <w:rFonts w:eastAsia="Times New Roman"/>
          <w:noProof/>
          <w:lang w:val="en-IE"/>
        </w:rPr>
        <w:t>carried out pursuant to Article 69 of the EJR,</w:t>
      </w:r>
      <w:r w:rsidRPr="00D4396B">
        <w:rPr>
          <w:rFonts w:eastAsia="Times New Roman"/>
          <w:noProof/>
        </w:rPr>
        <w:t xml:space="preserve"> found that while the Agency plays a </w:t>
      </w:r>
      <w:r w:rsidRPr="00D4396B">
        <w:rPr>
          <w:rFonts w:eastAsia="Times New Roman"/>
          <w:b/>
          <w:bCs/>
          <w:noProof/>
        </w:rPr>
        <w:t>pivotal role</w:t>
      </w:r>
      <w:r w:rsidRPr="00D4396B">
        <w:rPr>
          <w:rFonts w:eastAsia="Times New Roman"/>
          <w:noProof/>
        </w:rPr>
        <w:t xml:space="preserve"> in supporting cross-border investigations, it faces </w:t>
      </w:r>
      <w:r w:rsidRPr="00D4396B">
        <w:rPr>
          <w:rFonts w:eastAsia="Times New Roman"/>
          <w:b/>
          <w:bCs/>
          <w:noProof/>
        </w:rPr>
        <w:t>structural and organisational constraints</w:t>
      </w:r>
      <w:r w:rsidRPr="00D4396B">
        <w:rPr>
          <w:rFonts w:eastAsia="Times New Roman"/>
          <w:noProof/>
        </w:rPr>
        <w:t xml:space="preserve"> which ultimately affect its operational performance. </w:t>
      </w:r>
    </w:p>
    <w:p w14:paraId="0F24F098" w14:textId="0E10E59B" w:rsidR="005E7215" w:rsidRPr="00D4396B" w:rsidRDefault="0044030E" w:rsidP="005E7215">
      <w:pPr>
        <w:spacing w:after="120"/>
        <w:rPr>
          <w:rFonts w:eastAsia="Times New Roman"/>
          <w:noProof/>
          <w:lang w:val="en-IE"/>
        </w:rPr>
      </w:pPr>
      <w:r>
        <w:rPr>
          <w:rFonts w:eastAsia="Times New Roman"/>
          <w:noProof/>
          <w:lang w:val="en-IE"/>
        </w:rPr>
        <w:t xml:space="preserve">Therefore, </w:t>
      </w:r>
      <w:r w:rsidR="005E7215" w:rsidRPr="000A4C6D">
        <w:rPr>
          <w:rFonts w:eastAsia="Times New Roman"/>
          <w:bCs/>
          <w:noProof/>
          <w:lang w:val="en-IE"/>
        </w:rPr>
        <w:t>the</w:t>
      </w:r>
      <w:r w:rsidR="005E7215" w:rsidRPr="00D4396B">
        <w:rPr>
          <w:rFonts w:eastAsia="Times New Roman"/>
          <w:b/>
          <w:bCs/>
          <w:noProof/>
          <w:lang w:val="en-IE"/>
        </w:rPr>
        <w:t xml:space="preserve"> EU needs a more effective</w:t>
      </w:r>
      <w:r w:rsidR="005E7215" w:rsidRPr="00D4396B">
        <w:rPr>
          <w:rFonts w:eastAsia="Times New Roman"/>
          <w:noProof/>
          <w:lang w:val="en-IE"/>
        </w:rPr>
        <w:t>,</w:t>
      </w:r>
      <w:r w:rsidR="005E7215" w:rsidRPr="00D4396B">
        <w:rPr>
          <w:rFonts w:eastAsia="Times New Roman"/>
          <w:b/>
          <w:bCs/>
          <w:noProof/>
          <w:lang w:val="en-IE"/>
        </w:rPr>
        <w:t xml:space="preserve"> more efficient</w:t>
      </w:r>
      <w:r w:rsidR="005E7215" w:rsidRPr="00D4396B">
        <w:rPr>
          <w:rFonts w:eastAsia="Times New Roman"/>
          <w:noProof/>
          <w:lang w:val="en-IE"/>
        </w:rPr>
        <w:t>, and</w:t>
      </w:r>
      <w:r w:rsidR="005E7215" w:rsidRPr="00D4396B">
        <w:rPr>
          <w:rFonts w:eastAsia="Times New Roman"/>
          <w:b/>
          <w:bCs/>
          <w:noProof/>
          <w:lang w:val="en-IE"/>
        </w:rPr>
        <w:t xml:space="preserve"> better-equipped Eurojust</w:t>
      </w:r>
      <w:r w:rsidR="005E7215" w:rsidRPr="00D4396B">
        <w:rPr>
          <w:rFonts w:eastAsia="Times New Roman"/>
          <w:noProof/>
          <w:lang w:val="en-IE"/>
        </w:rPr>
        <w:t xml:space="preserve"> to ensure cross-border crimes are prosecuted effectively</w:t>
      </w:r>
      <w:r w:rsidR="000532FD">
        <w:rPr>
          <w:rFonts w:eastAsia="Times New Roman"/>
          <w:noProof/>
          <w:lang w:val="en-IE"/>
        </w:rPr>
        <w:t xml:space="preserve"> and</w:t>
      </w:r>
      <w:r w:rsidR="005E7215" w:rsidRPr="00D4396B">
        <w:rPr>
          <w:rFonts w:eastAsia="Times New Roman"/>
          <w:noProof/>
          <w:lang w:val="en-IE"/>
        </w:rPr>
        <w:t xml:space="preserve"> justice systems can </w:t>
      </w:r>
      <w:r w:rsidR="000532FD">
        <w:rPr>
          <w:rFonts w:eastAsia="Times New Roman"/>
          <w:noProof/>
          <w:lang w:val="en-IE"/>
        </w:rPr>
        <w:t>respond</w:t>
      </w:r>
      <w:r w:rsidR="000532FD" w:rsidRPr="00D4396B">
        <w:rPr>
          <w:rFonts w:eastAsia="Times New Roman"/>
          <w:noProof/>
          <w:lang w:val="en-IE"/>
        </w:rPr>
        <w:t xml:space="preserve"> </w:t>
      </w:r>
      <w:r w:rsidR="000B54B5">
        <w:rPr>
          <w:rFonts w:eastAsia="Times New Roman"/>
          <w:noProof/>
          <w:lang w:val="en-IE"/>
        </w:rPr>
        <w:t>swiftly</w:t>
      </w:r>
      <w:r w:rsidR="005E7215" w:rsidRPr="00D4396B">
        <w:rPr>
          <w:rFonts w:eastAsia="Times New Roman"/>
          <w:noProof/>
          <w:lang w:val="en-IE"/>
        </w:rPr>
        <w:t xml:space="preserve"> </w:t>
      </w:r>
      <w:r w:rsidR="003A012D">
        <w:rPr>
          <w:rFonts w:eastAsia="Times New Roman"/>
          <w:noProof/>
          <w:lang w:val="en-IE"/>
        </w:rPr>
        <w:t xml:space="preserve">to </w:t>
      </w:r>
      <w:r w:rsidR="005E7215" w:rsidRPr="00D4396B">
        <w:rPr>
          <w:rFonts w:eastAsia="Times New Roman"/>
          <w:noProof/>
          <w:lang w:val="en-IE"/>
        </w:rPr>
        <w:t>evolving threats.</w:t>
      </w:r>
    </w:p>
    <w:p w14:paraId="297D7502" w14:textId="519135A2" w:rsidR="00A63B53" w:rsidRPr="001E4846" w:rsidRDefault="005E7215" w:rsidP="000C3545">
      <w:pPr>
        <w:spacing w:after="120"/>
        <w:rPr>
          <w:rFonts w:eastAsia="Times New Roman"/>
          <w:noProof/>
        </w:rPr>
      </w:pPr>
      <w:r w:rsidRPr="00D4396B">
        <w:rPr>
          <w:rFonts w:eastAsia="Times New Roman"/>
          <w:noProof/>
          <w:lang w:val="en-IE"/>
        </w:rPr>
        <w:t>In light</w:t>
      </w:r>
      <w:r w:rsidR="009316D2">
        <w:rPr>
          <w:rFonts w:eastAsia="Times New Roman"/>
          <w:noProof/>
          <w:lang w:val="en-IE"/>
        </w:rPr>
        <w:t xml:space="preserve"> of this</w:t>
      </w:r>
      <w:r w:rsidRPr="00D4396B">
        <w:rPr>
          <w:rFonts w:eastAsia="Times New Roman"/>
          <w:noProof/>
          <w:lang w:val="en-IE"/>
        </w:rPr>
        <w:t>, the</w:t>
      </w:r>
      <w:r w:rsidRPr="00D4396B">
        <w:rPr>
          <w:rFonts w:eastAsia="Times New Roman"/>
          <w:b/>
          <w:bCs/>
          <w:noProof/>
          <w:lang w:val="en-IE"/>
        </w:rPr>
        <w:t xml:space="preserve"> High-Level Forum on the Future of EU Criminal Justice</w:t>
      </w:r>
      <w:r w:rsidRPr="00D4396B">
        <w:rPr>
          <w:rFonts w:eastAsia="Times New Roman"/>
          <w:noProof/>
          <w:lang w:val="en-IE"/>
        </w:rPr>
        <w:t xml:space="preserve"> </w:t>
      </w:r>
      <w:r w:rsidR="009316D2">
        <w:rPr>
          <w:rFonts w:eastAsia="Times New Roman"/>
          <w:noProof/>
          <w:lang w:val="en-IE"/>
        </w:rPr>
        <w:t>called</w:t>
      </w:r>
      <w:r w:rsidRPr="00D4396B">
        <w:rPr>
          <w:rFonts w:eastAsia="Times New Roman"/>
          <w:noProof/>
          <w:lang w:val="en-IE"/>
        </w:rPr>
        <w:t xml:space="preserve"> for a more cohesive criminal justice architecture</w:t>
      </w:r>
      <w:r w:rsidR="00856118">
        <w:rPr>
          <w:rFonts w:eastAsia="Times New Roman"/>
          <w:noProof/>
          <w:lang w:val="en-IE"/>
        </w:rPr>
        <w:t>,</w:t>
      </w:r>
      <w:r w:rsidRPr="00D4396B">
        <w:rPr>
          <w:rFonts w:eastAsia="Times New Roman"/>
          <w:noProof/>
          <w:lang w:val="en-IE"/>
        </w:rPr>
        <w:t xml:space="preserve"> recognising Eurojust’s decisive role in coordinating cross-border investigations, both within the EU and with third countries.</w:t>
      </w:r>
      <w:r w:rsidRPr="00D4396B">
        <w:rPr>
          <w:rStyle w:val="FootnoteReference"/>
          <w:noProof/>
        </w:rPr>
        <w:footnoteReference w:id="16"/>
      </w:r>
      <w:r w:rsidRPr="00D4396B">
        <w:rPr>
          <w:rFonts w:eastAsia="Times New Roman"/>
          <w:noProof/>
          <w:lang w:val="en-IE"/>
        </w:rPr>
        <w:t xml:space="preserve"> Consequently, the </w:t>
      </w:r>
      <w:r w:rsidRPr="00D4396B">
        <w:rPr>
          <w:rFonts w:eastAsia="Times New Roman"/>
          <w:b/>
          <w:bCs/>
          <w:noProof/>
          <w:lang w:val="en-IE"/>
        </w:rPr>
        <w:t xml:space="preserve">Commission </w:t>
      </w:r>
      <w:r w:rsidR="001E4846">
        <w:rPr>
          <w:rFonts w:eastAsia="Times New Roman"/>
          <w:b/>
          <w:bCs/>
          <w:noProof/>
          <w:lang w:val="en-IE"/>
        </w:rPr>
        <w:t>w</w:t>
      </w:r>
      <w:r w:rsidRPr="00D4396B">
        <w:rPr>
          <w:rFonts w:eastAsia="Times New Roman"/>
          <w:b/>
          <w:bCs/>
          <w:noProof/>
          <w:lang w:val="en-IE"/>
        </w:rPr>
        <w:t xml:space="preserve">ork </w:t>
      </w:r>
      <w:r w:rsidR="001E4846">
        <w:rPr>
          <w:rFonts w:eastAsia="Times New Roman"/>
          <w:b/>
          <w:bCs/>
          <w:noProof/>
          <w:lang w:val="en-IE"/>
        </w:rPr>
        <w:t>p</w:t>
      </w:r>
      <w:r w:rsidRPr="00D4396B">
        <w:rPr>
          <w:rFonts w:eastAsia="Times New Roman"/>
          <w:b/>
          <w:bCs/>
          <w:noProof/>
          <w:lang w:val="en-IE"/>
        </w:rPr>
        <w:t>rogramme</w:t>
      </w:r>
      <w:r w:rsidRPr="00D4396B">
        <w:rPr>
          <w:rFonts w:eastAsia="Times New Roman"/>
          <w:noProof/>
          <w:lang w:val="en-IE"/>
        </w:rPr>
        <w:t xml:space="preserve"> </w:t>
      </w:r>
      <w:r w:rsidR="001E4846" w:rsidRPr="00D4396B">
        <w:rPr>
          <w:rFonts w:eastAsia="Times New Roman"/>
          <w:b/>
          <w:bCs/>
          <w:noProof/>
          <w:lang w:val="en-IE"/>
        </w:rPr>
        <w:t>2026</w:t>
      </w:r>
      <w:r w:rsidR="001E4846">
        <w:rPr>
          <w:rFonts w:eastAsia="Times New Roman"/>
          <w:b/>
          <w:bCs/>
          <w:noProof/>
          <w:lang w:val="en-IE"/>
        </w:rPr>
        <w:t xml:space="preserve"> </w:t>
      </w:r>
      <w:r w:rsidRPr="00D4396B">
        <w:rPr>
          <w:rFonts w:eastAsia="Times New Roman"/>
          <w:noProof/>
          <w:lang w:val="en-IE"/>
        </w:rPr>
        <w:t xml:space="preserve">has prioritised </w:t>
      </w:r>
      <w:r w:rsidR="00B87D4C">
        <w:rPr>
          <w:rFonts w:eastAsia="Times New Roman"/>
          <w:noProof/>
          <w:lang w:val="en-IE"/>
        </w:rPr>
        <w:t>revising</w:t>
      </w:r>
      <w:r w:rsidRPr="00D4396B">
        <w:rPr>
          <w:rFonts w:eastAsia="Times New Roman"/>
          <w:noProof/>
          <w:lang w:val="en-IE"/>
        </w:rPr>
        <w:t xml:space="preserve"> Eurojust’s legal framework to </w:t>
      </w:r>
      <w:r w:rsidRPr="00D4396B">
        <w:rPr>
          <w:rFonts w:eastAsia="Times New Roman"/>
          <w:noProof/>
          <w:color w:val="000000" w:themeColor="text1"/>
          <w:lang w:val="en-IE"/>
        </w:rPr>
        <w:t>protect democracy, upholding EU values</w:t>
      </w:r>
      <w:r w:rsidRPr="00D4396B">
        <w:rPr>
          <w:rFonts w:eastAsia="Times New Roman"/>
          <w:noProof/>
          <w:lang w:val="en-IE"/>
        </w:rPr>
        <w:t>.</w:t>
      </w:r>
      <w:r w:rsidRPr="00D4396B">
        <w:rPr>
          <w:rStyle w:val="FootnoteReference"/>
          <w:noProof/>
        </w:rPr>
        <w:footnoteReference w:id="17"/>
      </w:r>
    </w:p>
    <w:p w14:paraId="4CFE94FC" w14:textId="1D5A04C2" w:rsidR="00A63B53" w:rsidRPr="00D4396B" w:rsidRDefault="0092673A" w:rsidP="00781830">
      <w:pPr>
        <w:pStyle w:val="Heading1"/>
        <w:rPr>
          <w:noProof/>
        </w:rPr>
      </w:pPr>
      <w:bookmarkStart w:id="33" w:name="_Toc1227211199"/>
      <w:bookmarkStart w:id="34" w:name="_Toc1455622677"/>
      <w:bookmarkStart w:id="35" w:name="_Toc221260312"/>
      <w:bookmarkStart w:id="36" w:name="_Toc224109552"/>
      <w:bookmarkStart w:id="37" w:name="_Toc232176395"/>
      <w:r w:rsidRPr="00D4396B">
        <w:rPr>
          <w:noProof/>
        </w:rPr>
        <w:t>2.</w:t>
      </w:r>
      <w:r w:rsidRPr="00D4396B">
        <w:rPr>
          <w:noProof/>
        </w:rPr>
        <w:tab/>
      </w:r>
      <w:r w:rsidR="00A63B53" w:rsidRPr="00D4396B">
        <w:rPr>
          <w:noProof/>
        </w:rPr>
        <w:t>Problem definition</w:t>
      </w:r>
      <w:bookmarkEnd w:id="33"/>
      <w:bookmarkEnd w:id="34"/>
      <w:bookmarkEnd w:id="35"/>
      <w:bookmarkEnd w:id="36"/>
      <w:bookmarkEnd w:id="37"/>
      <w:r w:rsidR="00A63B53" w:rsidRPr="00D4396B">
        <w:rPr>
          <w:noProof/>
        </w:rPr>
        <w:t xml:space="preserve"> </w:t>
      </w:r>
    </w:p>
    <w:p w14:paraId="4C7CCC94" w14:textId="52A873F8" w:rsidR="005E7215" w:rsidRPr="00D4396B" w:rsidRDefault="005E7215" w:rsidP="005E7215">
      <w:pPr>
        <w:pStyle w:val="Text1"/>
        <w:spacing w:after="120"/>
        <w:ind w:left="0"/>
        <w:rPr>
          <w:noProof/>
          <w:lang w:eastAsia="en-IE"/>
        </w:rPr>
      </w:pPr>
      <w:r w:rsidRPr="00D4396B">
        <w:rPr>
          <w:noProof/>
          <w:lang w:eastAsia="en-IE"/>
        </w:rPr>
        <w:t xml:space="preserve">The evaluation found that Eurojust is </w:t>
      </w:r>
      <w:r w:rsidRPr="00D4396B">
        <w:rPr>
          <w:b/>
          <w:bCs/>
          <w:noProof/>
          <w:lang w:eastAsia="en-IE"/>
        </w:rPr>
        <w:t>highly effective in fulfilling its mandate</w:t>
      </w:r>
      <w:r w:rsidRPr="00D4396B">
        <w:rPr>
          <w:noProof/>
          <w:lang w:eastAsia="en-IE"/>
        </w:rPr>
        <w:t xml:space="preserve"> to support and strengthen coordination and cooperation between national authorities in the field of criminal justice.</w:t>
      </w:r>
      <w:r w:rsidR="00E11E9C">
        <w:rPr>
          <w:rStyle w:val="FootnoteReference"/>
          <w:noProof/>
          <w:lang w:eastAsia="en-IE"/>
        </w:rPr>
        <w:footnoteReference w:id="18"/>
      </w:r>
      <w:r w:rsidRPr="00D4396B">
        <w:rPr>
          <w:noProof/>
          <w:lang w:eastAsia="en-IE"/>
        </w:rPr>
        <w:t xml:space="preserve"> However, </w:t>
      </w:r>
      <w:r w:rsidRPr="00D4396B">
        <w:rPr>
          <w:b/>
          <w:bCs/>
          <w:noProof/>
          <w:lang w:eastAsia="en-IE"/>
        </w:rPr>
        <w:t>improvement</w:t>
      </w:r>
      <w:r w:rsidR="00D509FD">
        <w:rPr>
          <w:b/>
          <w:bCs/>
          <w:noProof/>
          <w:lang w:eastAsia="en-IE"/>
        </w:rPr>
        <w:t>s are needed</w:t>
      </w:r>
      <w:r w:rsidRPr="00D4396B">
        <w:rPr>
          <w:b/>
          <w:bCs/>
          <w:noProof/>
          <w:lang w:eastAsia="en-IE"/>
        </w:rPr>
        <w:t xml:space="preserve">, particularly </w:t>
      </w:r>
      <w:r w:rsidR="00186566">
        <w:rPr>
          <w:b/>
          <w:bCs/>
          <w:noProof/>
          <w:lang w:eastAsia="en-IE"/>
        </w:rPr>
        <w:t>in</w:t>
      </w:r>
      <w:r w:rsidRPr="00D4396B">
        <w:rPr>
          <w:b/>
          <w:bCs/>
          <w:noProof/>
          <w:lang w:eastAsia="en-IE"/>
        </w:rPr>
        <w:t xml:space="preserve"> efficiency and cooperation with EU partners and third countries</w:t>
      </w:r>
      <w:r w:rsidRPr="00D4396B">
        <w:rPr>
          <w:rStyle w:val="FootnoteReference"/>
          <w:noProof/>
          <w:lang w:eastAsia="en-IE"/>
        </w:rPr>
        <w:footnoteReference w:id="19"/>
      </w:r>
      <w:r w:rsidR="00C85A85">
        <w:rPr>
          <w:noProof/>
          <w:lang w:eastAsia="en-IE"/>
        </w:rPr>
        <w:t xml:space="preserve"> </w:t>
      </w:r>
      <w:r w:rsidR="00DB2F86">
        <w:rPr>
          <w:noProof/>
          <w:lang w:eastAsia="en-IE"/>
        </w:rPr>
        <w:t>–</w:t>
      </w:r>
      <w:r w:rsidR="00C85A85">
        <w:rPr>
          <w:noProof/>
          <w:lang w:eastAsia="en-IE"/>
        </w:rPr>
        <w:t xml:space="preserve"> </w:t>
      </w:r>
      <w:r w:rsidR="00DB2F86">
        <w:rPr>
          <w:noProof/>
          <w:lang w:eastAsia="en-IE"/>
        </w:rPr>
        <w:t>issues that were not addressed by previous amendments</w:t>
      </w:r>
      <w:r w:rsidR="00113EE9">
        <w:rPr>
          <w:rStyle w:val="FootnoteReference"/>
          <w:noProof/>
          <w:lang w:eastAsia="en-IE"/>
        </w:rPr>
        <w:footnoteReference w:id="20"/>
      </w:r>
      <w:r w:rsidR="00113EE9">
        <w:rPr>
          <w:noProof/>
          <w:lang w:eastAsia="en-IE"/>
        </w:rPr>
        <w:t xml:space="preserve"> of the EJR.</w:t>
      </w:r>
      <w:r w:rsidRPr="00D4396B">
        <w:rPr>
          <w:noProof/>
          <w:lang w:eastAsia="en-IE"/>
        </w:rPr>
        <w:t xml:space="preserve"> </w:t>
      </w:r>
      <w:r w:rsidR="00960B1D">
        <w:rPr>
          <w:b/>
          <w:bCs/>
          <w:noProof/>
          <w:lang w:eastAsia="en-IE"/>
        </w:rPr>
        <w:t>O</w:t>
      </w:r>
      <w:r w:rsidRPr="00D4396B">
        <w:rPr>
          <w:b/>
          <w:bCs/>
          <w:noProof/>
          <w:lang w:eastAsia="en-IE"/>
        </w:rPr>
        <w:t>ptimis</w:t>
      </w:r>
      <w:r w:rsidR="00960B1D">
        <w:rPr>
          <w:b/>
          <w:bCs/>
          <w:noProof/>
          <w:lang w:eastAsia="en-IE"/>
        </w:rPr>
        <w:t>ing</w:t>
      </w:r>
      <w:r w:rsidRPr="00D4396B">
        <w:rPr>
          <w:b/>
          <w:bCs/>
          <w:noProof/>
          <w:lang w:eastAsia="en-IE"/>
        </w:rPr>
        <w:t xml:space="preserve"> internal processes and interactions with the broader criminal justice ecosystem</w:t>
      </w:r>
      <w:r w:rsidRPr="00D4396B">
        <w:rPr>
          <w:noProof/>
          <w:lang w:eastAsia="en-IE"/>
        </w:rPr>
        <w:t xml:space="preserve"> would </w:t>
      </w:r>
      <w:r w:rsidR="00B06303" w:rsidRPr="00A14861">
        <w:rPr>
          <w:b/>
          <w:bCs/>
          <w:noProof/>
          <w:lang w:eastAsia="en-IE"/>
        </w:rPr>
        <w:t>unlock its</w:t>
      </w:r>
      <w:r w:rsidR="00B06303">
        <w:rPr>
          <w:noProof/>
          <w:lang w:eastAsia="en-IE"/>
        </w:rPr>
        <w:t xml:space="preserve"> </w:t>
      </w:r>
      <w:r w:rsidR="00B06303" w:rsidRPr="000A4C6D">
        <w:rPr>
          <w:b/>
          <w:bCs/>
          <w:noProof/>
          <w:lang w:eastAsia="en-IE"/>
        </w:rPr>
        <w:t xml:space="preserve">full </w:t>
      </w:r>
      <w:r w:rsidRPr="00D4396B">
        <w:rPr>
          <w:b/>
          <w:bCs/>
          <w:noProof/>
          <w:lang w:eastAsia="en-IE"/>
        </w:rPr>
        <w:t xml:space="preserve">potential </w:t>
      </w:r>
      <w:r w:rsidRPr="000A4C6D">
        <w:rPr>
          <w:noProof/>
          <w:lang w:eastAsia="en-IE"/>
        </w:rPr>
        <w:t>in the fight against serious and organised cross-border crime</w:t>
      </w:r>
      <w:r w:rsidRPr="00B06303">
        <w:rPr>
          <w:noProof/>
          <w:lang w:eastAsia="en-IE"/>
        </w:rPr>
        <w:t>.</w:t>
      </w:r>
    </w:p>
    <w:p w14:paraId="6AC131C4" w14:textId="77777777" w:rsidR="005E7215" w:rsidRPr="00D4396B" w:rsidRDefault="005E7215" w:rsidP="005E7215">
      <w:pPr>
        <w:pStyle w:val="Text1"/>
        <w:spacing w:after="120"/>
        <w:ind w:left="0"/>
        <w:rPr>
          <w:noProof/>
          <w:lang w:eastAsia="en-IE"/>
        </w:rPr>
      </w:pPr>
      <w:r w:rsidRPr="00D4396B">
        <w:rPr>
          <w:b/>
          <w:bCs/>
          <w:noProof/>
          <w:lang w:eastAsia="en-IE"/>
        </w:rPr>
        <w:t>Two sets of problems</w:t>
      </w:r>
      <w:r w:rsidRPr="00D4396B">
        <w:rPr>
          <w:noProof/>
          <w:lang w:eastAsia="en-IE"/>
        </w:rPr>
        <w:t xml:space="preserve"> have been identified: one relating to the </w:t>
      </w:r>
      <w:r w:rsidRPr="00D4396B">
        <w:rPr>
          <w:b/>
          <w:bCs/>
          <w:noProof/>
          <w:lang w:eastAsia="en-IE"/>
        </w:rPr>
        <w:t>internal dimension</w:t>
      </w:r>
      <w:r w:rsidRPr="00D4396B">
        <w:rPr>
          <w:noProof/>
          <w:lang w:eastAsia="en-IE"/>
        </w:rPr>
        <w:t xml:space="preserve">, stemming from limitations in the organisational structure and processes; and one relating to the </w:t>
      </w:r>
      <w:r w:rsidRPr="00D4396B">
        <w:rPr>
          <w:b/>
          <w:bCs/>
          <w:noProof/>
          <w:lang w:eastAsia="en-IE"/>
        </w:rPr>
        <w:t>external dimension</w:t>
      </w:r>
      <w:r w:rsidRPr="00D4396B">
        <w:rPr>
          <w:noProof/>
          <w:lang w:eastAsia="en-IE"/>
        </w:rPr>
        <w:t>, concerning challenges in coordination with partners.</w:t>
      </w:r>
    </w:p>
    <w:p w14:paraId="109F218B" w14:textId="12CD6571" w:rsidR="005E7215" w:rsidRDefault="005E7215" w:rsidP="005E7215">
      <w:pPr>
        <w:pStyle w:val="Text1"/>
        <w:spacing w:after="120"/>
        <w:ind w:left="0"/>
        <w:rPr>
          <w:noProof/>
          <w:lang w:eastAsia="en-IE"/>
        </w:rPr>
      </w:pPr>
      <w:r w:rsidRPr="00D4396B">
        <w:rPr>
          <w:noProof/>
          <w:lang w:eastAsia="en-IE"/>
        </w:rPr>
        <w:t xml:space="preserve">The evaluation also highlighted </w:t>
      </w:r>
      <w:r w:rsidR="0028320F">
        <w:rPr>
          <w:noProof/>
          <w:lang w:eastAsia="en-IE"/>
        </w:rPr>
        <w:t>the</w:t>
      </w:r>
      <w:r w:rsidR="0028320F" w:rsidRPr="00D4396B">
        <w:rPr>
          <w:noProof/>
          <w:lang w:eastAsia="en-IE"/>
        </w:rPr>
        <w:t xml:space="preserve"> </w:t>
      </w:r>
      <w:r w:rsidR="0028320F">
        <w:rPr>
          <w:b/>
          <w:bCs/>
          <w:noProof/>
          <w:lang w:eastAsia="en-IE"/>
        </w:rPr>
        <w:t>slow pace of</w:t>
      </w:r>
      <w:r w:rsidRPr="00D4396B">
        <w:rPr>
          <w:b/>
          <w:bCs/>
          <w:noProof/>
          <w:lang w:eastAsia="en-IE"/>
        </w:rPr>
        <w:t xml:space="preserve"> Eurojust’s digitalisation</w:t>
      </w:r>
      <w:r w:rsidR="005F3495">
        <w:rPr>
          <w:b/>
          <w:bCs/>
          <w:noProof/>
          <w:lang w:eastAsia="en-IE"/>
        </w:rPr>
        <w:t xml:space="preserve"> </w:t>
      </w:r>
      <w:r w:rsidR="00C81FB7">
        <w:rPr>
          <w:noProof/>
          <w:lang w:eastAsia="en-IE"/>
        </w:rPr>
        <w:t>and the issues arising from its outdated IT infrastructures, particularly its</w:t>
      </w:r>
      <w:r w:rsidR="00DA22BE" w:rsidRPr="00D4396B">
        <w:rPr>
          <w:noProof/>
          <w:lang w:eastAsia="en-IE"/>
        </w:rPr>
        <w:t xml:space="preserve"> </w:t>
      </w:r>
      <w:r w:rsidRPr="00D4396B">
        <w:rPr>
          <w:noProof/>
          <w:lang w:eastAsia="en-IE"/>
        </w:rPr>
        <w:t xml:space="preserve">CMS, </w:t>
      </w:r>
      <w:r w:rsidR="007E3285">
        <w:rPr>
          <w:noProof/>
          <w:lang w:eastAsia="en-IE"/>
        </w:rPr>
        <w:t>hindering</w:t>
      </w:r>
      <w:r w:rsidRPr="00D4396B">
        <w:rPr>
          <w:noProof/>
          <w:lang w:eastAsia="en-IE"/>
        </w:rPr>
        <w:t xml:space="preserve"> interoperability, data exchange</w:t>
      </w:r>
      <w:r w:rsidR="00426392">
        <w:rPr>
          <w:noProof/>
          <w:lang w:eastAsia="en-IE"/>
        </w:rPr>
        <w:t xml:space="preserve"> and</w:t>
      </w:r>
      <w:r w:rsidRPr="00D4396B">
        <w:rPr>
          <w:noProof/>
          <w:lang w:eastAsia="en-IE"/>
        </w:rPr>
        <w:t xml:space="preserve"> analysis and effective workflows. This</w:t>
      </w:r>
      <w:r w:rsidR="00426392">
        <w:rPr>
          <w:noProof/>
          <w:lang w:eastAsia="en-IE"/>
        </w:rPr>
        <w:t xml:space="preserve"> ultimately</w:t>
      </w:r>
      <w:r w:rsidRPr="00D4396B">
        <w:rPr>
          <w:noProof/>
          <w:lang w:eastAsia="en-IE"/>
        </w:rPr>
        <w:t xml:space="preserve"> affects Eurojust’s capacity to manage increasing data volumes and address digitally enabled crime.</w:t>
      </w:r>
      <w:r w:rsidRPr="00D4396B">
        <w:rPr>
          <w:rStyle w:val="FootnoteReference"/>
          <w:noProof/>
          <w:lang w:eastAsia="en-IE"/>
        </w:rPr>
        <w:footnoteReference w:id="21"/>
      </w:r>
      <w:r w:rsidRPr="00D4396B">
        <w:rPr>
          <w:noProof/>
          <w:lang w:eastAsia="en-IE"/>
        </w:rPr>
        <w:t xml:space="preserve"> However, </w:t>
      </w:r>
      <w:r w:rsidRPr="00CA666F">
        <w:rPr>
          <w:noProof/>
          <w:lang w:eastAsia="en-IE"/>
        </w:rPr>
        <w:t xml:space="preserve">as </w:t>
      </w:r>
      <w:r w:rsidRPr="00A14861">
        <w:rPr>
          <w:noProof/>
          <w:lang w:eastAsia="en-IE"/>
        </w:rPr>
        <w:t>a</w:t>
      </w:r>
      <w:r w:rsidRPr="00D4396B">
        <w:rPr>
          <w:b/>
          <w:bCs/>
          <w:noProof/>
          <w:lang w:eastAsia="en-IE"/>
        </w:rPr>
        <w:t xml:space="preserve"> new CMS and other digital tools </w:t>
      </w:r>
      <w:r w:rsidR="00CA666F">
        <w:rPr>
          <w:b/>
          <w:bCs/>
          <w:noProof/>
          <w:lang w:eastAsia="en-IE"/>
        </w:rPr>
        <w:t>are</w:t>
      </w:r>
      <w:r w:rsidRPr="00D4396B">
        <w:rPr>
          <w:b/>
          <w:bCs/>
          <w:noProof/>
          <w:lang w:eastAsia="en-IE"/>
        </w:rPr>
        <w:t xml:space="preserve"> already </w:t>
      </w:r>
      <w:r w:rsidR="00443D01">
        <w:rPr>
          <w:b/>
          <w:bCs/>
          <w:noProof/>
          <w:lang w:eastAsia="en-IE"/>
        </w:rPr>
        <w:t>in development</w:t>
      </w:r>
      <w:r w:rsidRPr="00D4396B">
        <w:rPr>
          <w:noProof/>
          <w:lang w:eastAsia="en-IE"/>
        </w:rPr>
        <w:t xml:space="preserve">, this problem is not </w:t>
      </w:r>
      <w:r w:rsidR="003846E9" w:rsidRPr="00D4396B">
        <w:rPr>
          <w:noProof/>
          <w:lang w:eastAsia="en-IE"/>
        </w:rPr>
        <w:t>ex</w:t>
      </w:r>
      <w:r w:rsidR="003846E9">
        <w:rPr>
          <w:noProof/>
          <w:lang w:eastAsia="en-IE"/>
        </w:rPr>
        <w:t>plored</w:t>
      </w:r>
      <w:r w:rsidR="003846E9" w:rsidRPr="00D4396B">
        <w:rPr>
          <w:noProof/>
          <w:lang w:eastAsia="en-IE"/>
        </w:rPr>
        <w:t xml:space="preserve"> </w:t>
      </w:r>
      <w:r w:rsidRPr="00D4396B">
        <w:rPr>
          <w:noProof/>
          <w:lang w:eastAsia="en-IE"/>
        </w:rPr>
        <w:t>further in this impact assessment.</w:t>
      </w:r>
      <w:r w:rsidRPr="00D4396B">
        <w:rPr>
          <w:rStyle w:val="FootnoteReference"/>
          <w:noProof/>
          <w:lang w:eastAsia="en-IE"/>
        </w:rPr>
        <w:footnoteReference w:id="22"/>
      </w:r>
    </w:p>
    <w:p w14:paraId="10ECF8E0" w14:textId="3905870A" w:rsidR="00390347" w:rsidRPr="00390347" w:rsidRDefault="00390347" w:rsidP="00390347">
      <w:pPr>
        <w:pStyle w:val="Text1"/>
        <w:keepNext/>
        <w:spacing w:after="120"/>
        <w:ind w:left="0"/>
        <w:rPr>
          <w:noProof/>
          <w:u w:val="single"/>
        </w:rPr>
      </w:pPr>
      <w:r w:rsidRPr="002E1A60">
        <w:rPr>
          <w:noProof/>
          <w:u w:val="single"/>
          <w:lang w:eastAsia="en-IE"/>
        </w:rPr>
        <w:t>Table 1: Problem tree</w:t>
      </w:r>
    </w:p>
    <w:p w14:paraId="0E884052" w14:textId="1C3507A9" w:rsidR="36D58463" w:rsidRPr="00D4396B" w:rsidRDefault="002C50CE" w:rsidP="00390347">
      <w:pPr>
        <w:pStyle w:val="Text1"/>
        <w:ind w:left="-284" w:right="-1021"/>
        <w:rPr>
          <w:noProof/>
        </w:rPr>
      </w:pPr>
      <w:r w:rsidRPr="00D4396B">
        <w:rPr>
          <w:noProof/>
          <w:lang w:eastAsia="en-GB"/>
        </w:rPr>
        <w:drawing>
          <wp:inline distT="0" distB="0" distL="0" distR="0" wp14:anchorId="4522C14B" wp14:editId="776F6C89">
            <wp:extent cx="4764871" cy="3048000"/>
            <wp:effectExtent l="0" t="0" r="0" b="0"/>
            <wp:docPr id="5258955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95549" name=""/>
                    <pic:cNvPicPr/>
                  </pic:nvPicPr>
                  <pic:blipFill rotWithShape="1">
                    <a:blip r:embed="rId2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5"/>
                        </a:ext>
                      </a:extLst>
                    </a:blip>
                    <a:srcRect t="10007" r="11059" b="14139"/>
                    <a:stretch>
                      <a:fillRect/>
                    </a:stretch>
                  </pic:blipFill>
                  <pic:spPr bwMode="auto">
                    <a:xfrm>
                      <a:off x="0" y="0"/>
                      <a:ext cx="4823258" cy="3085349"/>
                    </a:xfrm>
                    <a:prstGeom prst="rect">
                      <a:avLst/>
                    </a:prstGeom>
                    <a:ln>
                      <a:noFill/>
                    </a:ln>
                    <a:extLst>
                      <a:ext uri="{53640926-AAD7-44D8-BBD7-CCE9431645EC}">
                        <a14:shadowObscured xmlns:a14="http://schemas.microsoft.com/office/drawing/2010/main"/>
                      </a:ext>
                    </a:extLst>
                  </pic:spPr>
                </pic:pic>
              </a:graphicData>
            </a:graphic>
          </wp:inline>
        </w:drawing>
      </w:r>
    </w:p>
    <w:p w14:paraId="5875CF91" w14:textId="3973A162" w:rsidR="00A63B53" w:rsidRPr="00D4396B" w:rsidRDefault="0092673A" w:rsidP="000C3545">
      <w:pPr>
        <w:pStyle w:val="Heading2"/>
        <w:rPr>
          <w:noProof/>
          <w:lang w:eastAsia="fr-BE"/>
        </w:rPr>
      </w:pPr>
      <w:bookmarkStart w:id="38" w:name="_Toc224109553"/>
      <w:bookmarkStart w:id="39" w:name="_Toc232176396"/>
      <w:bookmarkStart w:id="40" w:name="_Toc685328498"/>
      <w:bookmarkStart w:id="41" w:name="_Toc1514107214"/>
      <w:bookmarkStart w:id="42" w:name="_Toc2011396320"/>
      <w:bookmarkStart w:id="43" w:name="_Toc1737937377"/>
      <w:bookmarkStart w:id="44" w:name="_Toc354190111"/>
      <w:r w:rsidRPr="00D4396B">
        <w:rPr>
          <w:noProof/>
          <w:lang w:eastAsia="fr-BE"/>
        </w:rPr>
        <w:t>2.1.</w:t>
      </w:r>
      <w:r w:rsidRPr="00D4396B">
        <w:rPr>
          <w:noProof/>
          <w:lang w:eastAsia="fr-BE"/>
        </w:rPr>
        <w:tab/>
      </w:r>
      <w:bookmarkEnd w:id="38"/>
      <w:r w:rsidR="003915D8" w:rsidRPr="00AD1EAA">
        <w:rPr>
          <w:noProof/>
        </w:rPr>
        <w:t>Suboptimal</w:t>
      </w:r>
      <w:r w:rsidR="003915D8" w:rsidRPr="00D4396B">
        <w:rPr>
          <w:noProof/>
          <w:lang w:eastAsia="fr-BE"/>
        </w:rPr>
        <w:t xml:space="preserve"> efficiency of Eurojust’s internal organisation and processes</w:t>
      </w:r>
      <w:bookmarkEnd w:id="39"/>
    </w:p>
    <w:p w14:paraId="3AA8C173" w14:textId="22D4750F" w:rsidR="00A63B53" w:rsidRPr="00D4396B" w:rsidRDefault="0092673A" w:rsidP="000C3545">
      <w:pPr>
        <w:pStyle w:val="Heading3"/>
        <w:rPr>
          <w:noProof/>
        </w:rPr>
      </w:pPr>
      <w:bookmarkStart w:id="45" w:name="_Toc224109554"/>
      <w:bookmarkStart w:id="46" w:name="_Toc232176397"/>
      <w:r w:rsidRPr="00D4396B">
        <w:rPr>
          <w:noProof/>
        </w:rPr>
        <w:t>2.1.1.</w:t>
      </w:r>
      <w:r w:rsidR="005F7CA0">
        <w:rPr>
          <w:noProof/>
        </w:rPr>
        <w:t xml:space="preserve"> </w:t>
      </w:r>
      <w:r w:rsidR="00A63B53" w:rsidRPr="00D4396B">
        <w:rPr>
          <w:noProof/>
        </w:rPr>
        <w:t>What is the problem?</w:t>
      </w:r>
      <w:bookmarkEnd w:id="45"/>
      <w:bookmarkEnd w:id="46"/>
    </w:p>
    <w:p w14:paraId="098DC615" w14:textId="0039AFD4"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rPr>
        <w:t xml:space="preserve">Eurojust’s ability to maximise its added value in supporting cross-border criminal cases is </w:t>
      </w:r>
      <w:r w:rsidR="002503BA">
        <w:rPr>
          <w:rFonts w:asciiTheme="majorBidi" w:hAnsiTheme="majorBidi" w:cstheme="majorBidi"/>
          <w:noProof/>
        </w:rPr>
        <w:t>compr</w:t>
      </w:r>
      <w:r w:rsidR="00D02DE9">
        <w:rPr>
          <w:rFonts w:asciiTheme="majorBidi" w:hAnsiTheme="majorBidi" w:cstheme="majorBidi"/>
          <w:noProof/>
        </w:rPr>
        <w:t>om</w:t>
      </w:r>
      <w:r w:rsidR="002503BA">
        <w:rPr>
          <w:rFonts w:asciiTheme="majorBidi" w:hAnsiTheme="majorBidi" w:cstheme="majorBidi"/>
          <w:noProof/>
        </w:rPr>
        <w:t>ised</w:t>
      </w:r>
      <w:r w:rsidR="002503BA" w:rsidRPr="00D4396B">
        <w:rPr>
          <w:rFonts w:asciiTheme="majorBidi" w:hAnsiTheme="majorBidi" w:cstheme="majorBidi"/>
          <w:noProof/>
        </w:rPr>
        <w:t xml:space="preserve"> </w:t>
      </w:r>
      <w:r w:rsidRPr="00D4396B">
        <w:rPr>
          <w:rFonts w:asciiTheme="majorBidi" w:hAnsiTheme="majorBidi" w:cstheme="majorBidi"/>
          <w:noProof/>
        </w:rPr>
        <w:t xml:space="preserve">by </w:t>
      </w:r>
      <w:r w:rsidR="008647C7">
        <w:rPr>
          <w:rFonts w:asciiTheme="majorBidi" w:hAnsiTheme="majorBidi" w:cstheme="majorBidi"/>
          <w:noProof/>
        </w:rPr>
        <w:t>a</w:t>
      </w:r>
      <w:r w:rsidR="000032C4">
        <w:rPr>
          <w:rFonts w:asciiTheme="majorBidi" w:hAnsiTheme="majorBidi" w:cstheme="majorBidi"/>
          <w:noProof/>
        </w:rPr>
        <w:t xml:space="preserve">n insufficient focus on its </w:t>
      </w:r>
      <w:r w:rsidRPr="00D4396B">
        <w:rPr>
          <w:rFonts w:asciiTheme="majorBidi" w:hAnsiTheme="majorBidi" w:cstheme="majorBidi"/>
          <w:noProof/>
        </w:rPr>
        <w:t>core operational activities.</w:t>
      </w:r>
      <w:r w:rsidRPr="00D4396B">
        <w:rPr>
          <w:rStyle w:val="FootnoteReference"/>
          <w:rFonts w:asciiTheme="majorBidi" w:hAnsiTheme="majorBidi" w:cstheme="majorBidi"/>
          <w:noProof/>
        </w:rPr>
        <w:footnoteReference w:id="23"/>
      </w:r>
    </w:p>
    <w:p w14:paraId="3A138F0A" w14:textId="6CB96056" w:rsidR="00D12CEE" w:rsidRPr="00D4396B" w:rsidRDefault="003915D8" w:rsidP="384F7AB1">
      <w:pPr>
        <w:pStyle w:val="NormalWeb"/>
        <w:spacing w:before="0" w:beforeAutospacing="0" w:after="120" w:afterAutospacing="0"/>
        <w:jc w:val="both"/>
        <w:rPr>
          <w:rFonts w:asciiTheme="majorBidi" w:hAnsiTheme="majorBidi" w:cstheme="majorBidi"/>
          <w:noProof/>
        </w:rPr>
      </w:pPr>
      <w:r w:rsidRPr="384F7AB1">
        <w:rPr>
          <w:rFonts w:asciiTheme="majorBidi" w:hAnsiTheme="majorBidi" w:cstheme="majorBidi"/>
          <w:noProof/>
        </w:rPr>
        <w:t>While demand for</w:t>
      </w:r>
      <w:r w:rsidR="00F91911" w:rsidRPr="384F7AB1">
        <w:rPr>
          <w:rFonts w:asciiTheme="majorBidi" w:hAnsiTheme="majorBidi" w:cstheme="majorBidi"/>
          <w:noProof/>
        </w:rPr>
        <w:t xml:space="preserve"> its</w:t>
      </w:r>
      <w:r w:rsidRPr="384F7AB1">
        <w:rPr>
          <w:rFonts w:asciiTheme="majorBidi" w:hAnsiTheme="majorBidi" w:cstheme="majorBidi"/>
          <w:noProof/>
        </w:rPr>
        <w:t xml:space="preserve"> services</w:t>
      </w:r>
      <w:r w:rsidR="00F91911" w:rsidRPr="384F7AB1">
        <w:rPr>
          <w:rFonts w:asciiTheme="majorBidi" w:hAnsiTheme="majorBidi" w:cstheme="majorBidi"/>
          <w:noProof/>
        </w:rPr>
        <w:t xml:space="preserve"> grows</w:t>
      </w:r>
      <w:r w:rsidRPr="384F7AB1">
        <w:rPr>
          <w:rFonts w:asciiTheme="majorBidi" w:hAnsiTheme="majorBidi" w:cstheme="majorBidi"/>
          <w:noProof/>
        </w:rPr>
        <w:t xml:space="preserve"> across Member States</w:t>
      </w:r>
      <w:r w:rsidR="00AE6959" w:rsidRPr="384F7AB1">
        <w:rPr>
          <w:rFonts w:asciiTheme="majorBidi" w:hAnsiTheme="majorBidi" w:cstheme="majorBidi"/>
          <w:noProof/>
        </w:rPr>
        <w:t>,</w:t>
      </w:r>
      <w:r w:rsidRPr="384F7AB1">
        <w:rPr>
          <w:rStyle w:val="FootnoteReference"/>
          <w:rFonts w:asciiTheme="majorBidi" w:hAnsiTheme="majorBidi" w:cstheme="majorBidi"/>
          <w:noProof/>
        </w:rPr>
        <w:footnoteReference w:id="24"/>
      </w:r>
      <w:r w:rsidRPr="384F7AB1">
        <w:rPr>
          <w:rFonts w:asciiTheme="majorBidi" w:hAnsiTheme="majorBidi" w:cstheme="majorBidi"/>
          <w:noProof/>
        </w:rPr>
        <w:t xml:space="preserve"> it still struggles to systematically filter out </w:t>
      </w:r>
      <w:r w:rsidR="002359E0">
        <w:rPr>
          <w:rFonts w:asciiTheme="majorBidi" w:hAnsiTheme="majorBidi" w:cstheme="majorBidi"/>
          <w:noProof/>
        </w:rPr>
        <w:t>lower-complexity</w:t>
      </w:r>
      <w:r w:rsidR="002359E0" w:rsidRPr="384F7AB1">
        <w:rPr>
          <w:rFonts w:asciiTheme="majorBidi" w:hAnsiTheme="majorBidi" w:cstheme="majorBidi"/>
          <w:noProof/>
        </w:rPr>
        <w:t xml:space="preserve"> </w:t>
      </w:r>
      <w:r w:rsidRPr="384F7AB1">
        <w:rPr>
          <w:rFonts w:asciiTheme="majorBidi" w:hAnsiTheme="majorBidi" w:cstheme="majorBidi"/>
          <w:noProof/>
        </w:rPr>
        <w:t>cases,</w:t>
      </w:r>
      <w:r w:rsidR="007C441C" w:rsidRPr="384F7AB1">
        <w:rPr>
          <w:rFonts w:asciiTheme="majorBidi" w:hAnsiTheme="majorBidi" w:cstheme="majorBidi"/>
          <w:noProof/>
        </w:rPr>
        <w:t xml:space="preserve"> such as </w:t>
      </w:r>
      <w:r w:rsidR="008E7505" w:rsidRPr="384F7AB1">
        <w:rPr>
          <w:rFonts w:asciiTheme="majorBidi" w:hAnsiTheme="majorBidi" w:cstheme="majorBidi"/>
          <w:noProof/>
        </w:rPr>
        <w:t>routine inform</w:t>
      </w:r>
      <w:r w:rsidR="0093460E" w:rsidRPr="384F7AB1">
        <w:rPr>
          <w:rFonts w:asciiTheme="majorBidi" w:hAnsiTheme="majorBidi" w:cstheme="majorBidi"/>
          <w:noProof/>
        </w:rPr>
        <w:t xml:space="preserve">ation </w:t>
      </w:r>
      <w:r w:rsidR="00180600" w:rsidRPr="384F7AB1">
        <w:rPr>
          <w:rFonts w:asciiTheme="majorBidi" w:hAnsiTheme="majorBidi" w:cstheme="majorBidi"/>
          <w:noProof/>
        </w:rPr>
        <w:t xml:space="preserve">exchange </w:t>
      </w:r>
      <w:r w:rsidR="000623D8" w:rsidRPr="384F7AB1">
        <w:rPr>
          <w:rFonts w:asciiTheme="majorBidi" w:hAnsiTheme="majorBidi" w:cstheme="majorBidi"/>
          <w:noProof/>
        </w:rPr>
        <w:t>or bilateral mutual legal assistance requests,</w:t>
      </w:r>
      <w:r w:rsidRPr="384F7AB1">
        <w:rPr>
          <w:rFonts w:asciiTheme="majorBidi" w:hAnsiTheme="majorBidi" w:cstheme="majorBidi"/>
          <w:noProof/>
        </w:rPr>
        <w:t xml:space="preserve"> which could be handled</w:t>
      </w:r>
      <w:r w:rsidR="000623D8" w:rsidRPr="384F7AB1">
        <w:rPr>
          <w:rFonts w:asciiTheme="majorBidi" w:hAnsiTheme="majorBidi" w:cstheme="majorBidi"/>
          <w:noProof/>
        </w:rPr>
        <w:t xml:space="preserve"> more efficiently</w:t>
      </w:r>
      <w:r w:rsidRPr="384F7AB1">
        <w:rPr>
          <w:rFonts w:asciiTheme="majorBidi" w:hAnsiTheme="majorBidi" w:cstheme="majorBidi"/>
          <w:noProof/>
        </w:rPr>
        <w:t xml:space="preserve"> through bilateral cooperation or the EJN.</w:t>
      </w:r>
      <w:r w:rsidR="009D25DE" w:rsidRPr="384F7AB1">
        <w:rPr>
          <w:rFonts w:asciiTheme="majorBidi" w:hAnsiTheme="majorBidi" w:cstheme="majorBidi"/>
          <w:noProof/>
        </w:rPr>
        <w:t xml:space="preserve"> Instead, resources are diverted </w:t>
      </w:r>
      <w:r w:rsidR="007E3DCF" w:rsidRPr="384F7AB1">
        <w:rPr>
          <w:rFonts w:asciiTheme="majorBidi" w:hAnsiTheme="majorBidi" w:cstheme="majorBidi"/>
          <w:noProof/>
        </w:rPr>
        <w:t>from complex cases</w:t>
      </w:r>
      <w:r w:rsidR="00AE6959" w:rsidRPr="384F7AB1">
        <w:rPr>
          <w:rFonts w:asciiTheme="majorBidi" w:hAnsiTheme="majorBidi" w:cstheme="majorBidi"/>
          <w:noProof/>
        </w:rPr>
        <w:t>,</w:t>
      </w:r>
      <w:r w:rsidRPr="384F7AB1">
        <w:rPr>
          <w:rStyle w:val="FootnoteReference"/>
          <w:rFonts w:asciiTheme="majorBidi" w:hAnsiTheme="majorBidi" w:cstheme="majorBidi"/>
          <w:noProof/>
        </w:rPr>
        <w:footnoteReference w:id="25"/>
      </w:r>
      <w:r w:rsidR="00AE6959" w:rsidRPr="384F7AB1">
        <w:rPr>
          <w:rFonts w:asciiTheme="majorBidi" w:hAnsiTheme="majorBidi" w:cstheme="majorBidi"/>
          <w:noProof/>
        </w:rPr>
        <w:t xml:space="preserve"> </w:t>
      </w:r>
      <w:r w:rsidR="007E3DCF" w:rsidRPr="384F7AB1">
        <w:rPr>
          <w:rFonts w:asciiTheme="majorBidi" w:hAnsiTheme="majorBidi" w:cstheme="majorBidi"/>
          <w:noProof/>
        </w:rPr>
        <w:t>which involve serious cross-border crime requiring active coordination</w:t>
      </w:r>
      <w:r w:rsidR="007E3DCF" w:rsidRPr="384F7AB1">
        <w:rPr>
          <w:b/>
          <w:bCs/>
          <w:noProof/>
          <w:lang w:val="en-GB"/>
        </w:rPr>
        <w:t xml:space="preserve"> </w:t>
      </w:r>
      <w:r w:rsidR="14BD3C74" w:rsidRPr="384F7AB1">
        <w:rPr>
          <w:noProof/>
          <w:lang w:val="en-GB"/>
        </w:rPr>
        <w:t xml:space="preserve">and </w:t>
      </w:r>
      <w:r w:rsidR="21ABB38E" w:rsidRPr="384F7AB1">
        <w:rPr>
          <w:noProof/>
          <w:lang w:val="en-GB"/>
        </w:rPr>
        <w:t xml:space="preserve">a common </w:t>
      </w:r>
      <w:r w:rsidR="14BD3C74" w:rsidRPr="384F7AB1">
        <w:rPr>
          <w:noProof/>
          <w:lang w:val="en-GB"/>
        </w:rPr>
        <w:t>strategy</w:t>
      </w:r>
      <w:r w:rsidR="007E3DCF" w:rsidRPr="384F7AB1">
        <w:rPr>
          <w:rFonts w:asciiTheme="majorBidi" w:hAnsiTheme="majorBidi" w:cstheme="majorBidi"/>
          <w:noProof/>
        </w:rPr>
        <w:t xml:space="preserve"> among multiple jurisdiction</w:t>
      </w:r>
      <w:r w:rsidR="0088512D" w:rsidRPr="384F7AB1">
        <w:rPr>
          <w:rFonts w:asciiTheme="majorBidi" w:hAnsiTheme="majorBidi" w:cstheme="majorBidi"/>
          <w:noProof/>
        </w:rPr>
        <w:t xml:space="preserve">s. </w:t>
      </w:r>
      <w:r w:rsidR="00B1517A" w:rsidRPr="384F7AB1">
        <w:rPr>
          <w:rFonts w:asciiTheme="majorBidi" w:hAnsiTheme="majorBidi" w:cstheme="majorBidi"/>
          <w:noProof/>
        </w:rPr>
        <w:t xml:space="preserve">These are the cases </w:t>
      </w:r>
      <w:r w:rsidR="00635929" w:rsidRPr="384F7AB1">
        <w:rPr>
          <w:rFonts w:asciiTheme="majorBidi" w:hAnsiTheme="majorBidi" w:cstheme="majorBidi"/>
          <w:noProof/>
        </w:rPr>
        <w:t>where Eurojust’s involvement generates the greatest added value, particularly when multiple legal frameworks</w:t>
      </w:r>
      <w:r w:rsidR="00830146" w:rsidRPr="384F7AB1">
        <w:rPr>
          <w:rFonts w:asciiTheme="majorBidi" w:hAnsiTheme="majorBidi" w:cstheme="majorBidi"/>
          <w:noProof/>
        </w:rPr>
        <w:t xml:space="preserve"> and</w:t>
      </w:r>
      <w:r w:rsidR="00635929" w:rsidRPr="384F7AB1">
        <w:rPr>
          <w:rFonts w:asciiTheme="majorBidi" w:hAnsiTheme="majorBidi" w:cstheme="majorBidi"/>
          <w:noProof/>
        </w:rPr>
        <w:t xml:space="preserve"> judicial</w:t>
      </w:r>
      <w:r w:rsidR="00A77E32" w:rsidRPr="384F7AB1">
        <w:rPr>
          <w:rFonts w:asciiTheme="majorBidi" w:hAnsiTheme="majorBidi" w:cstheme="majorBidi"/>
          <w:noProof/>
        </w:rPr>
        <w:t xml:space="preserve"> authorities, or third countries are involved</w:t>
      </w:r>
      <w:r w:rsidRPr="384F7AB1">
        <w:rPr>
          <w:rFonts w:asciiTheme="majorBidi" w:hAnsiTheme="majorBidi" w:cstheme="majorBidi"/>
          <w:noProof/>
        </w:rPr>
        <w:t>.</w:t>
      </w:r>
      <w:r w:rsidRPr="384F7AB1">
        <w:rPr>
          <w:rStyle w:val="FootnoteReference"/>
          <w:rFonts w:asciiTheme="majorBidi" w:hAnsiTheme="majorBidi" w:cstheme="majorBidi"/>
          <w:noProof/>
        </w:rPr>
        <w:footnoteReference w:id="26"/>
      </w:r>
    </w:p>
    <w:p w14:paraId="6D1A64BA" w14:textId="22322379" w:rsidR="00842F13" w:rsidRPr="000A4C6D" w:rsidRDefault="00842F13" w:rsidP="000A4C6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noProof/>
          <w:sz w:val="20"/>
          <w:szCs w:val="20"/>
          <w:lang w:val="en-US"/>
        </w:rPr>
      </w:pPr>
      <w:r w:rsidRPr="000A4C6D">
        <w:rPr>
          <w:b/>
          <w:bCs/>
          <w:i/>
          <w:noProof/>
          <w:sz w:val="20"/>
          <w:szCs w:val="20"/>
          <w:u w:val="single"/>
          <w:lang w:val="en-US"/>
        </w:rPr>
        <w:t>Example EncroChat</w:t>
      </w:r>
      <w:r w:rsidRPr="000A4C6D">
        <w:rPr>
          <w:rStyle w:val="FootnoteReference"/>
          <w:i/>
          <w:noProof/>
          <w:sz w:val="20"/>
          <w:szCs w:val="20"/>
          <w:lang w:val="en-US"/>
        </w:rPr>
        <w:footnoteReference w:id="27"/>
      </w:r>
      <w:r w:rsidRPr="000A4C6D">
        <w:rPr>
          <w:i/>
          <w:noProof/>
          <w:sz w:val="20"/>
          <w:szCs w:val="20"/>
          <w:lang w:val="en-US"/>
        </w:rPr>
        <w:t>:</w:t>
      </w:r>
      <w:r w:rsidRPr="000A4C6D">
        <w:rPr>
          <w:noProof/>
          <w:sz w:val="20"/>
          <w:szCs w:val="20"/>
          <w:lang w:val="en-US"/>
        </w:rPr>
        <w:t xml:space="preserve"> Eurojust’s strategic impact</w:t>
      </w:r>
      <w:r w:rsidR="00910E0C">
        <w:rPr>
          <w:bCs/>
          <w:noProof/>
          <w:sz w:val="20"/>
          <w:szCs w:val="20"/>
          <w:lang w:val="en-US"/>
        </w:rPr>
        <w:t xml:space="preserve"> </w:t>
      </w:r>
      <w:r w:rsidR="00F100B0">
        <w:rPr>
          <w:bCs/>
          <w:noProof/>
          <w:sz w:val="20"/>
          <w:szCs w:val="20"/>
          <w:lang w:val="en-US"/>
        </w:rPr>
        <w:t>is ex</w:t>
      </w:r>
      <w:r w:rsidR="00B35856">
        <w:rPr>
          <w:bCs/>
          <w:noProof/>
          <w:sz w:val="20"/>
          <w:szCs w:val="20"/>
          <w:lang w:val="en-US"/>
        </w:rPr>
        <w:t>e</w:t>
      </w:r>
      <w:r w:rsidR="00F100B0">
        <w:rPr>
          <w:bCs/>
          <w:noProof/>
          <w:sz w:val="20"/>
          <w:szCs w:val="20"/>
          <w:lang w:val="en-US"/>
        </w:rPr>
        <w:t>mpli</w:t>
      </w:r>
      <w:r w:rsidR="00834313">
        <w:rPr>
          <w:bCs/>
          <w:noProof/>
          <w:sz w:val="20"/>
          <w:szCs w:val="20"/>
          <w:lang w:val="en-US"/>
        </w:rPr>
        <w:t>fied</w:t>
      </w:r>
      <w:r w:rsidRPr="000A4C6D">
        <w:rPr>
          <w:bCs/>
          <w:noProof/>
          <w:sz w:val="20"/>
          <w:szCs w:val="20"/>
          <w:lang w:val="en-US"/>
        </w:rPr>
        <w:t xml:space="preserve"> in</w:t>
      </w:r>
      <w:r w:rsidRPr="000A4C6D">
        <w:rPr>
          <w:noProof/>
          <w:sz w:val="20"/>
          <w:szCs w:val="20"/>
          <w:lang w:val="en-US"/>
        </w:rPr>
        <w:t xml:space="preserve"> the dismantling of EncroChat, an encrypted phone network widely used by organised crime groups across Europe and beyond. Initiated in 2017 by French authorities, followed by a case opening at Eurojust in 2019 and escalated into a JIT in 2020 with the Netherlands under Eurojust’s coordination</w:t>
      </w:r>
      <w:r w:rsidR="00054A10">
        <w:rPr>
          <w:noProof/>
          <w:sz w:val="20"/>
          <w:szCs w:val="20"/>
          <w:lang w:val="en-US"/>
        </w:rPr>
        <w:t>,</w:t>
      </w:r>
      <w:r w:rsidRPr="000A4C6D">
        <w:rPr>
          <w:noProof/>
          <w:sz w:val="20"/>
          <w:szCs w:val="20"/>
          <w:lang w:val="en-US"/>
        </w:rPr>
        <w:t xml:space="preserve"> the operation exemplifies how the Agency optimises resources for high-stakes cases. By facilitating nine CMs, resolving jurisdictional conflicts, and processing nearly 170 European Investigation Orders (EIOs), Eurojust enabled the interception of millions of encrypted messages, leading to 6,558 arrests globally and the seizure of EUR 900 million in criminal assets. The case also demonstrated Eurojust’s role in scaling cooperation: what began as a bilateral effort expanded to 13 countries, triggering spin-off investigations into drug trafficking, money laundering, and violent crime. Crucially, Eurojust’s involvement ensured that admissible evidence was shared efficiently across jurisdictions, avoiding duplication and legal fragmentation. This case </w:t>
      </w:r>
      <w:r>
        <w:rPr>
          <w:noProof/>
          <w:sz w:val="20"/>
          <w:szCs w:val="20"/>
          <w:lang w:val="en-US"/>
        </w:rPr>
        <w:t>shows</w:t>
      </w:r>
      <w:r w:rsidRPr="000A4C6D">
        <w:rPr>
          <w:noProof/>
          <w:sz w:val="20"/>
          <w:szCs w:val="20"/>
          <w:lang w:val="en-US"/>
        </w:rPr>
        <w:t xml:space="preserve"> how Eurojust’s intervention on complex, multi-jurisdictional threats delivers transformative results in combating organised crime.</w:t>
      </w:r>
    </w:p>
    <w:p w14:paraId="5518FB11" w14:textId="5FC49174" w:rsidR="003915D8" w:rsidRPr="00D4396B" w:rsidRDefault="003915D8" w:rsidP="003915D8">
      <w:pPr>
        <w:pStyle w:val="NormalWeb"/>
        <w:spacing w:before="0" w:beforeAutospacing="0" w:after="120" w:afterAutospacing="0"/>
        <w:jc w:val="both"/>
        <w:rPr>
          <w:rFonts w:asciiTheme="majorBidi" w:hAnsiTheme="majorBidi" w:cstheme="majorBidi"/>
          <w:noProof/>
          <w:lang w:val="en-GB"/>
        </w:rPr>
      </w:pPr>
      <w:r w:rsidRPr="00D4396B">
        <w:rPr>
          <w:rFonts w:asciiTheme="majorBidi" w:hAnsiTheme="majorBidi" w:cstheme="majorBidi"/>
          <w:noProof/>
        </w:rPr>
        <w:t>In recent years, Eurojust’s mandate has expanded into new and resource</w:t>
      </w:r>
      <w:r w:rsidR="00BF06AE">
        <w:rPr>
          <w:rFonts w:asciiTheme="majorBidi" w:hAnsiTheme="majorBidi" w:cstheme="majorBidi"/>
          <w:noProof/>
        </w:rPr>
        <w:t>-</w:t>
      </w:r>
      <w:r w:rsidRPr="00D4396B">
        <w:rPr>
          <w:rFonts w:asciiTheme="majorBidi" w:hAnsiTheme="majorBidi" w:cstheme="majorBidi"/>
          <w:noProof/>
        </w:rPr>
        <w:t>intensive areas, namely international crimes and terrorism.</w:t>
      </w:r>
      <w:r w:rsidRPr="00D4396B">
        <w:rPr>
          <w:rStyle w:val="FootnoteReference"/>
          <w:rFonts w:asciiTheme="majorBidi" w:hAnsiTheme="majorBidi" w:cstheme="majorBidi"/>
          <w:noProof/>
        </w:rPr>
        <w:footnoteReference w:id="28"/>
      </w:r>
      <w:r w:rsidRPr="00D4396B">
        <w:rPr>
          <w:rFonts w:asciiTheme="majorBidi" w:hAnsiTheme="majorBidi" w:cstheme="majorBidi"/>
          <w:noProof/>
        </w:rPr>
        <w:t xml:space="preserve"> Despite allocation</w:t>
      </w:r>
      <w:r w:rsidR="00CA4E22">
        <w:rPr>
          <w:rFonts w:asciiTheme="majorBidi" w:hAnsiTheme="majorBidi" w:cstheme="majorBidi"/>
          <w:noProof/>
        </w:rPr>
        <w:t>s</w:t>
      </w:r>
      <w:r w:rsidRPr="00D4396B">
        <w:rPr>
          <w:rFonts w:asciiTheme="majorBidi" w:hAnsiTheme="majorBidi" w:cstheme="majorBidi"/>
          <w:noProof/>
        </w:rPr>
        <w:t xml:space="preserve"> of</w:t>
      </w:r>
      <w:r w:rsidR="006148EC">
        <w:rPr>
          <w:rFonts w:asciiTheme="majorBidi" w:hAnsiTheme="majorBidi" w:cstheme="majorBidi"/>
          <w:noProof/>
        </w:rPr>
        <w:t xml:space="preserve"> some</w:t>
      </w:r>
      <w:r w:rsidRPr="00D4396B">
        <w:rPr>
          <w:rFonts w:asciiTheme="majorBidi" w:hAnsiTheme="majorBidi" w:cstheme="majorBidi"/>
          <w:noProof/>
        </w:rPr>
        <w:t xml:space="preserve"> </w:t>
      </w:r>
      <w:r w:rsidR="00231770">
        <w:rPr>
          <w:rFonts w:asciiTheme="majorBidi" w:hAnsiTheme="majorBidi" w:cstheme="majorBidi"/>
          <w:noProof/>
        </w:rPr>
        <w:t>additional</w:t>
      </w:r>
      <w:r w:rsidRPr="00D4396B">
        <w:rPr>
          <w:rFonts w:asciiTheme="majorBidi" w:hAnsiTheme="majorBidi" w:cstheme="majorBidi"/>
          <w:noProof/>
        </w:rPr>
        <w:t xml:space="preserve"> budget and staff to account for the </w:t>
      </w:r>
      <w:r w:rsidR="005428CE">
        <w:rPr>
          <w:rFonts w:asciiTheme="majorBidi" w:hAnsiTheme="majorBidi" w:cstheme="majorBidi"/>
          <w:noProof/>
        </w:rPr>
        <w:t>new</w:t>
      </w:r>
      <w:r w:rsidRPr="00D4396B">
        <w:rPr>
          <w:rFonts w:asciiTheme="majorBidi" w:hAnsiTheme="majorBidi" w:cstheme="majorBidi"/>
          <w:noProof/>
        </w:rPr>
        <w:t xml:space="preserve"> tasks,</w:t>
      </w:r>
      <w:r w:rsidRPr="00D4396B">
        <w:rPr>
          <w:rStyle w:val="FootnoteReference"/>
          <w:rFonts w:asciiTheme="majorBidi" w:hAnsiTheme="majorBidi" w:cstheme="majorBidi"/>
          <w:noProof/>
        </w:rPr>
        <w:footnoteReference w:id="29"/>
      </w:r>
      <w:r w:rsidRPr="00D4396B">
        <w:rPr>
          <w:rFonts w:asciiTheme="majorBidi" w:hAnsiTheme="majorBidi" w:cstheme="majorBidi"/>
          <w:noProof/>
        </w:rPr>
        <w:t xml:space="preserve"> a level of tension is noted between workload and staff availability, leading to reduced support capacity and delays in responding to Member States.</w:t>
      </w:r>
      <w:r w:rsidRPr="00D4396B">
        <w:rPr>
          <w:rStyle w:val="FootnoteReference"/>
          <w:rFonts w:asciiTheme="majorBidi" w:hAnsiTheme="majorBidi" w:cstheme="majorBidi"/>
          <w:noProof/>
        </w:rPr>
        <w:footnoteReference w:id="30"/>
      </w:r>
      <w:r w:rsidR="00EE5633" w:rsidRPr="00EE5633" w:rsidDel="001628EA">
        <w:rPr>
          <w:rStyle w:val="CommentReference"/>
          <w:rFonts w:asciiTheme="majorBidi" w:hAnsiTheme="majorBidi" w:cstheme="majorBidi"/>
          <w:noProof/>
          <w:sz w:val="24"/>
          <w:szCs w:val="24"/>
          <w:lang w:val="en-US"/>
        </w:rPr>
        <w:t xml:space="preserve"> </w:t>
      </w:r>
      <w:r w:rsidRPr="00D4396B">
        <w:rPr>
          <w:rFonts w:asciiTheme="majorBidi" w:hAnsiTheme="majorBidi" w:cstheme="majorBidi"/>
          <w:noProof/>
          <w:lang w:val="en-GB"/>
        </w:rPr>
        <w:t>Some resource dispersion results from Eurojust’s unstructured participation in policy and strategic cycles.</w:t>
      </w:r>
      <w:r w:rsidRPr="00D4396B">
        <w:rPr>
          <w:rStyle w:val="FootnoteReference"/>
          <w:rFonts w:asciiTheme="majorBidi" w:hAnsiTheme="majorBidi" w:cstheme="majorBidi"/>
          <w:noProof/>
        </w:rPr>
        <w:footnoteReference w:id="31"/>
      </w:r>
      <w:r w:rsidRPr="00D4396B">
        <w:rPr>
          <w:rFonts w:asciiTheme="majorBidi" w:hAnsiTheme="majorBidi" w:cstheme="majorBidi"/>
          <w:noProof/>
        </w:rPr>
        <w:t xml:space="preserve"> </w:t>
      </w:r>
      <w:r w:rsidRPr="00D4396B">
        <w:rPr>
          <w:rFonts w:asciiTheme="majorBidi" w:hAnsiTheme="majorBidi" w:cstheme="majorBidi"/>
          <w:noProof/>
          <w:lang w:val="en-GB"/>
        </w:rPr>
        <w:t xml:space="preserve">While the Agency is </w:t>
      </w:r>
      <w:r w:rsidR="00C344BD">
        <w:rPr>
          <w:rFonts w:asciiTheme="majorBidi" w:hAnsiTheme="majorBidi" w:cstheme="majorBidi"/>
          <w:noProof/>
          <w:lang w:val="en-GB"/>
        </w:rPr>
        <w:t>uniquely</w:t>
      </w:r>
      <w:r w:rsidRPr="00D4396B">
        <w:rPr>
          <w:rFonts w:asciiTheme="majorBidi" w:hAnsiTheme="majorBidi" w:cstheme="majorBidi"/>
          <w:noProof/>
          <w:lang w:val="en-GB"/>
        </w:rPr>
        <w:t xml:space="preserve"> position</w:t>
      </w:r>
      <w:r w:rsidR="00FC3343">
        <w:rPr>
          <w:rFonts w:asciiTheme="majorBidi" w:hAnsiTheme="majorBidi" w:cstheme="majorBidi"/>
          <w:noProof/>
          <w:lang w:val="en-GB"/>
        </w:rPr>
        <w:t>ed</w:t>
      </w:r>
      <w:r w:rsidRPr="00D4396B">
        <w:rPr>
          <w:rFonts w:asciiTheme="majorBidi" w:hAnsiTheme="majorBidi" w:cstheme="majorBidi"/>
          <w:noProof/>
          <w:lang w:val="en-GB"/>
        </w:rPr>
        <w:t xml:space="preserve"> to contribute to policy development in the area of criminal justice and judicial cooperation, its role in this field remains largely based on ad hoc requests, resulting in both limited involvement and challenges in determining the appropriate level of resources to be allocated to such work</w:t>
      </w:r>
      <w:r w:rsidRPr="00D4396B">
        <w:rPr>
          <w:rFonts w:asciiTheme="majorBidi" w:hAnsiTheme="majorBidi" w:cstheme="majorBidi"/>
          <w:noProof/>
        </w:rPr>
        <w:t>.</w:t>
      </w:r>
      <w:r w:rsidRPr="00D4396B">
        <w:rPr>
          <w:rStyle w:val="FootnoteReference"/>
          <w:rFonts w:asciiTheme="majorBidi" w:hAnsiTheme="majorBidi" w:cstheme="majorBidi"/>
          <w:noProof/>
        </w:rPr>
        <w:footnoteReference w:id="32"/>
      </w:r>
      <w:r w:rsidRPr="00D4396B">
        <w:rPr>
          <w:rFonts w:asciiTheme="majorBidi" w:hAnsiTheme="majorBidi" w:cstheme="majorBidi"/>
          <w:noProof/>
        </w:rPr>
        <w:t xml:space="preserve"> </w:t>
      </w:r>
    </w:p>
    <w:p w14:paraId="3A649936" w14:textId="297B070C"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lang w:val="en-GB"/>
        </w:rPr>
        <w:t xml:space="preserve">These constraints have shaped an operational model in which Eurojust primarily responds to Member States’ requests rather than acting proactively. This limits the use of its own-initiative powers and reduces its </w:t>
      </w:r>
      <w:r w:rsidR="007C265D">
        <w:rPr>
          <w:rFonts w:asciiTheme="majorBidi" w:hAnsiTheme="majorBidi" w:cstheme="majorBidi"/>
          <w:noProof/>
          <w:lang w:val="en-GB"/>
        </w:rPr>
        <w:t>capacity</w:t>
      </w:r>
      <w:r w:rsidR="007C265D" w:rsidRPr="00D4396B">
        <w:rPr>
          <w:rFonts w:asciiTheme="majorBidi" w:hAnsiTheme="majorBidi" w:cstheme="majorBidi"/>
          <w:noProof/>
          <w:lang w:val="en-GB"/>
        </w:rPr>
        <w:t xml:space="preserve"> </w:t>
      </w:r>
      <w:r w:rsidRPr="00D4396B">
        <w:rPr>
          <w:rFonts w:asciiTheme="majorBidi" w:hAnsiTheme="majorBidi" w:cstheme="majorBidi"/>
          <w:noProof/>
          <w:lang w:val="en-GB"/>
        </w:rPr>
        <w:t xml:space="preserve">to identify and act on cross-border criminal </w:t>
      </w:r>
      <w:r w:rsidRPr="5720FCAA">
        <w:rPr>
          <w:rFonts w:asciiTheme="majorBidi" w:hAnsiTheme="majorBidi" w:cstheme="majorBidi"/>
          <w:noProof/>
          <w:lang w:val="en-GB"/>
        </w:rPr>
        <w:t>developments</w:t>
      </w:r>
      <w:r w:rsidRPr="00D4396B">
        <w:rPr>
          <w:rFonts w:asciiTheme="majorBidi" w:hAnsiTheme="majorBidi" w:cstheme="majorBidi"/>
          <w:noProof/>
          <w:lang w:val="en-GB"/>
        </w:rPr>
        <w:t>, leaving its potential to contribute to crime detection underexploited.</w:t>
      </w:r>
      <w:r w:rsidRPr="00D4396B">
        <w:rPr>
          <w:rStyle w:val="FootnoteReference"/>
          <w:rFonts w:asciiTheme="majorBidi" w:hAnsiTheme="majorBidi" w:cstheme="majorBidi"/>
          <w:noProof/>
        </w:rPr>
        <w:footnoteReference w:id="33"/>
      </w:r>
    </w:p>
    <w:p w14:paraId="405684E2" w14:textId="73C5A26A"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lang w:val="en-GB"/>
        </w:rPr>
        <w:t>Part of the problem lies in Eurojust’s partially outdated toolset. Its competences remain focused on the coordination of investigations and prosecutions, with no clearly defined mandate in related areas of growing importance, such as asset freezing, the processing of e-evidence, victim</w:t>
      </w:r>
      <w:r w:rsidR="008B79FC">
        <w:rPr>
          <w:rFonts w:asciiTheme="majorBidi" w:hAnsiTheme="majorBidi" w:cstheme="majorBidi"/>
          <w:noProof/>
          <w:lang w:val="en-GB"/>
        </w:rPr>
        <w:t xml:space="preserve"> support</w:t>
      </w:r>
      <w:r w:rsidRPr="00D4396B">
        <w:rPr>
          <w:rFonts w:asciiTheme="majorBidi" w:hAnsiTheme="majorBidi" w:cstheme="majorBidi"/>
          <w:noProof/>
          <w:lang w:val="en-GB"/>
        </w:rPr>
        <w:t xml:space="preserve"> and analysis of judicial data. </w:t>
      </w:r>
      <w:r w:rsidR="00616FA8">
        <w:rPr>
          <w:rFonts w:asciiTheme="majorBidi" w:hAnsiTheme="majorBidi" w:cstheme="majorBidi"/>
          <w:noProof/>
          <w:lang w:val="en-GB"/>
        </w:rPr>
        <w:t xml:space="preserve">Though Eurojust already engages in these </w:t>
      </w:r>
      <w:r w:rsidR="00294319">
        <w:rPr>
          <w:rFonts w:asciiTheme="majorBidi" w:hAnsiTheme="majorBidi" w:cstheme="majorBidi"/>
          <w:noProof/>
          <w:lang w:val="en-GB"/>
        </w:rPr>
        <w:t xml:space="preserve">activities at the </w:t>
      </w:r>
      <w:r w:rsidRPr="00D4396B">
        <w:rPr>
          <w:rFonts w:asciiTheme="majorBidi" w:hAnsiTheme="majorBidi" w:cstheme="majorBidi"/>
          <w:noProof/>
          <w:lang w:val="en-GB"/>
        </w:rPr>
        <w:t>request</w:t>
      </w:r>
      <w:r w:rsidR="00294319">
        <w:rPr>
          <w:rFonts w:asciiTheme="majorBidi" w:hAnsiTheme="majorBidi" w:cstheme="majorBidi"/>
          <w:noProof/>
          <w:lang w:val="en-GB"/>
        </w:rPr>
        <w:t xml:space="preserve"> of Member States</w:t>
      </w:r>
      <w:r w:rsidRPr="00D4396B">
        <w:rPr>
          <w:rFonts w:asciiTheme="majorBidi" w:hAnsiTheme="majorBidi" w:cstheme="majorBidi"/>
          <w:noProof/>
          <w:lang w:val="en-GB"/>
        </w:rPr>
        <w:t xml:space="preserve">, </w:t>
      </w:r>
      <w:r w:rsidR="00294319">
        <w:rPr>
          <w:rFonts w:asciiTheme="majorBidi" w:hAnsiTheme="majorBidi" w:cstheme="majorBidi"/>
          <w:noProof/>
          <w:lang w:val="en-GB"/>
        </w:rPr>
        <w:t>it does so</w:t>
      </w:r>
      <w:r w:rsidRPr="00D4396B">
        <w:rPr>
          <w:rFonts w:asciiTheme="majorBidi" w:hAnsiTheme="majorBidi" w:cstheme="majorBidi"/>
          <w:noProof/>
          <w:lang w:val="en-GB"/>
        </w:rPr>
        <w:t xml:space="preserve"> in an</w:t>
      </w:r>
      <w:r w:rsidR="00191550">
        <w:rPr>
          <w:rFonts w:asciiTheme="majorBidi" w:hAnsiTheme="majorBidi" w:cstheme="majorBidi"/>
          <w:noProof/>
          <w:lang w:val="en-GB"/>
        </w:rPr>
        <w:t xml:space="preserve"> </w:t>
      </w:r>
      <w:r w:rsidRPr="00D4396B">
        <w:rPr>
          <w:rFonts w:asciiTheme="majorBidi" w:hAnsiTheme="majorBidi" w:cstheme="majorBidi"/>
          <w:noProof/>
          <w:lang w:val="en-GB"/>
        </w:rPr>
        <w:t>unstructured manner, without a clear legal basis and defined scope.</w:t>
      </w:r>
      <w:r w:rsidRPr="00D4396B">
        <w:rPr>
          <w:rStyle w:val="FootnoteReference"/>
          <w:rFonts w:asciiTheme="majorBidi" w:hAnsiTheme="majorBidi" w:cstheme="majorBidi"/>
          <w:noProof/>
        </w:rPr>
        <w:footnoteReference w:id="34"/>
      </w:r>
    </w:p>
    <w:p w14:paraId="0429A7E5" w14:textId="1EB1BD9A" w:rsidR="003915D8" w:rsidRPr="00D4396B" w:rsidRDefault="000B7B9C" w:rsidP="00B0119D">
      <w:pPr>
        <w:pStyle w:val="NormalWeb"/>
        <w:spacing w:before="0" w:beforeAutospacing="0" w:after="120" w:afterAutospacing="0"/>
        <w:jc w:val="both"/>
        <w:rPr>
          <w:rFonts w:asciiTheme="majorBidi" w:hAnsiTheme="majorBidi" w:cstheme="majorBidi"/>
          <w:noProof/>
        </w:rPr>
      </w:pPr>
      <w:r>
        <w:rPr>
          <w:rFonts w:asciiTheme="majorBidi" w:hAnsiTheme="majorBidi" w:cstheme="majorBidi"/>
          <w:noProof/>
        </w:rPr>
        <w:t>Finaly,</w:t>
      </w:r>
      <w:r w:rsidR="003915D8" w:rsidRPr="00D4396B">
        <w:rPr>
          <w:rFonts w:asciiTheme="majorBidi" w:hAnsiTheme="majorBidi" w:cstheme="majorBidi"/>
          <w:noProof/>
        </w:rPr>
        <w:t xml:space="preserve"> the Agency’s governance, decision-making and management do not consistently support timely and effective steering. Despite the change of legal framework, the Agency’s internal structures and working practices have not fully evolved to operate as an EU decentralised agency.</w:t>
      </w:r>
      <w:r w:rsidR="003915D8" w:rsidRPr="00D4396B">
        <w:rPr>
          <w:rStyle w:val="FootnoteReference"/>
          <w:rFonts w:asciiTheme="majorBidi" w:hAnsiTheme="majorBidi" w:cstheme="majorBidi"/>
          <w:noProof/>
        </w:rPr>
        <w:footnoteReference w:id="35"/>
      </w:r>
      <w:r w:rsidR="003915D8" w:rsidRPr="00D4396B">
        <w:rPr>
          <w:rFonts w:asciiTheme="majorBidi" w:hAnsiTheme="majorBidi" w:cstheme="majorBidi"/>
          <w:noProof/>
        </w:rPr>
        <w:t xml:space="preserve"> Decisions that could be taken at managerial or administrative level are often escalated to collective governance bodies, increasing procedural burden</w:t>
      </w:r>
      <w:r w:rsidR="004D22EF">
        <w:rPr>
          <w:rFonts w:asciiTheme="majorBidi" w:hAnsiTheme="majorBidi" w:cstheme="majorBidi"/>
          <w:noProof/>
        </w:rPr>
        <w:t>, potentially</w:t>
      </w:r>
      <w:r w:rsidR="003915D8" w:rsidRPr="00D4396B">
        <w:rPr>
          <w:rFonts w:asciiTheme="majorBidi" w:hAnsiTheme="majorBidi" w:cstheme="majorBidi"/>
          <w:noProof/>
        </w:rPr>
        <w:t xml:space="preserve"> delay</w:t>
      </w:r>
      <w:r w:rsidR="004D22EF">
        <w:rPr>
          <w:rFonts w:asciiTheme="majorBidi" w:hAnsiTheme="majorBidi" w:cstheme="majorBidi"/>
          <w:noProof/>
        </w:rPr>
        <w:t>ing</w:t>
      </w:r>
      <w:r w:rsidR="003915D8" w:rsidRPr="00D4396B">
        <w:rPr>
          <w:rFonts w:asciiTheme="majorBidi" w:hAnsiTheme="majorBidi" w:cstheme="majorBidi"/>
          <w:noProof/>
        </w:rPr>
        <w:t xml:space="preserve"> strategic direction and operational follow-through.</w:t>
      </w:r>
      <w:r w:rsidR="00B0119D">
        <w:rPr>
          <w:rFonts w:asciiTheme="majorBidi" w:hAnsiTheme="majorBidi" w:cstheme="majorBidi"/>
          <w:noProof/>
        </w:rPr>
        <w:t xml:space="preserve"> </w:t>
      </w:r>
      <w:r w:rsidR="00B0119D">
        <w:rPr>
          <w:rFonts w:asciiTheme="majorBidi" w:hAnsiTheme="majorBidi" w:cstheme="majorBidi"/>
          <w:noProof/>
          <w:lang w:val="en-GB"/>
        </w:rPr>
        <w:t>A</w:t>
      </w:r>
      <w:r w:rsidR="003915D8" w:rsidRPr="00D4396B">
        <w:rPr>
          <w:rFonts w:asciiTheme="majorBidi" w:hAnsiTheme="majorBidi" w:cstheme="majorBidi"/>
          <w:noProof/>
          <w:lang w:val="en-GB"/>
        </w:rPr>
        <w:t xml:space="preserve">dministrative work tends to absorb a significant share of the attention of </w:t>
      </w:r>
      <w:r w:rsidR="003915D8" w:rsidRPr="14BAA4C5">
        <w:rPr>
          <w:rFonts w:asciiTheme="majorBidi" w:hAnsiTheme="majorBidi" w:cstheme="majorBidi"/>
          <w:noProof/>
          <w:lang w:val="en-GB"/>
        </w:rPr>
        <w:t>N</w:t>
      </w:r>
      <w:r w:rsidR="62EABFB2" w:rsidRPr="14BAA4C5">
        <w:rPr>
          <w:rFonts w:asciiTheme="majorBidi" w:hAnsiTheme="majorBidi" w:cstheme="majorBidi"/>
          <w:noProof/>
          <w:lang w:val="en-GB"/>
        </w:rPr>
        <w:t>M</w:t>
      </w:r>
      <w:r w:rsidR="003915D8" w:rsidRPr="00D4396B">
        <w:rPr>
          <w:rFonts w:asciiTheme="majorBidi" w:hAnsiTheme="majorBidi" w:cstheme="majorBidi"/>
          <w:noProof/>
          <w:lang w:val="en-GB"/>
        </w:rPr>
        <w:t>s and their desks, diverting time and focus from casework.</w:t>
      </w:r>
      <w:r w:rsidR="003915D8" w:rsidRPr="00D4396B">
        <w:rPr>
          <w:rStyle w:val="FootnoteReference"/>
          <w:rFonts w:asciiTheme="majorBidi" w:hAnsiTheme="majorBidi" w:cstheme="majorBidi"/>
          <w:noProof/>
        </w:rPr>
        <w:footnoteReference w:id="36"/>
      </w:r>
    </w:p>
    <w:p w14:paraId="5E9FF778" w14:textId="4FD55BF1" w:rsidR="00A63B53" w:rsidRPr="00D4396B" w:rsidRDefault="0092673A" w:rsidP="000C3545">
      <w:pPr>
        <w:pStyle w:val="Heading3"/>
        <w:rPr>
          <w:noProof/>
        </w:rPr>
      </w:pPr>
      <w:bookmarkStart w:id="47" w:name="_Toc347386562"/>
      <w:bookmarkStart w:id="48" w:name="_Toc1997277584"/>
      <w:bookmarkStart w:id="49" w:name="_Toc157508411"/>
      <w:bookmarkStart w:id="50" w:name="_Toc515752703"/>
      <w:bookmarkStart w:id="51" w:name="_Toc1274601723"/>
      <w:bookmarkStart w:id="52" w:name="_Toc222758148"/>
      <w:bookmarkStart w:id="53" w:name="_Toc224109555"/>
      <w:bookmarkStart w:id="54" w:name="_Toc232176398"/>
      <w:r w:rsidRPr="00D4396B">
        <w:rPr>
          <w:noProof/>
        </w:rPr>
        <w:t>2.1.2.</w:t>
      </w:r>
      <w:r w:rsidR="000D4805">
        <w:rPr>
          <w:noProof/>
        </w:rPr>
        <w:t xml:space="preserve"> </w:t>
      </w:r>
      <w:r w:rsidR="00A63B53" w:rsidRPr="00D4396B">
        <w:rPr>
          <w:noProof/>
        </w:rPr>
        <w:t>What are the problem drivers?</w:t>
      </w:r>
      <w:bookmarkEnd w:id="47"/>
      <w:bookmarkEnd w:id="48"/>
      <w:bookmarkEnd w:id="49"/>
      <w:bookmarkEnd w:id="50"/>
      <w:bookmarkEnd w:id="51"/>
      <w:bookmarkEnd w:id="52"/>
      <w:bookmarkEnd w:id="53"/>
      <w:bookmarkEnd w:id="54"/>
    </w:p>
    <w:p w14:paraId="58CDBE84" w14:textId="3E702402" w:rsidR="003915D8" w:rsidRPr="00D4396B" w:rsidRDefault="003915D8" w:rsidP="003915D8">
      <w:pPr>
        <w:pStyle w:val="NormalWeb"/>
        <w:spacing w:before="0" w:beforeAutospacing="0" w:after="120" w:afterAutospacing="0"/>
        <w:jc w:val="both"/>
        <w:rPr>
          <w:rFonts w:asciiTheme="majorBidi" w:hAnsiTheme="majorBidi" w:cstheme="majorBidi"/>
          <w:noProof/>
        </w:rPr>
      </w:pPr>
      <w:bookmarkStart w:id="55" w:name="_Hlk223024381"/>
      <w:r w:rsidRPr="00D4396B">
        <w:rPr>
          <w:rFonts w:asciiTheme="majorBidi" w:hAnsiTheme="majorBidi" w:cstheme="majorBidi"/>
          <w:b/>
          <w:bCs/>
          <w:noProof/>
          <w:u w:val="single"/>
        </w:rPr>
        <w:t xml:space="preserve">Problem </w:t>
      </w:r>
      <w:r w:rsidRPr="00D4396B">
        <w:rPr>
          <w:rFonts w:asciiTheme="majorBidi" w:hAnsiTheme="majorBidi" w:cstheme="majorBidi"/>
          <w:b/>
          <w:noProof/>
          <w:u w:val="single"/>
        </w:rPr>
        <w:t xml:space="preserve">driver </w:t>
      </w:r>
      <w:r w:rsidRPr="00D4396B">
        <w:rPr>
          <w:rFonts w:asciiTheme="majorBidi" w:hAnsiTheme="majorBidi" w:cstheme="majorBidi"/>
          <w:b/>
          <w:bCs/>
          <w:noProof/>
          <w:u w:val="single"/>
        </w:rPr>
        <w:t>#1</w:t>
      </w:r>
      <w:r w:rsidRPr="00D4396B">
        <w:rPr>
          <w:rFonts w:asciiTheme="majorBidi" w:hAnsiTheme="majorBidi" w:cstheme="majorBidi"/>
          <w:noProof/>
        </w:rPr>
        <w:t xml:space="preserve"> relates to </w:t>
      </w:r>
      <w:r w:rsidRPr="00D4396B">
        <w:rPr>
          <w:rFonts w:asciiTheme="majorBidi" w:hAnsiTheme="majorBidi" w:cstheme="majorBidi"/>
          <w:b/>
          <w:bCs/>
          <w:noProof/>
        </w:rPr>
        <w:t>limitations in Eurojust’s case selection and prioritisation model</w:t>
      </w:r>
      <w:r w:rsidRPr="00D4396B">
        <w:rPr>
          <w:rFonts w:asciiTheme="majorBidi" w:hAnsiTheme="majorBidi" w:cstheme="majorBidi"/>
          <w:noProof/>
        </w:rPr>
        <w:t>.</w:t>
      </w:r>
      <w:r w:rsidR="00261E12">
        <w:rPr>
          <w:rFonts w:asciiTheme="majorBidi" w:hAnsiTheme="majorBidi" w:cstheme="majorBidi"/>
          <w:noProof/>
        </w:rPr>
        <w:t xml:space="preserve"> </w:t>
      </w:r>
      <w:r w:rsidR="00D75F45" w:rsidRPr="384F7AB1">
        <w:rPr>
          <w:rFonts w:asciiTheme="majorBidi" w:hAnsiTheme="majorBidi" w:cstheme="majorBidi"/>
          <w:noProof/>
          <w:lang w:val="en-GB"/>
        </w:rPr>
        <w:t xml:space="preserve">This driver stems primarily from implementation challenges, though the </w:t>
      </w:r>
      <w:r w:rsidR="00EC1A4C" w:rsidRPr="384F7AB1">
        <w:rPr>
          <w:rFonts w:asciiTheme="majorBidi" w:hAnsiTheme="majorBidi" w:cstheme="majorBidi"/>
          <w:noProof/>
          <w:lang w:val="en-GB"/>
        </w:rPr>
        <w:t>absence</w:t>
      </w:r>
      <w:r w:rsidR="00D75F45" w:rsidRPr="384F7AB1">
        <w:rPr>
          <w:rFonts w:asciiTheme="majorBidi" w:hAnsiTheme="majorBidi" w:cstheme="majorBidi"/>
          <w:noProof/>
          <w:lang w:val="en-GB"/>
        </w:rPr>
        <w:t xml:space="preserve"> of a </w:t>
      </w:r>
      <w:r w:rsidR="31B165F4" w:rsidRPr="384F7AB1">
        <w:rPr>
          <w:rFonts w:asciiTheme="majorBidi" w:hAnsiTheme="majorBidi" w:cstheme="majorBidi"/>
          <w:noProof/>
          <w:lang w:val="en-GB"/>
        </w:rPr>
        <w:t xml:space="preserve">legal </w:t>
      </w:r>
      <w:r w:rsidR="00D75F45" w:rsidRPr="384F7AB1">
        <w:rPr>
          <w:rFonts w:asciiTheme="majorBidi" w:hAnsiTheme="majorBidi" w:cstheme="majorBidi"/>
          <w:noProof/>
          <w:lang w:val="en-GB"/>
        </w:rPr>
        <w:t xml:space="preserve">definition </w:t>
      </w:r>
      <w:r w:rsidR="4055FFD6" w:rsidRPr="384F7AB1">
        <w:rPr>
          <w:rFonts w:asciiTheme="majorBidi" w:hAnsiTheme="majorBidi" w:cstheme="majorBidi"/>
          <w:noProof/>
          <w:lang w:val="en-GB"/>
        </w:rPr>
        <w:t>of</w:t>
      </w:r>
      <w:r w:rsidR="00D75F45" w:rsidRPr="384F7AB1">
        <w:rPr>
          <w:rFonts w:asciiTheme="majorBidi" w:hAnsiTheme="majorBidi" w:cstheme="majorBidi"/>
          <w:noProof/>
          <w:lang w:val="en-GB"/>
        </w:rPr>
        <w:t xml:space="preserve"> a “Eurojust case” </w:t>
      </w:r>
      <w:r w:rsidR="55A1CC91" w:rsidRPr="384F7AB1">
        <w:rPr>
          <w:rFonts w:asciiTheme="majorBidi" w:hAnsiTheme="majorBidi" w:cstheme="majorBidi"/>
          <w:noProof/>
          <w:lang w:val="en-GB"/>
        </w:rPr>
        <w:t>which</w:t>
      </w:r>
      <w:r w:rsidR="00D75F45" w:rsidRPr="384F7AB1">
        <w:rPr>
          <w:rFonts w:asciiTheme="majorBidi" w:hAnsiTheme="majorBidi" w:cstheme="majorBidi"/>
          <w:noProof/>
          <w:lang w:val="en-GB"/>
        </w:rPr>
        <w:t xml:space="preserve"> </w:t>
      </w:r>
      <w:r w:rsidR="004B2335" w:rsidRPr="384F7AB1">
        <w:rPr>
          <w:rFonts w:asciiTheme="majorBidi" w:hAnsiTheme="majorBidi" w:cstheme="majorBidi"/>
          <w:noProof/>
          <w:lang w:val="en-GB"/>
        </w:rPr>
        <w:t>adds</w:t>
      </w:r>
      <w:r w:rsidR="00D75F45" w:rsidRPr="384F7AB1">
        <w:rPr>
          <w:rFonts w:asciiTheme="majorBidi" w:hAnsiTheme="majorBidi" w:cstheme="majorBidi"/>
          <w:noProof/>
          <w:lang w:val="en-GB"/>
        </w:rPr>
        <w:t xml:space="preserve"> procedural ambiguity</w:t>
      </w:r>
      <w:r w:rsidR="0F941A28" w:rsidRPr="384F7AB1">
        <w:rPr>
          <w:rFonts w:asciiTheme="majorBidi" w:hAnsiTheme="majorBidi" w:cstheme="majorBidi"/>
          <w:noProof/>
          <w:lang w:val="en-GB"/>
        </w:rPr>
        <w:t xml:space="preserve">. </w:t>
      </w:r>
      <w:r w:rsidRPr="00D4396B">
        <w:rPr>
          <w:rFonts w:asciiTheme="majorBidi" w:hAnsiTheme="majorBidi" w:cstheme="majorBidi"/>
          <w:noProof/>
          <w:lang w:val="en-GB"/>
        </w:rPr>
        <w:t>Beyond limited instances of own-initiative action, Eurojust’s operational work is driven by Member States’ demand, as it is national authorities that refer cases and provide information.</w:t>
      </w:r>
      <w:r w:rsidRPr="00D4396B">
        <w:rPr>
          <w:rStyle w:val="FootnoteReference"/>
          <w:rFonts w:asciiTheme="majorBidi" w:hAnsiTheme="majorBidi" w:cstheme="majorBidi"/>
          <w:noProof/>
        </w:rPr>
        <w:footnoteReference w:id="37"/>
      </w:r>
    </w:p>
    <w:p w14:paraId="6812B979" w14:textId="113E532D"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lang w:val="en-GB"/>
        </w:rPr>
        <w:t>When dealing with incoming requests, Eurojust does not systematically apply clear criteria to select, redirect, or prioritise cases. One reason appears to be the lack of a common definition of a “Eurojust case”,</w:t>
      </w:r>
      <w:r w:rsidR="00A55069">
        <w:rPr>
          <w:rStyle w:val="FootnoteReference"/>
          <w:rFonts w:asciiTheme="majorBidi" w:hAnsiTheme="majorBidi" w:cstheme="majorBidi"/>
          <w:noProof/>
          <w:lang w:val="en-GB"/>
        </w:rPr>
        <w:footnoteReference w:id="38"/>
      </w:r>
      <w:r w:rsidRPr="00D4396B">
        <w:rPr>
          <w:rFonts w:asciiTheme="majorBidi" w:hAnsiTheme="majorBidi" w:cstheme="majorBidi"/>
          <w:noProof/>
          <w:lang w:val="en-GB"/>
        </w:rPr>
        <w:t xml:space="preserve"> leading to inconsistent approaches to case handling. In addition, </w:t>
      </w:r>
      <w:r w:rsidRPr="629244CD">
        <w:rPr>
          <w:rFonts w:asciiTheme="majorBidi" w:hAnsiTheme="majorBidi" w:cstheme="majorBidi"/>
          <w:noProof/>
          <w:lang w:val="en-GB"/>
        </w:rPr>
        <w:t>N</w:t>
      </w:r>
      <w:r w:rsidR="27FBAD92" w:rsidRPr="629244CD">
        <w:rPr>
          <w:rFonts w:asciiTheme="majorBidi" w:hAnsiTheme="majorBidi" w:cstheme="majorBidi"/>
          <w:noProof/>
          <w:lang w:val="en-GB"/>
        </w:rPr>
        <w:t>M</w:t>
      </w:r>
      <w:r w:rsidRPr="00D4396B">
        <w:rPr>
          <w:rFonts w:asciiTheme="majorBidi" w:hAnsiTheme="majorBidi" w:cstheme="majorBidi"/>
          <w:noProof/>
          <w:lang w:val="en-GB"/>
        </w:rPr>
        <w:t>s may prioritise certain referrals over others based less on objective or strategic considerations and more on thematic preferences, interests of the Member State they represent, or established relationships with their respective national authorities</w:t>
      </w:r>
      <w:r w:rsidRPr="00D4396B">
        <w:rPr>
          <w:rFonts w:asciiTheme="majorBidi" w:hAnsiTheme="majorBidi" w:cstheme="majorBidi"/>
          <w:noProof/>
        </w:rPr>
        <w:t>.</w:t>
      </w:r>
      <w:r w:rsidRPr="00D4396B">
        <w:rPr>
          <w:rStyle w:val="FootnoteReference"/>
          <w:rFonts w:asciiTheme="majorBidi" w:hAnsiTheme="majorBidi" w:cstheme="majorBidi"/>
          <w:noProof/>
        </w:rPr>
        <w:footnoteReference w:id="39"/>
      </w:r>
      <w:r w:rsidRPr="00D4396B">
        <w:rPr>
          <w:rFonts w:asciiTheme="majorBidi" w:hAnsiTheme="majorBidi" w:cstheme="majorBidi"/>
          <w:noProof/>
        </w:rPr>
        <w:t xml:space="preserve"> In 2023, an estimated 82% of Eurojust’s new case work was made up of bilateral and low-complexity cases.</w:t>
      </w:r>
      <w:r w:rsidRPr="00D4396B">
        <w:rPr>
          <w:rStyle w:val="FootnoteReference"/>
          <w:rFonts w:asciiTheme="majorBidi" w:hAnsiTheme="majorBidi" w:cstheme="majorBidi"/>
          <w:noProof/>
        </w:rPr>
        <w:footnoteReference w:id="40"/>
      </w:r>
      <w:r w:rsidRPr="00D4396B">
        <w:rPr>
          <w:rFonts w:asciiTheme="majorBidi" w:hAnsiTheme="majorBidi" w:cstheme="majorBidi"/>
          <w:noProof/>
        </w:rPr>
        <w:t xml:space="preserve"> In this context, high levels of ambition, combined with inconsistent prioritisation, </w:t>
      </w:r>
      <w:r w:rsidR="008E0670">
        <w:rPr>
          <w:rFonts w:asciiTheme="majorBidi" w:hAnsiTheme="majorBidi" w:cstheme="majorBidi"/>
          <w:noProof/>
        </w:rPr>
        <w:t>can create</w:t>
      </w:r>
      <w:r w:rsidRPr="00D4396B">
        <w:rPr>
          <w:rFonts w:asciiTheme="majorBidi" w:hAnsiTheme="majorBidi" w:cstheme="majorBidi"/>
          <w:noProof/>
        </w:rPr>
        <w:t xml:space="preserve"> </w:t>
      </w:r>
      <w:r w:rsidR="007027CC">
        <w:rPr>
          <w:rFonts w:asciiTheme="majorBidi" w:hAnsiTheme="majorBidi" w:cstheme="majorBidi"/>
          <w:noProof/>
        </w:rPr>
        <w:t>the</w:t>
      </w:r>
      <w:r w:rsidRPr="00D4396B">
        <w:rPr>
          <w:rFonts w:asciiTheme="majorBidi" w:hAnsiTheme="majorBidi" w:cstheme="majorBidi"/>
          <w:noProof/>
        </w:rPr>
        <w:t xml:space="preserve"> perception that additional resources</w:t>
      </w:r>
      <w:r w:rsidR="00941373">
        <w:rPr>
          <w:rFonts w:asciiTheme="majorBidi" w:hAnsiTheme="majorBidi" w:cstheme="majorBidi"/>
          <w:noProof/>
        </w:rPr>
        <w:t xml:space="preserve"> </w:t>
      </w:r>
      <w:r w:rsidRPr="00D4396B">
        <w:rPr>
          <w:rFonts w:asciiTheme="majorBidi" w:hAnsiTheme="majorBidi" w:cstheme="majorBidi"/>
          <w:noProof/>
        </w:rPr>
        <w:t>are the primary solution to workload pressure</w:t>
      </w:r>
      <w:r w:rsidR="007E0E2C">
        <w:rPr>
          <w:rFonts w:asciiTheme="majorBidi" w:hAnsiTheme="majorBidi" w:cstheme="majorBidi"/>
          <w:noProof/>
        </w:rPr>
        <w:t xml:space="preserve">, </w:t>
      </w:r>
      <w:r w:rsidR="007E0E2C" w:rsidRPr="00D4396B">
        <w:rPr>
          <w:rFonts w:asciiTheme="majorBidi" w:hAnsiTheme="majorBidi" w:cstheme="majorBidi"/>
          <w:noProof/>
        </w:rPr>
        <w:t>rather than a change in operational practices,</w:t>
      </w:r>
      <w:r w:rsidRPr="00D4396B">
        <w:rPr>
          <w:rStyle w:val="FootnoteReference"/>
          <w:rFonts w:asciiTheme="majorBidi" w:hAnsiTheme="majorBidi" w:cstheme="majorBidi"/>
          <w:noProof/>
        </w:rPr>
        <w:footnoteReference w:id="41"/>
      </w:r>
    </w:p>
    <w:p w14:paraId="316249E6" w14:textId="108DDBE4" w:rsidR="003915D8" w:rsidRDefault="003915D8" w:rsidP="003915D8">
      <w:pPr>
        <w:pStyle w:val="NormalWeb"/>
        <w:spacing w:before="0" w:beforeAutospacing="0" w:after="120" w:afterAutospacing="0"/>
        <w:jc w:val="both"/>
        <w:rPr>
          <w:rFonts w:asciiTheme="majorBidi" w:hAnsiTheme="majorBidi" w:cstheme="majorBidi"/>
          <w:noProof/>
          <w:lang w:val="en-GB"/>
        </w:rPr>
      </w:pPr>
      <w:r w:rsidRPr="00D4396B">
        <w:rPr>
          <w:rFonts w:asciiTheme="majorBidi" w:hAnsiTheme="majorBidi" w:cstheme="majorBidi"/>
          <w:noProof/>
          <w:lang w:val="en-GB"/>
        </w:rPr>
        <w:t xml:space="preserve">A similar </w:t>
      </w:r>
      <w:r w:rsidR="00B12D71">
        <w:rPr>
          <w:rFonts w:asciiTheme="majorBidi" w:hAnsiTheme="majorBidi" w:cstheme="majorBidi"/>
          <w:noProof/>
          <w:lang w:val="en-GB"/>
        </w:rPr>
        <w:t>definitional gap</w:t>
      </w:r>
      <w:r w:rsidRPr="00D4396B">
        <w:rPr>
          <w:rFonts w:asciiTheme="majorBidi" w:hAnsiTheme="majorBidi" w:cstheme="majorBidi"/>
          <w:noProof/>
          <w:lang w:val="en-GB"/>
        </w:rPr>
        <w:t xml:space="preserve"> affects ‘own-initiative’ cases</w:t>
      </w:r>
      <w:r w:rsidR="00A87298">
        <w:rPr>
          <w:rFonts w:asciiTheme="majorBidi" w:hAnsiTheme="majorBidi" w:cstheme="majorBidi"/>
          <w:noProof/>
          <w:lang w:val="en-GB"/>
        </w:rPr>
        <w:t xml:space="preserve"> as mentioned in Article 2</w:t>
      </w:r>
      <w:r w:rsidR="00253E5F">
        <w:rPr>
          <w:rFonts w:asciiTheme="majorBidi" w:hAnsiTheme="majorBidi" w:cstheme="majorBidi"/>
          <w:noProof/>
          <w:lang w:val="en-GB"/>
        </w:rPr>
        <w:t>(3) EJR</w:t>
      </w:r>
      <w:r w:rsidRPr="00D4396B">
        <w:rPr>
          <w:rFonts w:asciiTheme="majorBidi" w:hAnsiTheme="majorBidi" w:cstheme="majorBidi"/>
          <w:noProof/>
          <w:lang w:val="en-GB"/>
        </w:rPr>
        <w:t>.</w:t>
      </w:r>
      <w:r w:rsidRPr="00D4396B">
        <w:rPr>
          <w:rStyle w:val="FootnoteReference"/>
          <w:rFonts w:asciiTheme="majorBidi" w:hAnsiTheme="majorBidi" w:cstheme="majorBidi"/>
          <w:noProof/>
        </w:rPr>
        <w:footnoteReference w:id="42"/>
      </w:r>
      <w:r w:rsidRPr="00D4396B">
        <w:rPr>
          <w:rFonts w:asciiTheme="majorBidi" w:hAnsiTheme="majorBidi" w:cstheme="majorBidi"/>
          <w:noProof/>
        </w:rPr>
        <w:t xml:space="preserve"> </w:t>
      </w:r>
      <w:r w:rsidRPr="00D4396B">
        <w:rPr>
          <w:rFonts w:asciiTheme="majorBidi" w:hAnsiTheme="majorBidi" w:cstheme="majorBidi"/>
          <w:noProof/>
          <w:lang w:val="en-GB"/>
        </w:rPr>
        <w:t xml:space="preserve">Coupled with the high number of referrals, this </w:t>
      </w:r>
      <w:r w:rsidR="00990181">
        <w:rPr>
          <w:rFonts w:asciiTheme="majorBidi" w:hAnsiTheme="majorBidi" w:cstheme="majorBidi"/>
          <w:noProof/>
          <w:lang w:val="en-GB"/>
        </w:rPr>
        <w:t>restricts</w:t>
      </w:r>
      <w:r w:rsidR="00990181" w:rsidRPr="00D4396B">
        <w:rPr>
          <w:rFonts w:asciiTheme="majorBidi" w:hAnsiTheme="majorBidi" w:cstheme="majorBidi"/>
          <w:noProof/>
          <w:lang w:val="en-GB"/>
        </w:rPr>
        <w:t xml:space="preserve"> </w:t>
      </w:r>
      <w:r w:rsidRPr="00D4396B">
        <w:rPr>
          <w:rFonts w:asciiTheme="majorBidi" w:hAnsiTheme="majorBidi" w:cstheme="majorBidi"/>
          <w:noProof/>
          <w:lang w:val="en-GB"/>
        </w:rPr>
        <w:t>the Agency’s ability to act proactively.</w:t>
      </w:r>
    </w:p>
    <w:p w14:paraId="22B9C876" w14:textId="77777777" w:rsidR="003915D8" w:rsidRPr="00D4396B" w:rsidRDefault="003915D8" w:rsidP="003915D8">
      <w:pPr>
        <w:pStyle w:val="NormalWeb"/>
        <w:spacing w:before="0" w:beforeAutospacing="0" w:after="120" w:afterAutospacing="0"/>
        <w:jc w:val="both"/>
        <w:rPr>
          <w:rFonts w:asciiTheme="majorBidi" w:hAnsiTheme="majorBidi" w:cstheme="majorBidi"/>
          <w:b/>
          <w:bCs/>
          <w:noProof/>
        </w:rPr>
      </w:pPr>
      <w:r w:rsidRPr="00D4396B">
        <w:rPr>
          <w:rFonts w:asciiTheme="majorBidi" w:hAnsiTheme="majorBidi" w:cstheme="majorBidi"/>
          <w:b/>
          <w:bCs/>
          <w:noProof/>
          <w:u w:val="single"/>
        </w:rPr>
        <w:t>Problem driver #2</w:t>
      </w:r>
      <w:r w:rsidRPr="00D4396B">
        <w:rPr>
          <w:rFonts w:asciiTheme="majorBidi" w:hAnsiTheme="majorBidi" w:cstheme="majorBidi"/>
          <w:noProof/>
        </w:rPr>
        <w:t xml:space="preserve"> relates to </w:t>
      </w:r>
      <w:r w:rsidRPr="00D4396B">
        <w:rPr>
          <w:rFonts w:asciiTheme="majorBidi" w:hAnsiTheme="majorBidi" w:cstheme="majorBidi"/>
          <w:b/>
          <w:bCs/>
          <w:noProof/>
        </w:rPr>
        <w:t>Eurojust’s partially outdated competences and associated toolset</w:t>
      </w:r>
      <w:r w:rsidRPr="00D4396B">
        <w:rPr>
          <w:rFonts w:asciiTheme="majorBidi" w:hAnsiTheme="majorBidi" w:cstheme="majorBidi"/>
          <w:noProof/>
        </w:rPr>
        <w:t>.</w:t>
      </w:r>
    </w:p>
    <w:p w14:paraId="3E19435B" w14:textId="0FDB12BC" w:rsidR="00D75F45" w:rsidRPr="00504DA1" w:rsidRDefault="00D75F45" w:rsidP="384F7AB1">
      <w:pPr>
        <w:pStyle w:val="NormalWeb"/>
        <w:spacing w:before="0" w:beforeAutospacing="0" w:after="120" w:afterAutospacing="0"/>
        <w:jc w:val="both"/>
        <w:rPr>
          <w:rFonts w:asciiTheme="majorBidi" w:hAnsiTheme="majorBidi" w:cstheme="majorBidi"/>
          <w:noProof/>
        </w:rPr>
      </w:pPr>
      <w:r w:rsidRPr="384F7AB1">
        <w:rPr>
          <w:rFonts w:asciiTheme="majorBidi" w:hAnsiTheme="majorBidi" w:cstheme="majorBidi"/>
          <w:noProof/>
        </w:rPr>
        <w:t xml:space="preserve">This driver </w:t>
      </w:r>
      <w:r w:rsidR="377FC8BF" w:rsidRPr="384F7AB1">
        <w:rPr>
          <w:rFonts w:asciiTheme="majorBidi" w:hAnsiTheme="majorBidi" w:cstheme="majorBidi"/>
          <w:noProof/>
        </w:rPr>
        <w:t>arises</w:t>
      </w:r>
      <w:r w:rsidRPr="384F7AB1">
        <w:rPr>
          <w:rFonts w:asciiTheme="majorBidi" w:hAnsiTheme="majorBidi" w:cstheme="majorBidi"/>
          <w:noProof/>
        </w:rPr>
        <w:t xml:space="preserve"> primarily from gaps in Eurojust’s formal mandate</w:t>
      </w:r>
      <w:r w:rsidR="00EB21A8" w:rsidRPr="384F7AB1">
        <w:rPr>
          <w:rFonts w:asciiTheme="majorBidi" w:hAnsiTheme="majorBidi" w:cstheme="majorBidi"/>
          <w:noProof/>
        </w:rPr>
        <w:t xml:space="preserve"> and competences.</w:t>
      </w:r>
    </w:p>
    <w:p w14:paraId="4C4C0A6B" w14:textId="75F41EE5" w:rsidR="003915D8" w:rsidRDefault="009931AA" w:rsidP="003915D8">
      <w:pPr>
        <w:pStyle w:val="NormalWeb"/>
        <w:spacing w:before="0" w:beforeAutospacing="0" w:after="120" w:afterAutospacing="0"/>
        <w:jc w:val="both"/>
        <w:rPr>
          <w:rFonts w:asciiTheme="majorBidi" w:hAnsiTheme="majorBidi" w:cstheme="majorBidi"/>
          <w:noProof/>
          <w:lang w:val="en-GB"/>
        </w:rPr>
      </w:pPr>
      <w:r>
        <w:rPr>
          <w:rFonts w:asciiTheme="majorBidi" w:hAnsiTheme="majorBidi" w:cstheme="majorBidi"/>
          <w:noProof/>
          <w:lang w:val="en-GB"/>
        </w:rPr>
        <w:t>A</w:t>
      </w:r>
      <w:r w:rsidR="003915D8" w:rsidRPr="00D4396B">
        <w:rPr>
          <w:rFonts w:asciiTheme="majorBidi" w:hAnsiTheme="majorBidi" w:cstheme="majorBidi"/>
          <w:noProof/>
          <w:lang w:val="en-GB"/>
        </w:rPr>
        <w:t xml:space="preserve">s a hub connecting criminal justice authorities, Eurojust </w:t>
      </w:r>
      <w:r>
        <w:rPr>
          <w:rFonts w:asciiTheme="majorBidi" w:hAnsiTheme="majorBidi" w:cstheme="majorBidi"/>
          <w:noProof/>
          <w:lang w:val="en-GB"/>
        </w:rPr>
        <w:t>is well placed to</w:t>
      </w:r>
      <w:r w:rsidR="003915D8" w:rsidRPr="00D4396B">
        <w:rPr>
          <w:rFonts w:asciiTheme="majorBidi" w:hAnsiTheme="majorBidi" w:cstheme="majorBidi"/>
          <w:noProof/>
          <w:lang w:val="en-GB"/>
        </w:rPr>
        <w:t xml:space="preserve"> support national authorities in investigative activities of growing relevance, such as asset freezing</w:t>
      </w:r>
      <w:r w:rsidR="00B46809">
        <w:rPr>
          <w:rFonts w:asciiTheme="majorBidi" w:hAnsiTheme="majorBidi" w:cstheme="majorBidi"/>
          <w:noProof/>
          <w:lang w:val="en-GB"/>
        </w:rPr>
        <w:t xml:space="preserve"> – </w:t>
      </w:r>
      <w:r w:rsidR="003915D8" w:rsidRPr="00D4396B">
        <w:rPr>
          <w:rFonts w:asciiTheme="majorBidi" w:hAnsiTheme="majorBidi" w:cstheme="majorBidi"/>
          <w:noProof/>
          <w:lang w:val="en-GB"/>
        </w:rPr>
        <w:t>by coordinating Asset Recovery Offices (AROs) and judicial authorities when proceeds of crime are identified</w:t>
      </w:r>
      <w:r w:rsidR="00B46809">
        <w:rPr>
          <w:rFonts w:asciiTheme="majorBidi" w:hAnsiTheme="majorBidi" w:cstheme="majorBidi"/>
          <w:noProof/>
          <w:lang w:val="en-GB"/>
        </w:rPr>
        <w:t xml:space="preserve"> – </w:t>
      </w:r>
      <w:r w:rsidR="003915D8" w:rsidRPr="00D4396B">
        <w:rPr>
          <w:rFonts w:asciiTheme="majorBidi" w:hAnsiTheme="majorBidi" w:cstheme="majorBidi"/>
          <w:noProof/>
          <w:lang w:val="en-GB"/>
        </w:rPr>
        <w:t>and the issuance and execution of e-evidence orders.</w:t>
      </w:r>
      <w:r w:rsidR="003915D8" w:rsidRPr="00D4396B">
        <w:rPr>
          <w:rFonts w:asciiTheme="majorBidi" w:hAnsiTheme="majorBidi" w:cstheme="majorBidi"/>
          <w:noProof/>
        </w:rPr>
        <w:t xml:space="preserve"> </w:t>
      </w:r>
      <w:r w:rsidR="003915D8" w:rsidRPr="00D4396B">
        <w:rPr>
          <w:rFonts w:asciiTheme="majorBidi" w:hAnsiTheme="majorBidi" w:cstheme="majorBidi"/>
          <w:noProof/>
          <w:lang w:val="en-GB"/>
        </w:rPr>
        <w:t>However, Eurojust lacks an explicit mandate in these areas, resulting in unstructured activities carried out at the request of national authorities, leaving much potential untapped.</w:t>
      </w:r>
      <w:r w:rsidR="003915D8" w:rsidRPr="00D4396B">
        <w:rPr>
          <w:rStyle w:val="FootnoteReference"/>
          <w:rFonts w:asciiTheme="majorBidi" w:hAnsiTheme="majorBidi" w:cstheme="majorBidi"/>
          <w:noProof/>
        </w:rPr>
        <w:footnoteReference w:id="43"/>
      </w:r>
    </w:p>
    <w:p w14:paraId="4152D954" w14:textId="315231A0" w:rsidR="007E73E5" w:rsidRPr="00D4396B" w:rsidRDefault="007E73E5" w:rsidP="007E73E5">
      <w:pPr>
        <w:pStyle w:val="NormalWeb"/>
        <w:spacing w:before="0" w:beforeAutospacing="0" w:after="120" w:afterAutospacing="0"/>
        <w:jc w:val="both"/>
        <w:rPr>
          <w:rFonts w:asciiTheme="majorBidi" w:hAnsiTheme="majorBidi" w:cstheme="majorBidi"/>
          <w:noProof/>
        </w:rPr>
      </w:pPr>
      <w:r w:rsidRPr="00FE4EA7">
        <w:rPr>
          <w:rFonts w:asciiTheme="majorBidi" w:hAnsiTheme="majorBidi" w:cstheme="majorBidi"/>
          <w:noProof/>
        </w:rPr>
        <w:t xml:space="preserve">The lack of clearly defined competences also affects Eurojust’s analytical </w:t>
      </w:r>
      <w:r w:rsidR="00AA4E33" w:rsidRPr="00FE4EA7">
        <w:rPr>
          <w:rFonts w:asciiTheme="majorBidi" w:hAnsiTheme="majorBidi" w:cstheme="majorBidi"/>
          <w:noProof/>
        </w:rPr>
        <w:t>work, for which a specific mandate has so far been granted only in relation to international crimes</w:t>
      </w:r>
      <w:r w:rsidR="006A6266">
        <w:rPr>
          <w:rFonts w:asciiTheme="majorBidi" w:hAnsiTheme="majorBidi" w:cstheme="majorBidi"/>
          <w:noProof/>
        </w:rPr>
        <w:t xml:space="preserve"> </w:t>
      </w:r>
      <w:r w:rsidR="00AA4E33" w:rsidRPr="00FE4EA7">
        <w:rPr>
          <w:rFonts w:asciiTheme="majorBidi" w:hAnsiTheme="majorBidi" w:cstheme="majorBidi"/>
          <w:noProof/>
        </w:rPr>
        <w:t>and terrorism</w:t>
      </w:r>
      <w:r w:rsidR="006A6266">
        <w:rPr>
          <w:rFonts w:asciiTheme="majorBidi" w:hAnsiTheme="majorBidi" w:cstheme="majorBidi"/>
          <w:noProof/>
        </w:rPr>
        <w:t xml:space="preserve"> (</w:t>
      </w:r>
      <w:r w:rsidR="008D7476">
        <w:rPr>
          <w:rFonts w:asciiTheme="majorBidi" w:hAnsiTheme="majorBidi" w:cstheme="majorBidi"/>
          <w:noProof/>
        </w:rPr>
        <w:t>for</w:t>
      </w:r>
      <w:r>
        <w:rPr>
          <w:rFonts w:asciiTheme="majorBidi" w:hAnsiTheme="majorBidi" w:cstheme="majorBidi"/>
          <w:noProof/>
        </w:rPr>
        <w:t xml:space="preserve"> the </w:t>
      </w:r>
      <w:r w:rsidR="008D7476">
        <w:rPr>
          <w:rFonts w:asciiTheme="majorBidi" w:hAnsiTheme="majorBidi" w:cstheme="majorBidi"/>
          <w:noProof/>
        </w:rPr>
        <w:t>data stored in the</w:t>
      </w:r>
      <w:r>
        <w:rPr>
          <w:rFonts w:asciiTheme="majorBidi" w:hAnsiTheme="majorBidi" w:cstheme="majorBidi"/>
          <w:noProof/>
        </w:rPr>
        <w:t xml:space="preserve"> CICED and CTR</w:t>
      </w:r>
      <w:r w:rsidR="006A6266">
        <w:rPr>
          <w:rFonts w:asciiTheme="majorBidi" w:hAnsiTheme="majorBidi" w:cstheme="majorBidi"/>
          <w:noProof/>
        </w:rPr>
        <w:t>)</w:t>
      </w:r>
      <w:r w:rsidR="00AA4E33" w:rsidRPr="00FE4EA7">
        <w:rPr>
          <w:rFonts w:asciiTheme="majorBidi" w:hAnsiTheme="majorBidi" w:cstheme="majorBidi"/>
          <w:noProof/>
        </w:rPr>
        <w:t>. The positive experience with these instruments suggests that such analytical functions could bring added value also in other highly complex areas of crime</w:t>
      </w:r>
      <w:r w:rsidRPr="00FE4EA7">
        <w:rPr>
          <w:rFonts w:asciiTheme="majorBidi" w:hAnsiTheme="majorBidi" w:cstheme="majorBidi"/>
          <w:noProof/>
        </w:rPr>
        <w:t>.</w:t>
      </w:r>
      <w:r>
        <w:rPr>
          <w:rStyle w:val="FootnoteReference"/>
          <w:rFonts w:asciiTheme="majorBidi" w:hAnsiTheme="majorBidi" w:cstheme="majorBidi"/>
          <w:noProof/>
          <w:lang w:val="en-GB"/>
        </w:rPr>
        <w:footnoteReference w:id="44"/>
      </w:r>
    </w:p>
    <w:p w14:paraId="1C388384" w14:textId="18150427"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lang w:val="en-GB"/>
        </w:rPr>
        <w:t>Moreover, emerging areas of criminalisation</w:t>
      </w:r>
      <w:r w:rsidR="00B46809">
        <w:rPr>
          <w:rFonts w:asciiTheme="majorBidi" w:hAnsiTheme="majorBidi" w:cstheme="majorBidi"/>
          <w:noProof/>
          <w:lang w:val="en-GB"/>
        </w:rPr>
        <w:t xml:space="preserve"> – </w:t>
      </w:r>
      <w:r w:rsidRPr="00D4396B">
        <w:rPr>
          <w:rFonts w:asciiTheme="majorBidi" w:hAnsiTheme="majorBidi" w:cstheme="majorBidi"/>
          <w:noProof/>
          <w:lang w:val="en-GB"/>
        </w:rPr>
        <w:t>such as violations of the Union’s restrictive measures</w:t>
      </w:r>
      <w:r w:rsidR="003A1299">
        <w:rPr>
          <w:rFonts w:asciiTheme="majorBidi" w:hAnsiTheme="majorBidi" w:cstheme="majorBidi"/>
          <w:noProof/>
          <w:lang w:val="en-GB"/>
        </w:rPr>
        <w:t xml:space="preserve"> and</w:t>
      </w:r>
      <w:r w:rsidRPr="00D4396B">
        <w:rPr>
          <w:rFonts w:asciiTheme="majorBidi" w:hAnsiTheme="majorBidi" w:cstheme="majorBidi"/>
          <w:noProof/>
          <w:lang w:val="en-GB"/>
        </w:rPr>
        <w:t xml:space="preserve"> cybercrime</w:t>
      </w:r>
      <w:r w:rsidR="00B46809">
        <w:rPr>
          <w:rFonts w:asciiTheme="majorBidi" w:hAnsiTheme="majorBidi" w:cstheme="majorBidi"/>
          <w:noProof/>
          <w:lang w:val="en-GB"/>
        </w:rPr>
        <w:t xml:space="preserve">– </w:t>
      </w:r>
      <w:r w:rsidRPr="00D4396B">
        <w:rPr>
          <w:rFonts w:asciiTheme="majorBidi" w:hAnsiTheme="majorBidi" w:cstheme="majorBidi"/>
          <w:noProof/>
          <w:lang w:val="en-GB"/>
        </w:rPr>
        <w:t>currently fall outside Eurojust’s competence, meaning that the Agency can only be involved upon specific request from national authorities, thereby limiting its proactivity and strategic involvement.</w:t>
      </w:r>
    </w:p>
    <w:p w14:paraId="3F1A0DDC" w14:textId="77777777" w:rsidR="003915D8"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rPr>
        <w:t>Finally, despite its recognised value,</w:t>
      </w:r>
      <w:r w:rsidRPr="00D4396B">
        <w:rPr>
          <w:rStyle w:val="FootnoteReference"/>
          <w:rFonts w:asciiTheme="majorBidi" w:hAnsiTheme="majorBidi" w:cstheme="majorBidi"/>
          <w:noProof/>
        </w:rPr>
        <w:footnoteReference w:id="45"/>
      </w:r>
      <w:r w:rsidRPr="00D4396B">
        <w:rPr>
          <w:rFonts w:asciiTheme="majorBidi" w:hAnsiTheme="majorBidi" w:cstheme="majorBidi"/>
          <w:noProof/>
        </w:rPr>
        <w:t xml:space="preserve"> no institutionalised mechanisms are in place to translate Eurojust‘s operational expertise into reusable knowledge for EU policy development in the area of criminal justice and judicial cooperation.</w:t>
      </w:r>
      <w:r w:rsidRPr="00D4396B">
        <w:rPr>
          <w:rStyle w:val="FootnoteReference"/>
          <w:rFonts w:asciiTheme="majorBidi" w:hAnsiTheme="majorBidi" w:cstheme="majorBidi"/>
          <w:noProof/>
        </w:rPr>
        <w:footnoteReference w:id="46"/>
      </w:r>
    </w:p>
    <w:p w14:paraId="65927F85" w14:textId="77777777"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b/>
          <w:bCs/>
          <w:noProof/>
        </w:rPr>
        <w:t>Problem driver #3</w:t>
      </w:r>
      <w:r w:rsidRPr="00D4396B">
        <w:rPr>
          <w:rFonts w:asciiTheme="majorBidi" w:hAnsiTheme="majorBidi" w:cstheme="majorBidi"/>
          <w:noProof/>
        </w:rPr>
        <w:t xml:space="preserve"> concerns </w:t>
      </w:r>
      <w:r w:rsidRPr="00D4396B">
        <w:rPr>
          <w:rFonts w:asciiTheme="majorBidi" w:hAnsiTheme="majorBidi" w:cstheme="majorBidi"/>
          <w:b/>
          <w:bCs/>
          <w:noProof/>
        </w:rPr>
        <w:t>differences in EJR implementation across Member States</w:t>
      </w:r>
      <w:r w:rsidRPr="00D4396B">
        <w:rPr>
          <w:rFonts w:asciiTheme="majorBidi" w:hAnsiTheme="majorBidi" w:cstheme="majorBidi"/>
          <w:noProof/>
        </w:rPr>
        <w:t>.</w:t>
      </w:r>
    </w:p>
    <w:p w14:paraId="1423A90E" w14:textId="36245825" w:rsidR="00217361" w:rsidRDefault="00217361" w:rsidP="003915D8">
      <w:pPr>
        <w:pStyle w:val="NormalWeb"/>
        <w:spacing w:before="0" w:beforeAutospacing="0" w:after="120" w:afterAutospacing="0"/>
        <w:jc w:val="both"/>
        <w:rPr>
          <w:rFonts w:asciiTheme="majorBidi" w:hAnsiTheme="majorBidi" w:cstheme="majorBidi"/>
          <w:noProof/>
        </w:rPr>
      </w:pPr>
      <w:r>
        <w:rPr>
          <w:rFonts w:asciiTheme="majorBidi" w:hAnsiTheme="majorBidi" w:cstheme="majorBidi"/>
          <w:noProof/>
        </w:rPr>
        <w:t xml:space="preserve">This driver stems from a mix of legal and </w:t>
      </w:r>
      <w:r w:rsidR="30B0E724" w:rsidRPr="12541FB3">
        <w:rPr>
          <w:rFonts w:asciiTheme="majorBidi" w:hAnsiTheme="majorBidi" w:cstheme="majorBidi"/>
          <w:noProof/>
        </w:rPr>
        <w:t xml:space="preserve">practical </w:t>
      </w:r>
      <w:r>
        <w:rPr>
          <w:rFonts w:asciiTheme="majorBidi" w:hAnsiTheme="majorBidi" w:cstheme="majorBidi"/>
          <w:noProof/>
        </w:rPr>
        <w:t>problems</w:t>
      </w:r>
      <w:r w:rsidR="00714BDA">
        <w:rPr>
          <w:rFonts w:asciiTheme="majorBidi" w:hAnsiTheme="majorBidi" w:cstheme="majorBidi"/>
          <w:noProof/>
        </w:rPr>
        <w:t xml:space="preserve">, rooted in the fragmented </w:t>
      </w:r>
      <w:r w:rsidR="14610BED" w:rsidRPr="55055C2F">
        <w:rPr>
          <w:rFonts w:asciiTheme="majorBidi" w:hAnsiTheme="majorBidi" w:cstheme="majorBidi"/>
          <w:noProof/>
        </w:rPr>
        <w:t>implementation</w:t>
      </w:r>
      <w:r w:rsidR="00714BDA" w:rsidRPr="55055C2F">
        <w:rPr>
          <w:rFonts w:asciiTheme="majorBidi" w:hAnsiTheme="majorBidi" w:cstheme="majorBidi"/>
          <w:noProof/>
        </w:rPr>
        <w:t xml:space="preserve"> </w:t>
      </w:r>
      <w:r w:rsidR="00714BDA">
        <w:rPr>
          <w:rFonts w:asciiTheme="majorBidi" w:hAnsiTheme="majorBidi" w:cstheme="majorBidi"/>
          <w:noProof/>
        </w:rPr>
        <w:t>of the EJR</w:t>
      </w:r>
      <w:r w:rsidR="006322B2">
        <w:rPr>
          <w:rFonts w:asciiTheme="majorBidi" w:hAnsiTheme="majorBidi" w:cstheme="majorBidi"/>
          <w:noProof/>
        </w:rPr>
        <w:t xml:space="preserve">, divergent national </w:t>
      </w:r>
      <w:r w:rsidR="00FF36AD">
        <w:rPr>
          <w:rFonts w:asciiTheme="majorBidi" w:hAnsiTheme="majorBidi" w:cstheme="majorBidi"/>
          <w:noProof/>
        </w:rPr>
        <w:t xml:space="preserve">legal frameworks governing </w:t>
      </w:r>
      <w:r w:rsidR="008645D9">
        <w:rPr>
          <w:rFonts w:asciiTheme="majorBidi" w:hAnsiTheme="majorBidi" w:cstheme="majorBidi"/>
          <w:noProof/>
        </w:rPr>
        <w:t>N</w:t>
      </w:r>
      <w:r w:rsidR="00AA32B5">
        <w:rPr>
          <w:rFonts w:asciiTheme="majorBidi" w:hAnsiTheme="majorBidi" w:cstheme="majorBidi"/>
          <w:noProof/>
        </w:rPr>
        <w:t>M</w:t>
      </w:r>
      <w:r w:rsidR="008645D9">
        <w:rPr>
          <w:rFonts w:asciiTheme="majorBidi" w:hAnsiTheme="majorBidi" w:cstheme="majorBidi"/>
          <w:noProof/>
        </w:rPr>
        <w:t>s</w:t>
      </w:r>
      <w:r w:rsidR="005D4155">
        <w:rPr>
          <w:rFonts w:asciiTheme="majorBidi" w:hAnsiTheme="majorBidi" w:cstheme="majorBidi"/>
          <w:noProof/>
        </w:rPr>
        <w:t>, and inconsistent operational practices</w:t>
      </w:r>
      <w:r w:rsidR="00AA32B5">
        <w:rPr>
          <w:rFonts w:asciiTheme="majorBidi" w:hAnsiTheme="majorBidi" w:cstheme="majorBidi"/>
          <w:noProof/>
        </w:rPr>
        <w:t xml:space="preserve"> in case referrals and information sharing. </w:t>
      </w:r>
    </w:p>
    <w:p w14:paraId="4032FFE9" w14:textId="25729DC0" w:rsidR="003915D8" w:rsidRPr="00D4396B" w:rsidRDefault="004947D0" w:rsidP="003915D8">
      <w:pPr>
        <w:pStyle w:val="NormalWeb"/>
        <w:spacing w:before="0" w:beforeAutospacing="0" w:after="120" w:afterAutospacing="0"/>
        <w:jc w:val="both"/>
        <w:rPr>
          <w:rFonts w:asciiTheme="majorBidi" w:hAnsiTheme="majorBidi" w:cstheme="majorBidi"/>
          <w:noProof/>
        </w:rPr>
      </w:pPr>
      <w:r>
        <w:rPr>
          <w:rFonts w:asciiTheme="majorBidi" w:hAnsiTheme="majorBidi" w:cstheme="majorBidi"/>
          <w:noProof/>
        </w:rPr>
        <w:t>When</w:t>
      </w:r>
      <w:r w:rsidR="003915D8" w:rsidRPr="00D4396B">
        <w:rPr>
          <w:rFonts w:asciiTheme="majorBidi" w:hAnsiTheme="majorBidi" w:cstheme="majorBidi"/>
          <w:noProof/>
        </w:rPr>
        <w:t xml:space="preserve"> appoin</w:t>
      </w:r>
      <w:r>
        <w:rPr>
          <w:rFonts w:asciiTheme="majorBidi" w:hAnsiTheme="majorBidi" w:cstheme="majorBidi"/>
          <w:noProof/>
        </w:rPr>
        <w:t>ted</w:t>
      </w:r>
      <w:r w:rsidR="003915D8" w:rsidRPr="00D4396B">
        <w:rPr>
          <w:rFonts w:asciiTheme="majorBidi" w:hAnsiTheme="majorBidi" w:cstheme="majorBidi"/>
          <w:noProof/>
        </w:rPr>
        <w:t xml:space="preserve"> as </w:t>
      </w:r>
      <w:r w:rsidR="003915D8" w:rsidRPr="4E1E378C">
        <w:rPr>
          <w:rFonts w:asciiTheme="majorBidi" w:hAnsiTheme="majorBidi" w:cstheme="majorBidi"/>
          <w:noProof/>
        </w:rPr>
        <w:t>N</w:t>
      </w:r>
      <w:r w:rsidR="0E8622CA" w:rsidRPr="4E1E378C">
        <w:rPr>
          <w:rFonts w:asciiTheme="majorBidi" w:hAnsiTheme="majorBidi" w:cstheme="majorBidi"/>
          <w:noProof/>
        </w:rPr>
        <w:t>M</w:t>
      </w:r>
      <w:r w:rsidR="003915D8" w:rsidRPr="00D4396B">
        <w:rPr>
          <w:rFonts w:asciiTheme="majorBidi" w:hAnsiTheme="majorBidi" w:cstheme="majorBidi"/>
          <w:noProof/>
        </w:rPr>
        <w:t xml:space="preserve">s, the status and powers of the designated officials remain governed by national law. While the implementation of the </w:t>
      </w:r>
      <w:r w:rsidR="003915D8" w:rsidRPr="1A18F055">
        <w:rPr>
          <w:rFonts w:asciiTheme="majorBidi" w:hAnsiTheme="majorBidi" w:cstheme="majorBidi"/>
          <w:noProof/>
        </w:rPr>
        <w:t>E</w:t>
      </w:r>
      <w:r w:rsidR="20CADE07" w:rsidRPr="1A18F055">
        <w:rPr>
          <w:rFonts w:asciiTheme="majorBidi" w:hAnsiTheme="majorBidi" w:cstheme="majorBidi"/>
          <w:noProof/>
        </w:rPr>
        <w:t>JR</w:t>
      </w:r>
      <w:r w:rsidR="003915D8" w:rsidRPr="00D4396B">
        <w:rPr>
          <w:rFonts w:asciiTheme="majorBidi" w:hAnsiTheme="majorBidi" w:cstheme="majorBidi"/>
          <w:noProof/>
        </w:rPr>
        <w:t xml:space="preserve"> has led to </w:t>
      </w:r>
      <w:r w:rsidR="00D515B6">
        <w:rPr>
          <w:rFonts w:asciiTheme="majorBidi" w:hAnsiTheme="majorBidi" w:cstheme="majorBidi"/>
          <w:noProof/>
        </w:rPr>
        <w:t>some harmonisation</w:t>
      </w:r>
      <w:r w:rsidR="003915D8" w:rsidRPr="00D4396B">
        <w:rPr>
          <w:rFonts w:asciiTheme="majorBidi" w:hAnsiTheme="majorBidi" w:cstheme="majorBidi"/>
          <w:noProof/>
        </w:rPr>
        <w:t xml:space="preserve"> of NMs’ </w:t>
      </w:r>
      <w:r w:rsidR="57803A1A" w:rsidRPr="2D099968">
        <w:rPr>
          <w:rFonts w:asciiTheme="majorBidi" w:hAnsiTheme="majorBidi" w:cstheme="majorBidi"/>
          <w:noProof/>
        </w:rPr>
        <w:t xml:space="preserve">judicial </w:t>
      </w:r>
      <w:r w:rsidR="003915D8" w:rsidRPr="00D4396B">
        <w:rPr>
          <w:rFonts w:asciiTheme="majorBidi" w:hAnsiTheme="majorBidi" w:cstheme="majorBidi"/>
          <w:noProof/>
        </w:rPr>
        <w:t>powers,</w:t>
      </w:r>
      <w:r w:rsidR="003915D8" w:rsidRPr="00D4396B">
        <w:rPr>
          <w:rStyle w:val="FootnoteReference"/>
          <w:rFonts w:asciiTheme="majorBidi" w:hAnsiTheme="majorBidi" w:cstheme="majorBidi"/>
          <w:noProof/>
        </w:rPr>
        <w:footnoteReference w:id="47"/>
      </w:r>
      <w:r w:rsidR="003915D8" w:rsidRPr="00D4396B">
        <w:rPr>
          <w:rFonts w:asciiTheme="majorBidi" w:hAnsiTheme="majorBidi" w:cstheme="majorBidi"/>
          <w:noProof/>
        </w:rPr>
        <w:t xml:space="preserve"> differences persist, meaning that NMs from different Member States may be empowered to carry out acts that others are precluded from performing.</w:t>
      </w:r>
      <w:r w:rsidR="003915D8" w:rsidRPr="00D4396B">
        <w:rPr>
          <w:rStyle w:val="FootnoteReference"/>
          <w:rFonts w:asciiTheme="majorBidi" w:hAnsiTheme="majorBidi" w:cstheme="majorBidi"/>
          <w:noProof/>
        </w:rPr>
        <w:footnoteReference w:id="48"/>
      </w:r>
    </w:p>
    <w:p w14:paraId="7F906B60" w14:textId="29C23C36"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rPr>
        <w:t>Under the current framework, Member States may appoint a prosecutor, a judge, or a representative of a judicial authority</w:t>
      </w:r>
      <w:r w:rsidR="004B6D4C">
        <w:rPr>
          <w:rFonts w:asciiTheme="majorBidi" w:hAnsiTheme="majorBidi" w:cstheme="majorBidi"/>
          <w:noProof/>
        </w:rPr>
        <w:t xml:space="preserve"> as NM</w:t>
      </w:r>
      <w:r w:rsidRPr="00D4396B">
        <w:rPr>
          <w:rStyle w:val="FootnoteReference"/>
          <w:rFonts w:asciiTheme="majorBidi" w:hAnsiTheme="majorBidi" w:cstheme="majorBidi"/>
          <w:noProof/>
        </w:rPr>
        <w:footnoteReference w:id="49"/>
      </w:r>
      <w:r w:rsidR="00B46809">
        <w:rPr>
          <w:rFonts w:asciiTheme="majorBidi" w:hAnsiTheme="majorBidi" w:cstheme="majorBidi"/>
          <w:noProof/>
          <w:lang w:val="en-GB"/>
        </w:rPr>
        <w:t xml:space="preserve"> – </w:t>
      </w:r>
      <w:r w:rsidRPr="00D4396B">
        <w:rPr>
          <w:rFonts w:asciiTheme="majorBidi" w:hAnsiTheme="majorBidi" w:cstheme="majorBidi"/>
          <w:noProof/>
          <w:lang w:val="en-GB"/>
        </w:rPr>
        <w:t>a</w:t>
      </w:r>
      <w:r w:rsidRPr="00D4396B">
        <w:rPr>
          <w:rFonts w:asciiTheme="majorBidi" w:hAnsiTheme="majorBidi" w:cstheme="majorBidi"/>
          <w:noProof/>
        </w:rPr>
        <w:t xml:space="preserve"> choice which affect</w:t>
      </w:r>
      <w:r w:rsidR="00AD0345">
        <w:rPr>
          <w:rFonts w:asciiTheme="majorBidi" w:hAnsiTheme="majorBidi" w:cstheme="majorBidi"/>
          <w:noProof/>
        </w:rPr>
        <w:t>s</w:t>
      </w:r>
      <w:r w:rsidRPr="00D4396B">
        <w:rPr>
          <w:rFonts w:asciiTheme="majorBidi" w:hAnsiTheme="majorBidi" w:cstheme="majorBidi"/>
          <w:noProof/>
        </w:rPr>
        <w:t xml:space="preserve"> the scope of powers </w:t>
      </w:r>
      <w:r w:rsidR="002D3FA2">
        <w:rPr>
          <w:rFonts w:asciiTheme="majorBidi" w:hAnsiTheme="majorBidi" w:cstheme="majorBidi"/>
          <w:noProof/>
        </w:rPr>
        <w:t xml:space="preserve">and </w:t>
      </w:r>
      <w:r w:rsidR="003B1DC9">
        <w:rPr>
          <w:rFonts w:asciiTheme="majorBidi" w:hAnsiTheme="majorBidi" w:cstheme="majorBidi"/>
          <w:noProof/>
        </w:rPr>
        <w:t>the handling of cases</w:t>
      </w:r>
      <w:r w:rsidRPr="00D4396B">
        <w:rPr>
          <w:rFonts w:asciiTheme="majorBidi" w:hAnsiTheme="majorBidi" w:cstheme="majorBidi"/>
          <w:noProof/>
        </w:rPr>
        <w:t>. This is particularly evident in the issuance of judicial instruments: some may be issued by a prosecutor, others require an independent judge, while none can be issued by a representative who does not hold the status of an active member of the judiciary.</w:t>
      </w:r>
    </w:p>
    <w:p w14:paraId="62744AFE" w14:textId="30E19ECC"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lang w:val="en-GB"/>
        </w:rPr>
        <w:t xml:space="preserve">Another consequence of differing practices and legal systems is that </w:t>
      </w:r>
      <w:r w:rsidRPr="5C2F0C05">
        <w:rPr>
          <w:rFonts w:asciiTheme="majorBidi" w:hAnsiTheme="majorBidi" w:cstheme="majorBidi"/>
          <w:noProof/>
          <w:lang w:val="en-GB"/>
        </w:rPr>
        <w:t>N</w:t>
      </w:r>
      <w:r w:rsidR="18392C8A" w:rsidRPr="5C2F0C05">
        <w:rPr>
          <w:rFonts w:asciiTheme="majorBidi" w:hAnsiTheme="majorBidi" w:cstheme="majorBidi"/>
          <w:noProof/>
          <w:lang w:val="en-GB"/>
        </w:rPr>
        <w:t>M</w:t>
      </w:r>
      <w:r w:rsidRPr="00D4396B">
        <w:rPr>
          <w:rFonts w:asciiTheme="majorBidi" w:hAnsiTheme="majorBidi" w:cstheme="majorBidi"/>
          <w:noProof/>
          <w:lang w:val="en-GB"/>
        </w:rPr>
        <w:t>s have varying levels of expertise</w:t>
      </w:r>
      <w:r w:rsidR="00C44750">
        <w:rPr>
          <w:rFonts w:asciiTheme="majorBidi" w:hAnsiTheme="majorBidi" w:cstheme="majorBidi"/>
          <w:noProof/>
          <w:lang w:val="en-GB"/>
        </w:rPr>
        <w:t xml:space="preserve"> which</w:t>
      </w:r>
      <w:r w:rsidRPr="00D4396B">
        <w:rPr>
          <w:rFonts w:asciiTheme="majorBidi" w:hAnsiTheme="majorBidi" w:cstheme="majorBidi"/>
          <w:noProof/>
          <w:lang w:val="en-GB"/>
        </w:rPr>
        <w:t xml:space="preserve"> affects </w:t>
      </w:r>
      <w:r w:rsidR="0021179B">
        <w:rPr>
          <w:rFonts w:asciiTheme="majorBidi" w:hAnsiTheme="majorBidi" w:cstheme="majorBidi"/>
          <w:noProof/>
          <w:lang w:val="en-GB"/>
        </w:rPr>
        <w:t>how</w:t>
      </w:r>
      <w:r w:rsidRPr="00D4396B">
        <w:rPr>
          <w:rFonts w:asciiTheme="majorBidi" w:hAnsiTheme="majorBidi" w:cstheme="majorBidi"/>
          <w:noProof/>
          <w:lang w:val="en-GB"/>
        </w:rPr>
        <w:t xml:space="preserve"> administrative tasks</w:t>
      </w:r>
      <w:r w:rsidR="0021179B">
        <w:rPr>
          <w:rFonts w:asciiTheme="majorBidi" w:hAnsiTheme="majorBidi" w:cstheme="majorBidi"/>
          <w:noProof/>
          <w:lang w:val="en-GB"/>
        </w:rPr>
        <w:t xml:space="preserve"> are performed</w:t>
      </w:r>
      <w:r w:rsidRPr="00D4396B">
        <w:rPr>
          <w:rFonts w:asciiTheme="majorBidi" w:hAnsiTheme="majorBidi" w:cstheme="majorBidi"/>
          <w:noProof/>
          <w:lang w:val="en-GB"/>
        </w:rPr>
        <w:t>.</w:t>
      </w:r>
      <w:r w:rsidRPr="00D4396B">
        <w:rPr>
          <w:rStyle w:val="FootnoteReference"/>
          <w:rFonts w:asciiTheme="majorBidi" w:hAnsiTheme="majorBidi" w:cstheme="majorBidi"/>
          <w:noProof/>
          <w:lang w:val="en-GB"/>
        </w:rPr>
        <w:footnoteReference w:id="50"/>
      </w:r>
      <w:r w:rsidRPr="00D4396B">
        <w:rPr>
          <w:rFonts w:asciiTheme="majorBidi" w:hAnsiTheme="majorBidi" w:cstheme="majorBidi"/>
          <w:noProof/>
        </w:rPr>
        <w:t xml:space="preserve"> </w:t>
      </w:r>
    </w:p>
    <w:p w14:paraId="226DDBB3" w14:textId="00C8B597" w:rsidR="003915D8" w:rsidRPr="00D4396B" w:rsidRDefault="004203F1" w:rsidP="003915D8">
      <w:pPr>
        <w:pStyle w:val="NormalWeb"/>
        <w:spacing w:before="0" w:beforeAutospacing="0" w:after="120" w:afterAutospacing="0"/>
        <w:jc w:val="both"/>
        <w:rPr>
          <w:rFonts w:asciiTheme="majorBidi" w:hAnsiTheme="majorBidi" w:cstheme="majorBidi"/>
          <w:noProof/>
        </w:rPr>
      </w:pPr>
      <w:r>
        <w:rPr>
          <w:rFonts w:asciiTheme="majorBidi" w:hAnsiTheme="majorBidi" w:cstheme="majorBidi"/>
          <w:noProof/>
          <w:lang w:val="en-GB"/>
        </w:rPr>
        <w:t>T</w:t>
      </w:r>
      <w:r w:rsidR="003915D8" w:rsidRPr="00D4396B">
        <w:rPr>
          <w:rFonts w:asciiTheme="majorBidi" w:hAnsiTheme="majorBidi" w:cstheme="majorBidi"/>
          <w:noProof/>
          <w:lang w:val="en-GB"/>
        </w:rPr>
        <w:t>hese discrepancies lead to an uneven distribution of added value</w:t>
      </w:r>
      <w:r w:rsidR="009C3AD8">
        <w:rPr>
          <w:rFonts w:asciiTheme="majorBidi" w:hAnsiTheme="majorBidi" w:cstheme="majorBidi"/>
          <w:noProof/>
          <w:lang w:val="en-GB"/>
        </w:rPr>
        <w:t xml:space="preserve"> from the Agency</w:t>
      </w:r>
      <w:r w:rsidR="00F023B6">
        <w:rPr>
          <w:rFonts w:asciiTheme="majorBidi" w:hAnsiTheme="majorBidi" w:cstheme="majorBidi"/>
          <w:noProof/>
          <w:lang w:val="en-GB"/>
        </w:rPr>
        <w:t>’s services</w:t>
      </w:r>
      <w:r w:rsidR="003915D8" w:rsidRPr="00D4396B">
        <w:rPr>
          <w:rFonts w:asciiTheme="majorBidi" w:hAnsiTheme="majorBidi" w:cstheme="majorBidi"/>
          <w:noProof/>
          <w:lang w:val="en-GB"/>
        </w:rPr>
        <w:t xml:space="preserve"> across Member States, with some benefiting more than others.</w:t>
      </w:r>
    </w:p>
    <w:p w14:paraId="6B922B4E" w14:textId="23C38840" w:rsidR="003915D8" w:rsidRPr="00D4396B" w:rsidRDefault="003915D8" w:rsidP="003915D8">
      <w:pPr>
        <w:pStyle w:val="NormalWeb"/>
        <w:spacing w:before="0" w:beforeAutospacing="0" w:after="120" w:afterAutospacing="0"/>
        <w:jc w:val="both"/>
        <w:rPr>
          <w:rFonts w:asciiTheme="majorBidi" w:hAnsiTheme="majorBidi" w:cstheme="majorBidi"/>
          <w:noProof/>
          <w:lang w:val="en-GB"/>
        </w:rPr>
      </w:pPr>
      <w:r w:rsidRPr="00D4396B">
        <w:rPr>
          <w:rFonts w:asciiTheme="majorBidi" w:hAnsiTheme="majorBidi" w:cstheme="majorBidi"/>
          <w:noProof/>
          <w:lang w:val="en-GB"/>
        </w:rPr>
        <w:t xml:space="preserve">Inconsistencies also affect </w:t>
      </w:r>
      <w:r w:rsidR="00B7262C">
        <w:rPr>
          <w:rFonts w:asciiTheme="majorBidi" w:hAnsiTheme="majorBidi" w:cstheme="majorBidi"/>
          <w:noProof/>
          <w:lang w:val="en-GB"/>
        </w:rPr>
        <w:t>the</w:t>
      </w:r>
      <w:r w:rsidRPr="00D4396B">
        <w:rPr>
          <w:rFonts w:asciiTheme="majorBidi" w:hAnsiTheme="majorBidi" w:cstheme="majorBidi"/>
          <w:noProof/>
          <w:lang w:val="en-GB"/>
        </w:rPr>
        <w:t xml:space="preserve"> referral practices</w:t>
      </w:r>
      <w:r w:rsidR="00B7262C">
        <w:rPr>
          <w:rFonts w:asciiTheme="majorBidi" w:hAnsiTheme="majorBidi" w:cstheme="majorBidi"/>
          <w:noProof/>
          <w:lang w:val="en-GB"/>
        </w:rPr>
        <w:t xml:space="preserve"> of Member States</w:t>
      </w:r>
      <w:r w:rsidRPr="00D4396B">
        <w:rPr>
          <w:rFonts w:asciiTheme="majorBidi" w:hAnsiTheme="majorBidi" w:cstheme="majorBidi"/>
          <w:noProof/>
          <w:lang w:val="en-GB"/>
        </w:rPr>
        <w:t xml:space="preserve">, exacerbating problem driver #1. National authorities do not always apply appropriate criteria to distinguish between </w:t>
      </w:r>
      <w:r w:rsidR="00182627">
        <w:rPr>
          <w:rFonts w:asciiTheme="majorBidi" w:hAnsiTheme="majorBidi" w:cstheme="majorBidi"/>
          <w:noProof/>
          <w:lang w:val="en-GB"/>
        </w:rPr>
        <w:t>lower-complexity</w:t>
      </w:r>
      <w:r w:rsidR="00182627" w:rsidRPr="00D4396B">
        <w:rPr>
          <w:rFonts w:asciiTheme="majorBidi" w:hAnsiTheme="majorBidi" w:cstheme="majorBidi"/>
          <w:noProof/>
          <w:lang w:val="en-GB"/>
        </w:rPr>
        <w:t xml:space="preserve"> </w:t>
      </w:r>
      <w:r w:rsidRPr="00D4396B">
        <w:rPr>
          <w:rFonts w:asciiTheme="majorBidi" w:hAnsiTheme="majorBidi" w:cstheme="majorBidi"/>
          <w:noProof/>
          <w:lang w:val="en-GB"/>
        </w:rPr>
        <w:t xml:space="preserve">cases, to be referred to the </w:t>
      </w:r>
      <w:r w:rsidRPr="042F91F2">
        <w:rPr>
          <w:rFonts w:asciiTheme="majorBidi" w:hAnsiTheme="majorBidi" w:cstheme="majorBidi"/>
          <w:noProof/>
          <w:lang w:val="en-GB"/>
        </w:rPr>
        <w:t>E</w:t>
      </w:r>
      <w:r w:rsidR="6B16069A" w:rsidRPr="042F91F2">
        <w:rPr>
          <w:rFonts w:asciiTheme="majorBidi" w:hAnsiTheme="majorBidi" w:cstheme="majorBidi"/>
          <w:noProof/>
          <w:lang w:val="en-GB"/>
        </w:rPr>
        <w:t>JN</w:t>
      </w:r>
      <w:r w:rsidRPr="00D4396B">
        <w:rPr>
          <w:rFonts w:asciiTheme="majorBidi" w:hAnsiTheme="majorBidi" w:cstheme="majorBidi"/>
          <w:noProof/>
          <w:lang w:val="en-GB"/>
        </w:rPr>
        <w:t xml:space="preserve">, and more complex cases requiring Eurojust’s involvement. In some instances, national authorities resort to Eurojust as a “fast track” helpdesk for convenience rather than based on objective needs; in others, they may </w:t>
      </w:r>
      <w:r w:rsidR="00296AC1">
        <w:rPr>
          <w:rFonts w:asciiTheme="majorBidi" w:hAnsiTheme="majorBidi" w:cstheme="majorBidi"/>
          <w:noProof/>
        </w:rPr>
        <w:t>favour</w:t>
      </w:r>
      <w:r w:rsidR="00296AC1" w:rsidRPr="00D4396B">
        <w:rPr>
          <w:rFonts w:asciiTheme="majorBidi" w:hAnsiTheme="majorBidi" w:cstheme="majorBidi"/>
          <w:noProof/>
        </w:rPr>
        <w:t xml:space="preserve"> </w:t>
      </w:r>
      <w:r w:rsidRPr="00D4396B">
        <w:rPr>
          <w:rFonts w:asciiTheme="majorBidi" w:hAnsiTheme="majorBidi" w:cstheme="majorBidi"/>
          <w:noProof/>
        </w:rPr>
        <w:t xml:space="preserve">bilateral cooperation or EJN channels, </w:t>
      </w:r>
      <w:r w:rsidR="00C21329">
        <w:rPr>
          <w:rFonts w:asciiTheme="majorBidi" w:hAnsiTheme="majorBidi" w:cstheme="majorBidi"/>
          <w:noProof/>
        </w:rPr>
        <w:t>underusing</w:t>
      </w:r>
      <w:r w:rsidR="00C21329" w:rsidRPr="00D4396B">
        <w:rPr>
          <w:rFonts w:asciiTheme="majorBidi" w:hAnsiTheme="majorBidi" w:cstheme="majorBidi"/>
          <w:noProof/>
        </w:rPr>
        <w:t xml:space="preserve"> </w:t>
      </w:r>
      <w:r w:rsidRPr="00D4396B">
        <w:rPr>
          <w:rFonts w:asciiTheme="majorBidi" w:hAnsiTheme="majorBidi" w:cstheme="majorBidi"/>
          <w:noProof/>
        </w:rPr>
        <w:t>Eurojust.</w:t>
      </w:r>
      <w:r w:rsidRPr="00D4396B">
        <w:rPr>
          <w:rFonts w:asciiTheme="majorBidi" w:hAnsiTheme="majorBidi" w:cstheme="majorBidi"/>
          <w:noProof/>
          <w:lang w:val="en-GB"/>
        </w:rPr>
        <w:t xml:space="preserve"> Even the Eurojust National Coordination System (ENCS</w:t>
      </w:r>
      <w:r w:rsidRPr="0EF92AAB">
        <w:rPr>
          <w:rFonts w:asciiTheme="majorBidi" w:hAnsiTheme="majorBidi" w:cstheme="majorBidi"/>
          <w:noProof/>
          <w:lang w:val="en-GB"/>
        </w:rPr>
        <w:t>)</w:t>
      </w:r>
      <w:r w:rsidR="00B46809">
        <w:rPr>
          <w:rFonts w:asciiTheme="majorBidi" w:hAnsiTheme="majorBidi" w:cstheme="majorBidi"/>
          <w:noProof/>
          <w:lang w:val="en-GB"/>
        </w:rPr>
        <w:t xml:space="preserve"> – </w:t>
      </w:r>
      <w:r w:rsidRPr="00D4396B">
        <w:rPr>
          <w:rFonts w:asciiTheme="majorBidi" w:hAnsiTheme="majorBidi" w:cstheme="majorBidi"/>
          <w:noProof/>
          <w:lang w:val="en-GB"/>
        </w:rPr>
        <w:t>the national hub responsible for coordination between Eurojust and Member States</w:t>
      </w:r>
      <w:r w:rsidR="00B46809">
        <w:rPr>
          <w:rFonts w:asciiTheme="majorBidi" w:hAnsiTheme="majorBidi" w:cstheme="majorBidi"/>
          <w:noProof/>
          <w:lang w:val="en-GB"/>
        </w:rPr>
        <w:t xml:space="preserve"> – </w:t>
      </w:r>
      <w:r w:rsidRPr="00D4396B">
        <w:rPr>
          <w:rFonts w:asciiTheme="majorBidi" w:hAnsiTheme="majorBidi" w:cstheme="majorBidi"/>
          <w:noProof/>
          <w:lang w:val="en-GB"/>
        </w:rPr>
        <w:t>may lack sufficient authority to effectively enforce such filtering.</w:t>
      </w:r>
      <w:r w:rsidRPr="00D4396B">
        <w:rPr>
          <w:rStyle w:val="FootnoteReference"/>
          <w:rFonts w:asciiTheme="majorBidi" w:hAnsiTheme="majorBidi" w:cstheme="majorBidi"/>
          <w:noProof/>
        </w:rPr>
        <w:footnoteReference w:id="51"/>
      </w:r>
    </w:p>
    <w:p w14:paraId="619441E6" w14:textId="0E7620E0"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rPr>
        <w:t>Finally, information sharing obligations</w:t>
      </w:r>
      <w:r w:rsidR="00BE5B31">
        <w:rPr>
          <w:rFonts w:asciiTheme="majorBidi" w:hAnsiTheme="majorBidi" w:cstheme="majorBidi"/>
          <w:noProof/>
        </w:rPr>
        <w:t xml:space="preserve"> are applied inconsistently</w:t>
      </w:r>
      <w:r w:rsidRPr="00D4396B">
        <w:rPr>
          <w:rFonts w:asciiTheme="majorBidi" w:hAnsiTheme="majorBidi" w:cstheme="majorBidi"/>
          <w:noProof/>
        </w:rPr>
        <w:t xml:space="preserve">. Member States lack a shared understanding of what constitutes serious cross-border crime requiring Eurojust involvement, leading to selective reporting. This reduces the completeness and timeliness of the information shared, </w:t>
      </w:r>
      <w:r w:rsidR="00B445D3">
        <w:rPr>
          <w:rFonts w:asciiTheme="majorBidi" w:hAnsiTheme="majorBidi" w:cstheme="majorBidi"/>
          <w:noProof/>
        </w:rPr>
        <w:t xml:space="preserve">thereby </w:t>
      </w:r>
      <w:r w:rsidRPr="00D4396B">
        <w:rPr>
          <w:rFonts w:asciiTheme="majorBidi" w:hAnsiTheme="majorBidi" w:cstheme="majorBidi"/>
          <w:noProof/>
        </w:rPr>
        <w:t xml:space="preserve">limiting the Agency’s </w:t>
      </w:r>
      <w:r w:rsidR="00B445D3">
        <w:rPr>
          <w:rFonts w:asciiTheme="majorBidi" w:hAnsiTheme="majorBidi" w:cstheme="majorBidi"/>
          <w:noProof/>
        </w:rPr>
        <w:t>ability</w:t>
      </w:r>
      <w:r w:rsidRPr="00D4396B">
        <w:rPr>
          <w:rFonts w:asciiTheme="majorBidi" w:hAnsiTheme="majorBidi" w:cstheme="majorBidi"/>
          <w:noProof/>
        </w:rPr>
        <w:t xml:space="preserve"> to </w:t>
      </w:r>
      <w:r w:rsidR="00B445D3">
        <w:rPr>
          <w:rFonts w:asciiTheme="majorBidi" w:hAnsiTheme="majorBidi" w:cstheme="majorBidi"/>
          <w:noProof/>
        </w:rPr>
        <w:t>gain</w:t>
      </w:r>
      <w:r w:rsidRPr="00D4396B">
        <w:rPr>
          <w:rFonts w:asciiTheme="majorBidi" w:hAnsiTheme="majorBidi" w:cstheme="majorBidi"/>
          <w:noProof/>
        </w:rPr>
        <w:t xml:space="preserve"> an overview of cross-border crime and to intervene proactively.</w:t>
      </w:r>
      <w:r w:rsidRPr="00D4396B">
        <w:rPr>
          <w:rStyle w:val="FootnoteReference"/>
          <w:rFonts w:asciiTheme="majorBidi" w:hAnsiTheme="majorBidi" w:cstheme="majorBidi"/>
          <w:noProof/>
        </w:rPr>
        <w:footnoteReference w:id="52"/>
      </w:r>
    </w:p>
    <w:p w14:paraId="0FB10A6C" w14:textId="77777777"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b/>
          <w:bCs/>
          <w:noProof/>
          <w:u w:val="single"/>
        </w:rPr>
        <w:t>Problem driver #4</w:t>
      </w:r>
      <w:r w:rsidRPr="00D4396B">
        <w:rPr>
          <w:rFonts w:asciiTheme="majorBidi" w:hAnsiTheme="majorBidi" w:cstheme="majorBidi"/>
          <w:noProof/>
        </w:rPr>
        <w:t xml:space="preserve"> concerns </w:t>
      </w:r>
      <w:r w:rsidRPr="00D4396B">
        <w:rPr>
          <w:rFonts w:asciiTheme="majorBidi" w:hAnsiTheme="majorBidi" w:cstheme="majorBidi"/>
          <w:b/>
          <w:bCs/>
          <w:noProof/>
        </w:rPr>
        <w:t>unclear separation between operational and administrative responsibilities</w:t>
      </w:r>
      <w:r w:rsidRPr="00D4396B">
        <w:rPr>
          <w:rFonts w:asciiTheme="majorBidi" w:hAnsiTheme="majorBidi" w:cstheme="majorBidi"/>
          <w:noProof/>
        </w:rPr>
        <w:t>.</w:t>
      </w:r>
    </w:p>
    <w:p w14:paraId="24DB1E24" w14:textId="4CD25133" w:rsidR="004D6152" w:rsidRDefault="00724825" w:rsidP="002808F7">
      <w:pPr>
        <w:pStyle w:val="NormalWeb"/>
        <w:spacing w:before="0" w:beforeAutospacing="0" w:after="120" w:afterAutospacing="0"/>
        <w:jc w:val="both"/>
        <w:rPr>
          <w:rFonts w:asciiTheme="majorBidi" w:hAnsiTheme="majorBidi" w:cstheme="majorBidi"/>
          <w:noProof/>
          <w:lang w:val="en-GB"/>
        </w:rPr>
      </w:pPr>
      <w:r>
        <w:rPr>
          <w:rFonts w:asciiTheme="majorBidi" w:hAnsiTheme="majorBidi" w:cstheme="majorBidi"/>
          <w:noProof/>
          <w:lang w:val="en-GB"/>
        </w:rPr>
        <w:t>This driver stems from a mix of legal ambiguity and implementation challenges</w:t>
      </w:r>
      <w:r w:rsidR="00D74D49">
        <w:rPr>
          <w:rFonts w:asciiTheme="majorBidi" w:hAnsiTheme="majorBidi" w:cstheme="majorBidi"/>
          <w:noProof/>
          <w:lang w:val="en-GB"/>
        </w:rPr>
        <w:t>, primarily arising from divergent interpretations of the EJR.</w:t>
      </w:r>
    </w:p>
    <w:p w14:paraId="38F9FE49" w14:textId="042B47F6" w:rsidR="003915D8" w:rsidRPr="00D4396B" w:rsidRDefault="003915D8" w:rsidP="002808F7">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lang w:val="en-GB"/>
        </w:rPr>
        <w:t xml:space="preserve">Interpretations of </w:t>
      </w:r>
      <w:r w:rsidR="00C978D8">
        <w:rPr>
          <w:rFonts w:asciiTheme="majorBidi" w:hAnsiTheme="majorBidi" w:cstheme="majorBidi"/>
          <w:noProof/>
          <w:lang w:val="en-GB"/>
        </w:rPr>
        <w:t>“</w:t>
      </w:r>
      <w:r w:rsidRPr="00D4396B">
        <w:rPr>
          <w:rFonts w:asciiTheme="majorBidi" w:hAnsiTheme="majorBidi" w:cstheme="majorBidi"/>
          <w:noProof/>
          <w:lang w:val="en-GB"/>
        </w:rPr>
        <w:t>operational</w:t>
      </w:r>
      <w:r w:rsidR="00C978D8">
        <w:rPr>
          <w:rFonts w:asciiTheme="majorBidi" w:hAnsiTheme="majorBidi" w:cstheme="majorBidi"/>
          <w:noProof/>
          <w:lang w:val="en-GB"/>
        </w:rPr>
        <w:t>”</w:t>
      </w:r>
      <w:r w:rsidRPr="00D4396B">
        <w:rPr>
          <w:rFonts w:asciiTheme="majorBidi" w:hAnsiTheme="majorBidi" w:cstheme="majorBidi"/>
          <w:noProof/>
          <w:lang w:val="en-GB"/>
        </w:rPr>
        <w:t xml:space="preserve"> and </w:t>
      </w:r>
      <w:r w:rsidR="00C978D8">
        <w:rPr>
          <w:rFonts w:asciiTheme="majorBidi" w:hAnsiTheme="majorBidi" w:cstheme="majorBidi"/>
          <w:noProof/>
          <w:lang w:val="en-GB"/>
        </w:rPr>
        <w:t>“</w:t>
      </w:r>
      <w:r w:rsidRPr="00D4396B">
        <w:rPr>
          <w:rFonts w:asciiTheme="majorBidi" w:hAnsiTheme="majorBidi" w:cstheme="majorBidi"/>
          <w:noProof/>
          <w:lang w:val="en-GB"/>
        </w:rPr>
        <w:t>administrative</w:t>
      </w:r>
      <w:r w:rsidR="00C978D8">
        <w:rPr>
          <w:rFonts w:asciiTheme="majorBidi" w:hAnsiTheme="majorBidi" w:cstheme="majorBidi"/>
          <w:noProof/>
          <w:lang w:val="en-GB"/>
        </w:rPr>
        <w:t>”</w:t>
      </w:r>
      <w:r w:rsidRPr="00D4396B">
        <w:rPr>
          <w:rFonts w:asciiTheme="majorBidi" w:hAnsiTheme="majorBidi" w:cstheme="majorBidi"/>
          <w:noProof/>
          <w:lang w:val="en-GB"/>
        </w:rPr>
        <w:t xml:space="preserve"> matters under the </w:t>
      </w:r>
      <w:r w:rsidRPr="26D87706">
        <w:rPr>
          <w:rFonts w:asciiTheme="majorBidi" w:hAnsiTheme="majorBidi" w:cstheme="majorBidi"/>
          <w:noProof/>
          <w:lang w:val="en-GB"/>
        </w:rPr>
        <w:t>E</w:t>
      </w:r>
      <w:r w:rsidR="06FC7D52" w:rsidRPr="26D87706">
        <w:rPr>
          <w:rFonts w:asciiTheme="majorBidi" w:hAnsiTheme="majorBidi" w:cstheme="majorBidi"/>
          <w:noProof/>
          <w:lang w:val="en-GB"/>
        </w:rPr>
        <w:t>JR</w:t>
      </w:r>
      <w:r w:rsidR="008B7447">
        <w:rPr>
          <w:rFonts w:asciiTheme="majorBidi" w:hAnsiTheme="majorBidi" w:cstheme="majorBidi"/>
          <w:noProof/>
          <w:lang w:val="en-GB"/>
        </w:rPr>
        <w:t xml:space="preserve"> </w:t>
      </w:r>
      <w:r w:rsidR="00C978D8">
        <w:rPr>
          <w:rFonts w:asciiTheme="majorBidi" w:hAnsiTheme="majorBidi" w:cstheme="majorBidi"/>
          <w:noProof/>
          <w:lang w:val="en-GB"/>
        </w:rPr>
        <w:t>diverge</w:t>
      </w:r>
      <w:r w:rsidRPr="00D4396B">
        <w:rPr>
          <w:rFonts w:asciiTheme="majorBidi" w:hAnsiTheme="majorBidi" w:cstheme="majorBidi"/>
          <w:noProof/>
          <w:lang w:val="en-GB"/>
        </w:rPr>
        <w:t>, with Eurojust’s reading not fully align</w:t>
      </w:r>
      <w:r w:rsidR="00C7499C">
        <w:rPr>
          <w:rFonts w:asciiTheme="majorBidi" w:hAnsiTheme="majorBidi" w:cstheme="majorBidi"/>
          <w:noProof/>
          <w:lang w:val="en-GB"/>
        </w:rPr>
        <w:t>ing</w:t>
      </w:r>
      <w:r w:rsidRPr="00D4396B">
        <w:rPr>
          <w:rFonts w:asciiTheme="majorBidi" w:hAnsiTheme="majorBidi" w:cstheme="majorBidi"/>
          <w:noProof/>
          <w:lang w:val="en-GB"/>
        </w:rPr>
        <w:t xml:space="preserve"> </w:t>
      </w:r>
      <w:r w:rsidRPr="00D4396B">
        <w:rPr>
          <w:rFonts w:asciiTheme="majorBidi" w:hAnsiTheme="majorBidi" w:cstheme="majorBidi"/>
          <w:noProof/>
        </w:rPr>
        <w:t>with the Commission’s institutional position.</w:t>
      </w:r>
      <w:r w:rsidRPr="00D4396B">
        <w:rPr>
          <w:rStyle w:val="FootnoteReference"/>
          <w:rFonts w:asciiTheme="majorBidi" w:hAnsiTheme="majorBidi" w:cstheme="majorBidi"/>
          <w:noProof/>
        </w:rPr>
        <w:footnoteReference w:id="53"/>
      </w:r>
      <w:r w:rsidRPr="00D4396B">
        <w:rPr>
          <w:rFonts w:asciiTheme="majorBidi" w:hAnsiTheme="majorBidi" w:cstheme="majorBidi"/>
          <w:noProof/>
        </w:rPr>
        <w:t xml:space="preserve"> By </w:t>
      </w:r>
      <w:r w:rsidR="00D73A8C">
        <w:rPr>
          <w:rFonts w:asciiTheme="majorBidi" w:hAnsiTheme="majorBidi" w:cstheme="majorBidi"/>
          <w:noProof/>
        </w:rPr>
        <w:t>broadly defining</w:t>
      </w:r>
      <w:r w:rsidRPr="00D4396B">
        <w:rPr>
          <w:rFonts w:asciiTheme="majorBidi" w:hAnsiTheme="majorBidi" w:cstheme="majorBidi"/>
          <w:noProof/>
        </w:rPr>
        <w:t xml:space="preserve"> </w:t>
      </w:r>
      <w:r w:rsidR="00D73A8C">
        <w:rPr>
          <w:rFonts w:asciiTheme="majorBidi" w:hAnsiTheme="majorBidi" w:cstheme="majorBidi"/>
          <w:noProof/>
        </w:rPr>
        <w:t>“</w:t>
      </w:r>
      <w:r w:rsidRPr="00D4396B">
        <w:rPr>
          <w:rFonts w:asciiTheme="majorBidi" w:hAnsiTheme="majorBidi" w:cstheme="majorBidi"/>
          <w:noProof/>
        </w:rPr>
        <w:t>operational</w:t>
      </w:r>
      <w:r w:rsidR="00D73A8C">
        <w:rPr>
          <w:rFonts w:asciiTheme="majorBidi" w:hAnsiTheme="majorBidi" w:cstheme="majorBidi"/>
          <w:noProof/>
        </w:rPr>
        <w:t>”</w:t>
      </w:r>
      <w:r w:rsidRPr="00D4396B">
        <w:rPr>
          <w:rFonts w:asciiTheme="majorBidi" w:hAnsiTheme="majorBidi" w:cstheme="majorBidi"/>
          <w:noProof/>
        </w:rPr>
        <w:t xml:space="preserve"> matters, the College has </w:t>
      </w:r>
      <w:r w:rsidR="00D73A8C">
        <w:rPr>
          <w:rFonts w:asciiTheme="majorBidi" w:hAnsiTheme="majorBidi" w:cstheme="majorBidi"/>
          <w:noProof/>
        </w:rPr>
        <w:t>effectively</w:t>
      </w:r>
      <w:r w:rsidRPr="00D4396B">
        <w:rPr>
          <w:rFonts w:asciiTheme="majorBidi" w:hAnsiTheme="majorBidi" w:cstheme="majorBidi"/>
          <w:noProof/>
        </w:rPr>
        <w:t xml:space="preserve"> retained control over a number of administrative decisions, </w:t>
      </w:r>
      <w:r w:rsidR="00D73A8C">
        <w:rPr>
          <w:rFonts w:asciiTheme="majorBidi" w:hAnsiTheme="majorBidi" w:cstheme="majorBidi"/>
          <w:noProof/>
        </w:rPr>
        <w:t>sidelining</w:t>
      </w:r>
      <w:r w:rsidRPr="00D4396B">
        <w:rPr>
          <w:rFonts w:asciiTheme="majorBidi" w:hAnsiTheme="majorBidi" w:cstheme="majorBidi"/>
          <w:noProof/>
        </w:rPr>
        <w:t xml:space="preserve"> the E</w:t>
      </w:r>
      <w:r w:rsidR="00411ABC">
        <w:rPr>
          <w:rFonts w:asciiTheme="majorBidi" w:hAnsiTheme="majorBidi" w:cstheme="majorBidi"/>
          <w:noProof/>
        </w:rPr>
        <w:t>B</w:t>
      </w:r>
      <w:r w:rsidRPr="00D4396B">
        <w:rPr>
          <w:rFonts w:asciiTheme="majorBidi" w:hAnsiTheme="majorBidi" w:cstheme="majorBidi"/>
          <w:noProof/>
        </w:rPr>
        <w:t xml:space="preserve">, which </w:t>
      </w:r>
      <w:r w:rsidR="00D62476">
        <w:rPr>
          <w:rFonts w:asciiTheme="majorBidi" w:hAnsiTheme="majorBidi" w:cstheme="majorBidi"/>
          <w:noProof/>
        </w:rPr>
        <w:t>now functions largely as</w:t>
      </w:r>
      <w:r w:rsidRPr="00D4396B">
        <w:rPr>
          <w:rFonts w:asciiTheme="majorBidi" w:hAnsiTheme="majorBidi" w:cstheme="majorBidi"/>
          <w:noProof/>
        </w:rPr>
        <w:t xml:space="preserve"> a preparatory body for College meetings.</w:t>
      </w:r>
      <w:r w:rsidR="002808F7">
        <w:rPr>
          <w:rFonts w:asciiTheme="majorBidi" w:hAnsiTheme="majorBidi" w:cstheme="majorBidi"/>
          <w:noProof/>
        </w:rPr>
        <w:t xml:space="preserve"> </w:t>
      </w:r>
      <w:r w:rsidRPr="00D4396B">
        <w:rPr>
          <w:rFonts w:asciiTheme="majorBidi" w:hAnsiTheme="majorBidi" w:cstheme="majorBidi"/>
          <w:noProof/>
        </w:rPr>
        <w:t xml:space="preserve">This is partly due to reluctance </w:t>
      </w:r>
      <w:r w:rsidR="004742E1">
        <w:rPr>
          <w:rFonts w:asciiTheme="majorBidi" w:hAnsiTheme="majorBidi" w:cstheme="majorBidi"/>
          <w:noProof/>
        </w:rPr>
        <w:t>from</w:t>
      </w:r>
      <w:r w:rsidR="004742E1" w:rsidRPr="00D4396B">
        <w:rPr>
          <w:rFonts w:asciiTheme="majorBidi" w:hAnsiTheme="majorBidi" w:cstheme="majorBidi"/>
          <w:noProof/>
        </w:rPr>
        <w:t xml:space="preserve"> </w:t>
      </w:r>
      <w:r w:rsidRPr="00D4396B">
        <w:rPr>
          <w:rFonts w:asciiTheme="majorBidi" w:hAnsiTheme="majorBidi" w:cstheme="majorBidi"/>
          <w:noProof/>
        </w:rPr>
        <w:t xml:space="preserve">NMs to delegate administrative authority, </w:t>
      </w:r>
      <w:r w:rsidR="004742E1">
        <w:rPr>
          <w:rFonts w:asciiTheme="majorBidi" w:hAnsiTheme="majorBidi" w:cstheme="majorBidi"/>
          <w:noProof/>
        </w:rPr>
        <w:t>fearing it may compromise</w:t>
      </w:r>
      <w:r w:rsidRPr="00D4396B">
        <w:rPr>
          <w:rFonts w:asciiTheme="majorBidi" w:hAnsiTheme="majorBidi" w:cstheme="majorBidi"/>
          <w:noProof/>
        </w:rPr>
        <w:t xml:space="preserve"> operational autonomy or prosecutorial independence.</w:t>
      </w:r>
      <w:r w:rsidRPr="00D4396B">
        <w:rPr>
          <w:rStyle w:val="FootnoteReference"/>
          <w:rFonts w:asciiTheme="majorBidi" w:hAnsiTheme="majorBidi" w:cstheme="majorBidi"/>
          <w:noProof/>
        </w:rPr>
        <w:footnoteReference w:id="54"/>
      </w:r>
    </w:p>
    <w:p w14:paraId="699CF768" w14:textId="77777777" w:rsidR="003915D8" w:rsidRPr="00D4396B" w:rsidRDefault="003915D8" w:rsidP="003915D8">
      <w:pPr>
        <w:pStyle w:val="NormalWeb"/>
        <w:spacing w:before="0" w:beforeAutospacing="0" w:after="120" w:afterAutospacing="0"/>
        <w:jc w:val="both"/>
        <w:rPr>
          <w:rStyle w:val="Strong"/>
          <w:rFonts w:asciiTheme="majorBidi" w:hAnsiTheme="majorBidi" w:cstheme="majorBidi"/>
          <w:noProof/>
        </w:rPr>
      </w:pPr>
      <w:r w:rsidRPr="00D4396B">
        <w:rPr>
          <w:rFonts w:asciiTheme="majorBidi" w:hAnsiTheme="majorBidi" w:cstheme="majorBidi"/>
          <w:noProof/>
        </w:rPr>
        <w:t>The blurring of operational and administrative roles contributes to lengthy decision-making processes and high administrative burden for NMs, who currently spend around 40-50% of their time on administrative work, at the expense of operational work.</w:t>
      </w:r>
      <w:r w:rsidRPr="00D4396B">
        <w:rPr>
          <w:rStyle w:val="FootnoteReference"/>
          <w:rFonts w:asciiTheme="majorBidi" w:hAnsiTheme="majorBidi" w:cstheme="majorBidi"/>
          <w:noProof/>
        </w:rPr>
        <w:footnoteReference w:id="55"/>
      </w:r>
    </w:p>
    <w:p w14:paraId="45CC3629" w14:textId="31CBBB81" w:rsidR="003915D8" w:rsidRPr="00D4396B" w:rsidRDefault="003915D8" w:rsidP="003915D8">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b/>
          <w:bCs/>
          <w:noProof/>
          <w:u w:val="single"/>
        </w:rPr>
        <w:t>Problem driver #5</w:t>
      </w:r>
      <w:r w:rsidRPr="00D4396B">
        <w:rPr>
          <w:rFonts w:asciiTheme="majorBidi" w:hAnsiTheme="majorBidi" w:cstheme="majorBidi"/>
          <w:noProof/>
        </w:rPr>
        <w:t xml:space="preserve"> concerns the</w:t>
      </w:r>
      <w:r w:rsidRPr="00D4396B">
        <w:rPr>
          <w:rFonts w:asciiTheme="majorBidi" w:hAnsiTheme="majorBidi" w:cstheme="majorBidi"/>
          <w:b/>
          <w:bCs/>
          <w:noProof/>
        </w:rPr>
        <w:t xml:space="preserve"> complex governance structure and legacy organisational culture that adversely impact decision-making</w:t>
      </w:r>
      <w:r w:rsidRPr="00D4396B">
        <w:rPr>
          <w:rFonts w:asciiTheme="majorBidi" w:hAnsiTheme="majorBidi" w:cstheme="majorBidi"/>
          <w:noProof/>
        </w:rPr>
        <w:t>.</w:t>
      </w:r>
    </w:p>
    <w:p w14:paraId="47DEC3FF" w14:textId="3769866A" w:rsidR="00471777" w:rsidRDefault="00471777" w:rsidP="003915D8">
      <w:pPr>
        <w:pStyle w:val="NormalWeb"/>
        <w:spacing w:before="0" w:beforeAutospacing="0" w:after="120" w:afterAutospacing="0"/>
        <w:jc w:val="both"/>
        <w:rPr>
          <w:rFonts w:asciiTheme="majorBidi" w:hAnsiTheme="majorBidi" w:cstheme="majorBidi"/>
          <w:noProof/>
          <w:lang w:val="en-GB"/>
        </w:rPr>
      </w:pPr>
      <w:r>
        <w:rPr>
          <w:rFonts w:asciiTheme="majorBidi" w:hAnsiTheme="majorBidi" w:cstheme="majorBidi"/>
          <w:noProof/>
          <w:lang w:val="en-GB"/>
        </w:rPr>
        <w:t xml:space="preserve">This driver </w:t>
      </w:r>
      <w:r w:rsidR="007A5B00">
        <w:rPr>
          <w:rFonts w:asciiTheme="majorBidi" w:hAnsiTheme="majorBidi" w:cstheme="majorBidi"/>
          <w:noProof/>
          <w:lang w:val="en-GB"/>
        </w:rPr>
        <w:t xml:space="preserve">stems primarily from implementation </w:t>
      </w:r>
      <w:r w:rsidR="00507703">
        <w:rPr>
          <w:rFonts w:asciiTheme="majorBidi" w:hAnsiTheme="majorBidi" w:cstheme="majorBidi"/>
          <w:noProof/>
          <w:lang w:val="en-GB"/>
        </w:rPr>
        <w:t>problems</w:t>
      </w:r>
      <w:r w:rsidR="00F67F87">
        <w:rPr>
          <w:rFonts w:asciiTheme="majorBidi" w:hAnsiTheme="majorBidi" w:cstheme="majorBidi"/>
          <w:noProof/>
          <w:lang w:val="en-GB"/>
        </w:rPr>
        <w:t xml:space="preserve">. However, the lack of clear legal mandates for roles </w:t>
      </w:r>
      <w:r w:rsidR="009741A1">
        <w:rPr>
          <w:rFonts w:asciiTheme="majorBidi" w:hAnsiTheme="majorBidi" w:cstheme="majorBidi"/>
          <w:noProof/>
          <w:lang w:val="en-GB"/>
        </w:rPr>
        <w:t>intensifies</w:t>
      </w:r>
      <w:r w:rsidR="00F67F87">
        <w:rPr>
          <w:rFonts w:asciiTheme="majorBidi" w:hAnsiTheme="majorBidi" w:cstheme="majorBidi"/>
          <w:noProof/>
          <w:lang w:val="en-GB"/>
        </w:rPr>
        <w:t xml:space="preserve"> these </w:t>
      </w:r>
      <w:r w:rsidR="006F2225">
        <w:rPr>
          <w:rFonts w:asciiTheme="majorBidi" w:hAnsiTheme="majorBidi" w:cstheme="majorBidi"/>
          <w:noProof/>
          <w:lang w:val="en-GB"/>
        </w:rPr>
        <w:t>challenges</w:t>
      </w:r>
      <w:r w:rsidR="00F67F87">
        <w:rPr>
          <w:rFonts w:asciiTheme="majorBidi" w:hAnsiTheme="majorBidi" w:cstheme="majorBidi"/>
          <w:noProof/>
          <w:lang w:val="en-GB"/>
        </w:rPr>
        <w:t xml:space="preserve">. </w:t>
      </w:r>
    </w:p>
    <w:p w14:paraId="46469384" w14:textId="0BEB4883" w:rsidR="003915D8" w:rsidRPr="00D4396B" w:rsidRDefault="003915D8" w:rsidP="003915D8">
      <w:pPr>
        <w:pStyle w:val="NormalWeb"/>
        <w:spacing w:before="0" w:beforeAutospacing="0" w:after="120" w:afterAutospacing="0"/>
        <w:jc w:val="both"/>
        <w:rPr>
          <w:rFonts w:asciiTheme="majorBidi" w:hAnsiTheme="majorBidi" w:cstheme="majorBidi"/>
          <w:noProof/>
          <w:lang w:val="en-GB"/>
        </w:rPr>
      </w:pPr>
      <w:r w:rsidRPr="00D4396B">
        <w:rPr>
          <w:rFonts w:asciiTheme="majorBidi" w:hAnsiTheme="majorBidi" w:cstheme="majorBidi"/>
          <w:noProof/>
          <w:lang w:val="en-GB"/>
        </w:rPr>
        <w:t>Eurojust’s governance is distributed across the College, the E</w:t>
      </w:r>
      <w:r w:rsidR="00411ABC">
        <w:rPr>
          <w:rFonts w:asciiTheme="majorBidi" w:hAnsiTheme="majorBidi" w:cstheme="majorBidi"/>
          <w:noProof/>
          <w:lang w:val="en-GB"/>
        </w:rPr>
        <w:t>B</w:t>
      </w:r>
      <w:r w:rsidRPr="00D4396B">
        <w:rPr>
          <w:rFonts w:asciiTheme="majorBidi" w:hAnsiTheme="majorBidi" w:cstheme="majorBidi"/>
          <w:noProof/>
          <w:lang w:val="en-GB"/>
        </w:rPr>
        <w:t xml:space="preserve">, College Working Groups and the Administration, which </w:t>
      </w:r>
      <w:r w:rsidR="00F36F62">
        <w:rPr>
          <w:rFonts w:asciiTheme="majorBidi" w:hAnsiTheme="majorBidi" w:cstheme="majorBidi"/>
          <w:noProof/>
          <w:lang w:val="en-GB"/>
        </w:rPr>
        <w:t>can lead to misaligned priorities</w:t>
      </w:r>
      <w:r w:rsidRPr="00D4396B">
        <w:rPr>
          <w:rFonts w:asciiTheme="majorBidi" w:hAnsiTheme="majorBidi" w:cstheme="majorBidi"/>
          <w:noProof/>
          <w:lang w:val="en-GB"/>
        </w:rPr>
        <w:t>.</w:t>
      </w:r>
    </w:p>
    <w:p w14:paraId="456B87EE" w14:textId="280F2C1A" w:rsidR="003915D8" w:rsidRPr="00D4396B" w:rsidRDefault="003915D8" w:rsidP="00470D32">
      <w:pPr>
        <w:pStyle w:val="NormalWeb"/>
        <w:spacing w:before="0" w:beforeAutospacing="0" w:after="120" w:afterAutospacing="0"/>
        <w:jc w:val="both"/>
        <w:rPr>
          <w:rStyle w:val="Strong"/>
          <w:rFonts w:asciiTheme="majorBidi" w:hAnsiTheme="majorBidi" w:cstheme="majorBidi"/>
          <w:noProof/>
        </w:rPr>
      </w:pPr>
      <w:r w:rsidRPr="00D4396B">
        <w:rPr>
          <w:rFonts w:asciiTheme="majorBidi" w:hAnsiTheme="majorBidi" w:cstheme="majorBidi"/>
          <w:noProof/>
        </w:rPr>
        <w:t>The College</w:t>
      </w:r>
      <w:r w:rsidR="001C0FB2">
        <w:rPr>
          <w:rFonts w:asciiTheme="majorBidi" w:hAnsiTheme="majorBidi" w:cstheme="majorBidi"/>
          <w:noProof/>
        </w:rPr>
        <w:t xml:space="preserve"> informally </w:t>
      </w:r>
      <w:r w:rsidR="00A766A2">
        <w:rPr>
          <w:rFonts w:asciiTheme="majorBidi" w:hAnsiTheme="majorBidi" w:cstheme="majorBidi"/>
          <w:noProof/>
        </w:rPr>
        <w:t>shapes</w:t>
      </w:r>
      <w:r w:rsidR="001C0FB2">
        <w:rPr>
          <w:rFonts w:asciiTheme="majorBidi" w:hAnsiTheme="majorBidi" w:cstheme="majorBidi"/>
          <w:noProof/>
        </w:rPr>
        <w:t xml:space="preserve"> strategy</w:t>
      </w:r>
      <w:r w:rsidRPr="00D4396B">
        <w:rPr>
          <w:rFonts w:asciiTheme="majorBidi" w:hAnsiTheme="majorBidi" w:cstheme="majorBidi"/>
          <w:noProof/>
        </w:rPr>
        <w:t xml:space="preserve">, </w:t>
      </w:r>
      <w:r w:rsidR="00047A34">
        <w:rPr>
          <w:rFonts w:asciiTheme="majorBidi" w:hAnsiTheme="majorBidi" w:cstheme="majorBidi"/>
          <w:noProof/>
        </w:rPr>
        <w:t>overlapping with</w:t>
      </w:r>
      <w:r w:rsidRPr="00D4396B">
        <w:rPr>
          <w:rFonts w:asciiTheme="majorBidi" w:hAnsiTheme="majorBidi" w:cstheme="majorBidi"/>
          <w:noProof/>
        </w:rPr>
        <w:t xml:space="preserve"> responsibilities of the E</w:t>
      </w:r>
      <w:r w:rsidR="00411ABC">
        <w:rPr>
          <w:rFonts w:asciiTheme="majorBidi" w:hAnsiTheme="majorBidi" w:cstheme="majorBidi"/>
          <w:noProof/>
        </w:rPr>
        <w:t>B</w:t>
      </w:r>
      <w:r w:rsidRPr="00D4396B">
        <w:rPr>
          <w:rFonts w:asciiTheme="majorBidi" w:hAnsiTheme="majorBidi" w:cstheme="majorBidi"/>
          <w:noProof/>
        </w:rPr>
        <w:t xml:space="preserve">, while the </w:t>
      </w:r>
      <w:r w:rsidRPr="62C0B135">
        <w:rPr>
          <w:rFonts w:asciiTheme="majorBidi" w:hAnsiTheme="majorBidi" w:cstheme="majorBidi"/>
          <w:noProof/>
        </w:rPr>
        <w:t>A</w:t>
      </w:r>
      <w:r w:rsidR="23D8DFF6" w:rsidRPr="62C0B135">
        <w:rPr>
          <w:rFonts w:asciiTheme="majorBidi" w:hAnsiTheme="majorBidi" w:cstheme="majorBidi"/>
          <w:noProof/>
        </w:rPr>
        <w:t>D</w:t>
      </w:r>
      <w:r w:rsidRPr="00D4396B">
        <w:rPr>
          <w:rFonts w:asciiTheme="majorBidi" w:hAnsiTheme="majorBidi" w:cstheme="majorBidi"/>
          <w:noProof/>
        </w:rPr>
        <w:t xml:space="preserve"> holds formal responsibility for planning and implementation.</w:t>
      </w:r>
      <w:r w:rsidRPr="00D4396B">
        <w:rPr>
          <w:rStyle w:val="FootnoteReference"/>
          <w:rFonts w:asciiTheme="majorBidi" w:hAnsiTheme="majorBidi" w:cstheme="majorBidi"/>
          <w:noProof/>
        </w:rPr>
        <w:footnoteReference w:id="56"/>
      </w:r>
      <w:r w:rsidRPr="00D4396B">
        <w:rPr>
          <w:rFonts w:asciiTheme="majorBidi" w:hAnsiTheme="majorBidi" w:cstheme="majorBidi"/>
          <w:noProof/>
        </w:rPr>
        <w:t xml:space="preserve"> College Working Groups play a role in shaping strategic planning through their influence rooted in legacy practices.</w:t>
      </w:r>
      <w:r w:rsidR="00470D32">
        <w:rPr>
          <w:rFonts w:asciiTheme="majorBidi" w:hAnsiTheme="majorBidi" w:cstheme="majorBidi"/>
          <w:noProof/>
        </w:rPr>
        <w:t xml:space="preserve"> </w:t>
      </w:r>
      <w:r w:rsidRPr="00D4396B">
        <w:rPr>
          <w:rFonts w:asciiTheme="majorBidi" w:hAnsiTheme="majorBidi" w:cstheme="majorBidi"/>
          <w:noProof/>
        </w:rPr>
        <w:t>This undermines coherent</w:t>
      </w:r>
      <w:r w:rsidR="00835CB1">
        <w:rPr>
          <w:rFonts w:asciiTheme="majorBidi" w:hAnsiTheme="majorBidi" w:cstheme="majorBidi"/>
          <w:noProof/>
        </w:rPr>
        <w:t xml:space="preserve"> </w:t>
      </w:r>
      <w:r w:rsidR="00FA2969">
        <w:rPr>
          <w:rFonts w:asciiTheme="majorBidi" w:hAnsiTheme="majorBidi" w:cstheme="majorBidi"/>
          <w:noProof/>
        </w:rPr>
        <w:t>governance</w:t>
      </w:r>
      <w:r w:rsidRPr="00D4396B">
        <w:rPr>
          <w:rFonts w:asciiTheme="majorBidi" w:hAnsiTheme="majorBidi" w:cstheme="majorBidi"/>
          <w:noProof/>
        </w:rPr>
        <w:t xml:space="preserve"> and</w:t>
      </w:r>
      <w:r w:rsidR="00FA2969">
        <w:rPr>
          <w:rFonts w:asciiTheme="majorBidi" w:hAnsiTheme="majorBidi" w:cstheme="majorBidi"/>
          <w:noProof/>
        </w:rPr>
        <w:t xml:space="preserve"> dilutes</w:t>
      </w:r>
      <w:r w:rsidRPr="00D4396B">
        <w:rPr>
          <w:rFonts w:asciiTheme="majorBidi" w:hAnsiTheme="majorBidi" w:cstheme="majorBidi"/>
          <w:noProof/>
        </w:rPr>
        <w:t xml:space="preserve"> accountability.</w:t>
      </w:r>
      <w:r w:rsidRPr="00D4396B">
        <w:rPr>
          <w:rStyle w:val="FootnoteReference"/>
          <w:rFonts w:asciiTheme="majorBidi" w:hAnsiTheme="majorBidi" w:cstheme="majorBidi"/>
          <w:noProof/>
        </w:rPr>
        <w:footnoteReference w:id="57"/>
      </w:r>
      <w:r w:rsidRPr="1C757EE0">
        <w:rPr>
          <w:rFonts w:eastAsiaTheme="minorEastAsia"/>
          <w:noProof/>
          <w:lang w:val="en-GB" w:eastAsia="en-US"/>
        </w:rPr>
        <w:t xml:space="preserve"> </w:t>
      </w:r>
      <w:r w:rsidRPr="00D4396B">
        <w:rPr>
          <w:rFonts w:asciiTheme="majorBidi" w:hAnsiTheme="majorBidi" w:cstheme="majorBidi"/>
          <w:noProof/>
          <w:lang w:val="en-GB"/>
        </w:rPr>
        <w:t xml:space="preserve">Despite </w:t>
      </w:r>
      <w:r w:rsidR="00E86E91">
        <w:rPr>
          <w:rFonts w:asciiTheme="majorBidi" w:hAnsiTheme="majorBidi" w:cstheme="majorBidi"/>
          <w:noProof/>
          <w:lang w:val="en-GB"/>
        </w:rPr>
        <w:t>raising</w:t>
      </w:r>
      <w:r w:rsidRPr="00D4396B">
        <w:rPr>
          <w:rFonts w:asciiTheme="majorBidi" w:hAnsiTheme="majorBidi" w:cstheme="majorBidi"/>
          <w:noProof/>
          <w:lang w:val="en-GB"/>
        </w:rPr>
        <w:t xml:space="preserve"> the issue and </w:t>
      </w:r>
      <w:r w:rsidR="00D84C69">
        <w:rPr>
          <w:rFonts w:asciiTheme="majorBidi" w:hAnsiTheme="majorBidi" w:cstheme="majorBidi"/>
          <w:noProof/>
          <w:lang w:val="en-GB"/>
        </w:rPr>
        <w:t>pushing</w:t>
      </w:r>
      <w:r w:rsidR="00D84C69" w:rsidRPr="00D4396B">
        <w:rPr>
          <w:rFonts w:asciiTheme="majorBidi" w:hAnsiTheme="majorBidi" w:cstheme="majorBidi"/>
          <w:noProof/>
          <w:lang w:val="en-GB"/>
        </w:rPr>
        <w:t xml:space="preserve"> </w:t>
      </w:r>
      <w:r w:rsidRPr="00D4396B">
        <w:rPr>
          <w:rFonts w:asciiTheme="majorBidi" w:hAnsiTheme="majorBidi" w:cstheme="majorBidi"/>
          <w:noProof/>
          <w:lang w:val="en-GB"/>
        </w:rPr>
        <w:t xml:space="preserve">for </w:t>
      </w:r>
      <w:r w:rsidR="00411ABC">
        <w:rPr>
          <w:rFonts w:asciiTheme="majorBidi" w:hAnsiTheme="majorBidi" w:cstheme="majorBidi"/>
          <w:noProof/>
          <w:lang w:val="en-GB"/>
        </w:rPr>
        <w:t>changes</w:t>
      </w:r>
      <w:r w:rsidR="00900328">
        <w:rPr>
          <w:rFonts w:asciiTheme="majorBidi" w:hAnsiTheme="majorBidi" w:cstheme="majorBidi"/>
          <w:noProof/>
          <w:lang w:val="en-GB"/>
        </w:rPr>
        <w:t>,</w:t>
      </w:r>
      <w:r w:rsidRPr="00D4396B">
        <w:rPr>
          <w:rFonts w:asciiTheme="majorBidi" w:hAnsiTheme="majorBidi" w:cstheme="majorBidi"/>
          <w:noProof/>
          <w:lang w:val="en-GB"/>
        </w:rPr>
        <w:t xml:space="preserve"> the Commission</w:t>
      </w:r>
      <w:r w:rsidR="00411ABC">
        <w:rPr>
          <w:rFonts w:asciiTheme="majorBidi" w:hAnsiTheme="majorBidi" w:cstheme="majorBidi"/>
          <w:noProof/>
          <w:lang w:val="en-GB"/>
        </w:rPr>
        <w:t>,</w:t>
      </w:r>
      <w:r w:rsidR="00D84C69">
        <w:rPr>
          <w:rFonts w:asciiTheme="majorBidi" w:hAnsiTheme="majorBidi" w:cstheme="majorBidi"/>
          <w:noProof/>
          <w:lang w:val="en-GB"/>
        </w:rPr>
        <w:t xml:space="preserve"> </w:t>
      </w:r>
      <w:r w:rsidR="00D84C69" w:rsidRPr="00D4396B">
        <w:rPr>
          <w:rFonts w:asciiTheme="majorBidi" w:hAnsiTheme="majorBidi" w:cstheme="majorBidi"/>
          <w:noProof/>
          <w:lang w:val="en-GB"/>
        </w:rPr>
        <w:t xml:space="preserve">in its role as a member of the </w:t>
      </w:r>
      <w:r w:rsidR="00411ABC">
        <w:rPr>
          <w:rFonts w:asciiTheme="majorBidi" w:hAnsiTheme="majorBidi" w:cstheme="majorBidi"/>
          <w:noProof/>
          <w:lang w:val="en-GB"/>
        </w:rPr>
        <w:t>EB</w:t>
      </w:r>
      <w:r w:rsidR="00D84C69" w:rsidRPr="00D4396B">
        <w:rPr>
          <w:rFonts w:asciiTheme="majorBidi" w:hAnsiTheme="majorBidi" w:cstheme="majorBidi"/>
          <w:noProof/>
          <w:lang w:val="en-GB"/>
        </w:rPr>
        <w:t xml:space="preserve"> and within the College, </w:t>
      </w:r>
      <w:r w:rsidRPr="00D4396B">
        <w:rPr>
          <w:rFonts w:asciiTheme="majorBidi" w:hAnsiTheme="majorBidi" w:cstheme="majorBidi"/>
          <w:noProof/>
          <w:lang w:val="en-GB"/>
        </w:rPr>
        <w:t xml:space="preserve">has not been </w:t>
      </w:r>
      <w:r w:rsidR="00900328">
        <w:rPr>
          <w:rFonts w:asciiTheme="majorBidi" w:hAnsiTheme="majorBidi" w:cstheme="majorBidi"/>
          <w:noProof/>
          <w:lang w:val="en-GB"/>
        </w:rPr>
        <w:t>able to effect reform</w:t>
      </w:r>
      <w:r w:rsidRPr="00D4396B">
        <w:rPr>
          <w:rFonts w:asciiTheme="majorBidi" w:hAnsiTheme="majorBidi" w:cstheme="majorBidi"/>
          <w:noProof/>
          <w:lang w:val="en-GB"/>
        </w:rPr>
        <w:t>.</w:t>
      </w:r>
      <w:r w:rsidRPr="00D4396B">
        <w:rPr>
          <w:rStyle w:val="FootnoteReference"/>
          <w:rFonts w:asciiTheme="majorBidi" w:hAnsiTheme="majorBidi" w:cstheme="majorBidi"/>
          <w:noProof/>
        </w:rPr>
        <w:footnoteReference w:id="58"/>
      </w:r>
    </w:p>
    <w:p w14:paraId="45CD2425" w14:textId="7EBC364B" w:rsidR="00A63B53" w:rsidRPr="00083455" w:rsidRDefault="003915D8" w:rsidP="00083455">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rPr>
        <w:t xml:space="preserve">Governance inefficiencies </w:t>
      </w:r>
      <w:r w:rsidR="00A867B5">
        <w:rPr>
          <w:rFonts w:asciiTheme="majorBidi" w:hAnsiTheme="majorBidi" w:cstheme="majorBidi"/>
          <w:noProof/>
        </w:rPr>
        <w:t xml:space="preserve">are </w:t>
      </w:r>
      <w:r w:rsidRPr="00D4396B">
        <w:rPr>
          <w:rFonts w:asciiTheme="majorBidi" w:hAnsiTheme="majorBidi" w:cstheme="majorBidi"/>
          <w:noProof/>
        </w:rPr>
        <w:t>also</w:t>
      </w:r>
      <w:r w:rsidR="009F3EE8">
        <w:rPr>
          <w:rFonts w:asciiTheme="majorBidi" w:hAnsiTheme="majorBidi" w:cstheme="majorBidi"/>
          <w:noProof/>
        </w:rPr>
        <w:t xml:space="preserve"> </w:t>
      </w:r>
      <w:r w:rsidR="00131A71">
        <w:rPr>
          <w:rFonts w:asciiTheme="majorBidi" w:hAnsiTheme="majorBidi" w:cstheme="majorBidi"/>
          <w:noProof/>
        </w:rPr>
        <w:t xml:space="preserve">rooted in </w:t>
      </w:r>
      <w:r w:rsidR="00131A71" w:rsidRPr="00F87305">
        <w:rPr>
          <w:rFonts w:asciiTheme="majorBidi" w:hAnsiTheme="majorBidi" w:cstheme="majorBidi"/>
          <w:noProof/>
        </w:rPr>
        <w:t>a</w:t>
      </w:r>
      <w:r w:rsidRPr="00F87305">
        <w:rPr>
          <w:rFonts w:asciiTheme="majorBidi" w:hAnsiTheme="majorBidi" w:cstheme="majorBidi"/>
          <w:noProof/>
        </w:rPr>
        <w:t xml:space="preserve"> </w:t>
      </w:r>
      <w:r w:rsidRPr="005C1AB2">
        <w:rPr>
          <w:rFonts w:asciiTheme="majorBidi" w:hAnsiTheme="majorBidi" w:cstheme="majorBidi"/>
          <w:noProof/>
        </w:rPr>
        <w:t>legacy culture</w:t>
      </w:r>
      <w:r w:rsidRPr="00F87305">
        <w:rPr>
          <w:rFonts w:asciiTheme="majorBidi" w:hAnsiTheme="majorBidi" w:cstheme="majorBidi"/>
          <w:noProof/>
        </w:rPr>
        <w:t xml:space="preserve">. </w:t>
      </w:r>
      <w:r w:rsidRPr="00F87305">
        <w:rPr>
          <w:rFonts w:asciiTheme="majorBidi" w:hAnsiTheme="majorBidi" w:cstheme="majorBidi"/>
          <w:noProof/>
          <w:lang w:val="en-GB"/>
        </w:rPr>
        <w:t>Established</w:t>
      </w:r>
      <w:r w:rsidRPr="00D4396B">
        <w:rPr>
          <w:rFonts w:asciiTheme="majorBidi" w:hAnsiTheme="majorBidi" w:cstheme="majorBidi"/>
          <w:noProof/>
          <w:lang w:val="en-GB"/>
        </w:rPr>
        <w:t xml:space="preserve"> practices and institutional culture </w:t>
      </w:r>
      <w:r w:rsidR="00AD208B">
        <w:rPr>
          <w:rFonts w:asciiTheme="majorBidi" w:hAnsiTheme="majorBidi" w:cstheme="majorBidi"/>
          <w:noProof/>
          <w:lang w:val="en-GB"/>
        </w:rPr>
        <w:t>preserve pre-EJR</w:t>
      </w:r>
      <w:r w:rsidR="00AD208B" w:rsidRPr="00D4396B">
        <w:rPr>
          <w:rFonts w:asciiTheme="majorBidi" w:hAnsiTheme="majorBidi" w:cstheme="majorBidi"/>
          <w:noProof/>
          <w:lang w:val="en-GB"/>
        </w:rPr>
        <w:t xml:space="preserve"> </w:t>
      </w:r>
      <w:r w:rsidRPr="00D4396B">
        <w:rPr>
          <w:rFonts w:asciiTheme="majorBidi" w:hAnsiTheme="majorBidi" w:cstheme="majorBidi"/>
          <w:noProof/>
          <w:lang w:val="en-GB"/>
        </w:rPr>
        <w:t xml:space="preserve">working methods, </w:t>
      </w:r>
      <w:r w:rsidR="00412359">
        <w:rPr>
          <w:rFonts w:asciiTheme="majorBidi" w:hAnsiTheme="majorBidi" w:cstheme="majorBidi"/>
          <w:noProof/>
          <w:lang w:val="en-GB"/>
        </w:rPr>
        <w:t>like consensus-based</w:t>
      </w:r>
      <w:r w:rsidRPr="00D4396B">
        <w:rPr>
          <w:rFonts w:asciiTheme="majorBidi" w:hAnsiTheme="majorBidi" w:cstheme="majorBidi"/>
          <w:noProof/>
          <w:lang w:val="en-GB"/>
        </w:rPr>
        <w:t xml:space="preserve"> decision-making, </w:t>
      </w:r>
      <w:r w:rsidR="008F133C">
        <w:rPr>
          <w:rFonts w:asciiTheme="majorBidi" w:hAnsiTheme="majorBidi" w:cstheme="majorBidi"/>
          <w:noProof/>
          <w:lang w:val="en-GB"/>
        </w:rPr>
        <w:t>that favours</w:t>
      </w:r>
      <w:r w:rsidRPr="00D4396B">
        <w:rPr>
          <w:rFonts w:asciiTheme="majorBidi" w:hAnsiTheme="majorBidi" w:cstheme="majorBidi"/>
          <w:noProof/>
          <w:lang w:val="en-GB"/>
        </w:rPr>
        <w:t xml:space="preserve"> </w:t>
      </w:r>
      <w:r w:rsidRPr="00D4396B">
        <w:rPr>
          <w:rFonts w:asciiTheme="majorBidi" w:hAnsiTheme="majorBidi" w:cstheme="majorBidi"/>
          <w:noProof/>
        </w:rPr>
        <w:t xml:space="preserve">inclusiveness over </w:t>
      </w:r>
      <w:r w:rsidR="008F133C">
        <w:rPr>
          <w:rFonts w:asciiTheme="majorBidi" w:hAnsiTheme="majorBidi" w:cstheme="majorBidi"/>
          <w:noProof/>
        </w:rPr>
        <w:t>agil</w:t>
      </w:r>
      <w:r w:rsidR="00ED7473">
        <w:rPr>
          <w:rFonts w:asciiTheme="majorBidi" w:hAnsiTheme="majorBidi" w:cstheme="majorBidi"/>
          <w:noProof/>
        </w:rPr>
        <w:t>i</w:t>
      </w:r>
      <w:r w:rsidR="008F133C">
        <w:rPr>
          <w:rFonts w:asciiTheme="majorBidi" w:hAnsiTheme="majorBidi" w:cstheme="majorBidi"/>
          <w:noProof/>
        </w:rPr>
        <w:t>ty</w:t>
      </w:r>
      <w:r w:rsidRPr="00D4396B">
        <w:rPr>
          <w:rFonts w:asciiTheme="majorBidi" w:hAnsiTheme="majorBidi" w:cstheme="majorBidi"/>
          <w:noProof/>
        </w:rPr>
        <w:t xml:space="preserve">. This </w:t>
      </w:r>
      <w:r w:rsidR="00902169">
        <w:rPr>
          <w:rFonts w:asciiTheme="majorBidi" w:hAnsiTheme="majorBidi" w:cstheme="majorBidi"/>
          <w:noProof/>
        </w:rPr>
        <w:t>reflects</w:t>
      </w:r>
      <w:r w:rsidRPr="00D4396B">
        <w:rPr>
          <w:rFonts w:asciiTheme="majorBidi" w:hAnsiTheme="majorBidi" w:cstheme="majorBidi"/>
          <w:noProof/>
        </w:rPr>
        <w:t xml:space="preserve"> an unresolved institutional identity</w:t>
      </w:r>
      <w:r w:rsidR="00902169">
        <w:rPr>
          <w:rFonts w:asciiTheme="majorBidi" w:hAnsiTheme="majorBidi" w:cstheme="majorBidi"/>
          <w:noProof/>
        </w:rPr>
        <w:t xml:space="preserve"> that</w:t>
      </w:r>
      <w:r w:rsidRPr="00D4396B">
        <w:rPr>
          <w:rFonts w:asciiTheme="majorBidi" w:hAnsiTheme="majorBidi" w:cstheme="majorBidi"/>
          <w:noProof/>
        </w:rPr>
        <w:t xml:space="preserve"> oscillates between an intergovernmental coordination unit and a full EU agency. The resulting ambiguity slows adaptation to new mandates or operational threats.</w:t>
      </w:r>
      <w:r w:rsidRPr="00D4396B">
        <w:rPr>
          <w:rStyle w:val="FootnoteReference"/>
          <w:rFonts w:asciiTheme="majorBidi" w:hAnsiTheme="majorBidi" w:cstheme="majorBidi"/>
          <w:noProof/>
        </w:rPr>
        <w:footnoteReference w:id="59"/>
      </w:r>
      <w:bookmarkEnd w:id="55"/>
    </w:p>
    <w:p w14:paraId="470B0C1E" w14:textId="52379F20" w:rsidR="00A63B53" w:rsidRPr="00D4396B" w:rsidRDefault="2B939123" w:rsidP="000C3545">
      <w:pPr>
        <w:pStyle w:val="Heading2"/>
        <w:rPr>
          <w:noProof/>
        </w:rPr>
      </w:pPr>
      <w:bookmarkStart w:id="56" w:name="_Toc224109556"/>
      <w:bookmarkStart w:id="57" w:name="_Toc232176399"/>
      <w:r w:rsidRPr="00D4396B">
        <w:rPr>
          <w:noProof/>
        </w:rPr>
        <w:t>2.2.</w:t>
      </w:r>
      <w:r w:rsidR="0092673A" w:rsidRPr="00D4396B">
        <w:rPr>
          <w:noProof/>
        </w:rPr>
        <w:tab/>
      </w:r>
      <w:r w:rsidR="08FC6AC7" w:rsidRPr="00746CBF">
        <w:rPr>
          <w:noProof/>
        </w:rPr>
        <w:t>Limitations</w:t>
      </w:r>
      <w:r w:rsidR="08FC6AC7" w:rsidRPr="00D4396B">
        <w:rPr>
          <w:noProof/>
        </w:rPr>
        <w:t xml:space="preserve"> in Eurojust’s interaction with partners</w:t>
      </w:r>
      <w:bookmarkEnd w:id="40"/>
      <w:bookmarkEnd w:id="41"/>
      <w:bookmarkEnd w:id="42"/>
      <w:bookmarkEnd w:id="43"/>
      <w:bookmarkEnd w:id="44"/>
      <w:bookmarkEnd w:id="56"/>
      <w:bookmarkEnd w:id="57"/>
    </w:p>
    <w:p w14:paraId="0DDCA77B" w14:textId="46C7F99F" w:rsidR="00A63B53" w:rsidRPr="00D4396B" w:rsidRDefault="0092673A" w:rsidP="000C3545">
      <w:pPr>
        <w:pStyle w:val="Heading3"/>
        <w:rPr>
          <w:noProof/>
        </w:rPr>
      </w:pPr>
      <w:bookmarkStart w:id="58" w:name="_Toc1152779334"/>
      <w:bookmarkStart w:id="59" w:name="_Toc1808374281"/>
      <w:bookmarkStart w:id="60" w:name="_Toc1940575549"/>
      <w:bookmarkStart w:id="61" w:name="_Toc1268825906"/>
      <w:bookmarkStart w:id="62" w:name="_Toc468215996"/>
      <w:bookmarkStart w:id="63" w:name="_Toc224109557"/>
      <w:bookmarkStart w:id="64" w:name="_Toc232176400"/>
      <w:r w:rsidRPr="00D4396B">
        <w:rPr>
          <w:noProof/>
        </w:rPr>
        <w:t>2.2.1.</w:t>
      </w:r>
      <w:r w:rsidR="00F22FFF">
        <w:rPr>
          <w:noProof/>
        </w:rPr>
        <w:t xml:space="preserve"> </w:t>
      </w:r>
      <w:r w:rsidR="00A63B53" w:rsidRPr="00D4396B">
        <w:rPr>
          <w:noProof/>
        </w:rPr>
        <w:t>What is the problem?</w:t>
      </w:r>
      <w:bookmarkEnd w:id="58"/>
      <w:bookmarkEnd w:id="59"/>
      <w:bookmarkEnd w:id="60"/>
      <w:bookmarkEnd w:id="61"/>
      <w:bookmarkEnd w:id="62"/>
      <w:bookmarkEnd w:id="63"/>
      <w:bookmarkEnd w:id="64"/>
    </w:p>
    <w:p w14:paraId="7B7C6B78" w14:textId="79AFD6A9" w:rsidR="00BA71F6" w:rsidRDefault="08FC6AC7" w:rsidP="0677836F">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rPr>
        <w:t>Eurojust’s effectiveness as an EU</w:t>
      </w:r>
      <w:r w:rsidR="00C72F66">
        <w:rPr>
          <w:rFonts w:asciiTheme="majorBidi" w:hAnsiTheme="majorBidi" w:cstheme="majorBidi"/>
          <w:noProof/>
        </w:rPr>
        <w:t xml:space="preserve"> </w:t>
      </w:r>
      <w:r w:rsidR="00B42B4E">
        <w:rPr>
          <w:rFonts w:asciiTheme="majorBidi" w:hAnsiTheme="majorBidi" w:cstheme="majorBidi"/>
          <w:noProof/>
        </w:rPr>
        <w:t>criminal justice</w:t>
      </w:r>
      <w:r w:rsidR="00B42B4E" w:rsidRPr="00D4396B">
        <w:rPr>
          <w:rFonts w:asciiTheme="majorBidi" w:hAnsiTheme="majorBidi" w:cstheme="majorBidi"/>
          <w:noProof/>
        </w:rPr>
        <w:t xml:space="preserve"> </w:t>
      </w:r>
      <w:r w:rsidRPr="00D4396B">
        <w:rPr>
          <w:rFonts w:asciiTheme="majorBidi" w:hAnsiTheme="majorBidi" w:cstheme="majorBidi"/>
          <w:noProof/>
        </w:rPr>
        <w:t xml:space="preserve">coordination hub is constrained in the way </w:t>
      </w:r>
      <w:r w:rsidR="001A2005">
        <w:rPr>
          <w:rFonts w:asciiTheme="majorBidi" w:hAnsiTheme="majorBidi" w:cstheme="majorBidi"/>
          <w:noProof/>
        </w:rPr>
        <w:t>it</w:t>
      </w:r>
      <w:r w:rsidRPr="00D4396B">
        <w:rPr>
          <w:rFonts w:asciiTheme="majorBidi" w:hAnsiTheme="majorBidi" w:cstheme="majorBidi"/>
          <w:noProof/>
        </w:rPr>
        <w:t xml:space="preserve"> interacts with </w:t>
      </w:r>
      <w:r w:rsidR="001A2005">
        <w:rPr>
          <w:rFonts w:asciiTheme="majorBidi" w:hAnsiTheme="majorBidi" w:cstheme="majorBidi"/>
          <w:noProof/>
        </w:rPr>
        <w:t>partner at the EU and international level</w:t>
      </w:r>
      <w:r w:rsidRPr="00D4396B">
        <w:rPr>
          <w:rFonts w:asciiTheme="majorBidi" w:hAnsiTheme="majorBidi" w:cstheme="majorBidi"/>
          <w:noProof/>
        </w:rPr>
        <w:t>.</w:t>
      </w:r>
    </w:p>
    <w:p w14:paraId="62E5F4E6" w14:textId="6A465060" w:rsidR="00176FCA" w:rsidRDefault="08FC6AC7" w:rsidP="00744AB0">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rPr>
        <w:t xml:space="preserve">While the </w:t>
      </w:r>
      <w:r w:rsidR="006613EF">
        <w:rPr>
          <w:rFonts w:asciiTheme="majorBidi" w:hAnsiTheme="majorBidi" w:cstheme="majorBidi"/>
          <w:noProof/>
        </w:rPr>
        <w:t xml:space="preserve">mandates of </w:t>
      </w:r>
      <w:r w:rsidR="00825A71">
        <w:rPr>
          <w:rFonts w:asciiTheme="majorBidi" w:hAnsiTheme="majorBidi" w:cstheme="majorBidi"/>
          <w:noProof/>
        </w:rPr>
        <w:t>EU agencies and bodies are designed</w:t>
      </w:r>
      <w:r w:rsidRPr="00D4396B">
        <w:rPr>
          <w:rFonts w:asciiTheme="majorBidi" w:hAnsiTheme="majorBidi" w:cstheme="majorBidi"/>
          <w:noProof/>
        </w:rPr>
        <w:t xml:space="preserve"> </w:t>
      </w:r>
      <w:r w:rsidR="00A337AA">
        <w:rPr>
          <w:rFonts w:asciiTheme="majorBidi" w:hAnsiTheme="majorBidi" w:cstheme="majorBidi"/>
          <w:noProof/>
        </w:rPr>
        <w:t xml:space="preserve">to </w:t>
      </w:r>
      <w:r w:rsidR="00825A71" w:rsidRPr="00D4396B">
        <w:rPr>
          <w:rFonts w:asciiTheme="majorBidi" w:hAnsiTheme="majorBidi" w:cstheme="majorBidi"/>
          <w:noProof/>
        </w:rPr>
        <w:t>complement</w:t>
      </w:r>
      <w:r w:rsidR="00825A71">
        <w:rPr>
          <w:rFonts w:asciiTheme="majorBidi" w:hAnsiTheme="majorBidi" w:cstheme="majorBidi"/>
          <w:noProof/>
        </w:rPr>
        <w:t xml:space="preserve"> each other and provide for close</w:t>
      </w:r>
      <w:r w:rsidR="00825A71" w:rsidRPr="00D4396B">
        <w:rPr>
          <w:rFonts w:asciiTheme="majorBidi" w:hAnsiTheme="majorBidi" w:cstheme="majorBidi"/>
          <w:noProof/>
        </w:rPr>
        <w:t xml:space="preserve"> </w:t>
      </w:r>
      <w:r w:rsidRPr="00D4396B">
        <w:rPr>
          <w:rFonts w:asciiTheme="majorBidi" w:hAnsiTheme="majorBidi" w:cstheme="majorBidi"/>
          <w:noProof/>
        </w:rPr>
        <w:t xml:space="preserve">cooperation, </w:t>
      </w:r>
      <w:r w:rsidR="00287E78" w:rsidRPr="00287E78">
        <w:rPr>
          <w:rFonts w:asciiTheme="majorBidi" w:hAnsiTheme="majorBidi" w:cstheme="majorBidi"/>
          <w:noProof/>
          <w:lang w:val="en-GB"/>
        </w:rPr>
        <w:t xml:space="preserve">their implementation in practice may give rise to procedural complexity and </w:t>
      </w:r>
      <w:r w:rsidR="00287E78">
        <w:rPr>
          <w:rFonts w:asciiTheme="majorBidi" w:hAnsiTheme="majorBidi" w:cstheme="majorBidi"/>
          <w:noProof/>
          <w:lang w:val="en-GB"/>
        </w:rPr>
        <w:t>duplication</w:t>
      </w:r>
      <w:r w:rsidR="00287E78" w:rsidRPr="00287E78">
        <w:rPr>
          <w:rFonts w:asciiTheme="majorBidi" w:hAnsiTheme="majorBidi" w:cstheme="majorBidi"/>
          <w:noProof/>
          <w:lang w:val="en-GB"/>
        </w:rPr>
        <w:t>, affecting the EU’s response to serious and organised cross-border crime.</w:t>
      </w:r>
      <w:r w:rsidR="00287E78" w:rsidRPr="00D4396B">
        <w:rPr>
          <w:rStyle w:val="FootnoteReference"/>
          <w:rFonts w:asciiTheme="majorBidi" w:hAnsiTheme="majorBidi" w:cstheme="majorBidi"/>
          <w:noProof/>
        </w:rPr>
        <w:footnoteReference w:id="60"/>
      </w:r>
      <w:r w:rsidR="00FD4B70">
        <w:rPr>
          <w:rFonts w:asciiTheme="majorBidi" w:hAnsiTheme="majorBidi" w:cstheme="majorBidi"/>
          <w:noProof/>
          <w:lang w:val="en-GB"/>
        </w:rPr>
        <w:t xml:space="preserve"> </w:t>
      </w:r>
      <w:r w:rsidR="00527FF5">
        <w:rPr>
          <w:rFonts w:asciiTheme="majorBidi" w:hAnsiTheme="majorBidi" w:cstheme="majorBidi"/>
          <w:noProof/>
          <w:lang w:val="en-GB"/>
        </w:rPr>
        <w:t>Stakeholder</w:t>
      </w:r>
      <w:r w:rsidR="00B05281">
        <w:rPr>
          <w:rFonts w:asciiTheme="majorBidi" w:hAnsiTheme="majorBidi" w:cstheme="majorBidi"/>
          <w:noProof/>
          <w:lang w:val="en-GB"/>
        </w:rPr>
        <w:t>s</w:t>
      </w:r>
      <w:r w:rsidR="00527FF5">
        <w:rPr>
          <w:rFonts w:asciiTheme="majorBidi" w:hAnsiTheme="majorBidi" w:cstheme="majorBidi"/>
          <w:noProof/>
          <w:lang w:val="en-GB"/>
        </w:rPr>
        <w:t xml:space="preserve"> have drawn attention </w:t>
      </w:r>
      <w:r w:rsidR="005F436C">
        <w:rPr>
          <w:rFonts w:asciiTheme="majorBidi" w:hAnsiTheme="majorBidi" w:cstheme="majorBidi"/>
          <w:noProof/>
          <w:lang w:val="en-GB"/>
        </w:rPr>
        <w:t xml:space="preserve">to the need to reinforce </w:t>
      </w:r>
      <w:r w:rsidR="00E56970">
        <w:rPr>
          <w:rFonts w:asciiTheme="majorBidi" w:hAnsiTheme="majorBidi" w:cstheme="majorBidi"/>
          <w:noProof/>
          <w:lang w:val="en-GB"/>
        </w:rPr>
        <w:t>the judicial dimension of cross-border cooperation</w:t>
      </w:r>
      <w:r w:rsidR="00B05281">
        <w:rPr>
          <w:rFonts w:asciiTheme="majorBidi" w:hAnsiTheme="majorBidi" w:cstheme="majorBidi"/>
          <w:noProof/>
          <w:lang w:val="en-GB"/>
        </w:rPr>
        <w:t xml:space="preserve"> by addressing gaps and enhancing coherence across existing instruments.</w:t>
      </w:r>
      <w:r w:rsidR="009C7E4E">
        <w:rPr>
          <w:rStyle w:val="FootnoteReference"/>
          <w:rFonts w:asciiTheme="majorBidi" w:hAnsiTheme="majorBidi" w:cstheme="majorBidi"/>
          <w:noProof/>
          <w:lang w:val="en-GB"/>
        </w:rPr>
        <w:footnoteReference w:id="61"/>
      </w:r>
      <w:r w:rsidR="00B05281">
        <w:rPr>
          <w:rFonts w:asciiTheme="majorBidi" w:hAnsiTheme="majorBidi" w:cstheme="majorBidi"/>
          <w:noProof/>
          <w:lang w:val="en-GB"/>
        </w:rPr>
        <w:t xml:space="preserve"> </w:t>
      </w:r>
    </w:p>
    <w:p w14:paraId="218109D0" w14:textId="7B1C8E34" w:rsidR="00440F5D" w:rsidRDefault="003F5E56" w:rsidP="00AA5D40">
      <w:pPr>
        <w:pStyle w:val="NormalWeb"/>
        <w:spacing w:before="0" w:beforeAutospacing="0" w:after="120" w:afterAutospacing="0"/>
        <w:jc w:val="both"/>
        <w:rPr>
          <w:rFonts w:asciiTheme="majorBidi" w:hAnsiTheme="majorBidi" w:cstheme="majorBidi"/>
          <w:noProof/>
          <w:lang w:val="en-GB"/>
        </w:rPr>
      </w:pPr>
      <w:r w:rsidRPr="003F5E56">
        <w:rPr>
          <w:rFonts w:asciiTheme="majorBidi" w:hAnsiTheme="majorBidi" w:cstheme="majorBidi"/>
          <w:noProof/>
          <w:lang w:val="en-GB"/>
        </w:rPr>
        <w:t xml:space="preserve">Eurojust’s cooperation with EU agencies and bodies is overall effective on a case-by-case basis </w:t>
      </w:r>
      <w:r w:rsidR="00F078F9">
        <w:rPr>
          <w:rFonts w:asciiTheme="majorBidi" w:hAnsiTheme="majorBidi" w:cstheme="majorBidi"/>
          <w:noProof/>
          <w:lang w:val="en-GB"/>
        </w:rPr>
        <w:t>but</w:t>
      </w:r>
      <w:r w:rsidRPr="003F5E56">
        <w:rPr>
          <w:rFonts w:asciiTheme="majorBidi" w:hAnsiTheme="majorBidi" w:cstheme="majorBidi"/>
          <w:noProof/>
          <w:lang w:val="en-GB"/>
        </w:rPr>
        <w:t xml:space="preserve"> </w:t>
      </w:r>
      <w:r w:rsidR="00FE7D21">
        <w:rPr>
          <w:rFonts w:asciiTheme="majorBidi" w:hAnsiTheme="majorBidi" w:cstheme="majorBidi"/>
          <w:noProof/>
          <w:lang w:val="en-GB"/>
        </w:rPr>
        <w:t>lacks a</w:t>
      </w:r>
      <w:r w:rsidRPr="003F5E56">
        <w:rPr>
          <w:rFonts w:asciiTheme="majorBidi" w:hAnsiTheme="majorBidi" w:cstheme="majorBidi"/>
          <w:noProof/>
          <w:lang w:val="en-GB"/>
        </w:rPr>
        <w:t xml:space="preserve"> fully structured or systematic</w:t>
      </w:r>
      <w:r w:rsidR="00FE7D21">
        <w:rPr>
          <w:rFonts w:asciiTheme="majorBidi" w:hAnsiTheme="majorBidi" w:cstheme="majorBidi"/>
          <w:noProof/>
          <w:lang w:val="en-GB"/>
        </w:rPr>
        <w:t xml:space="preserve"> approach</w:t>
      </w:r>
      <w:r w:rsidR="002625AF">
        <w:rPr>
          <w:rFonts w:asciiTheme="majorBidi" w:hAnsiTheme="majorBidi" w:cstheme="majorBidi"/>
          <w:noProof/>
          <w:lang w:val="en-GB"/>
        </w:rPr>
        <w:t xml:space="preserve">. This </w:t>
      </w:r>
      <w:r w:rsidR="00D76E36">
        <w:rPr>
          <w:rFonts w:asciiTheme="majorBidi" w:hAnsiTheme="majorBidi" w:cstheme="majorBidi"/>
          <w:noProof/>
          <w:lang w:val="en-GB"/>
        </w:rPr>
        <w:t>can lead to</w:t>
      </w:r>
      <w:r w:rsidR="000A743D">
        <w:rPr>
          <w:rFonts w:asciiTheme="majorBidi" w:hAnsiTheme="majorBidi" w:cstheme="majorBidi"/>
          <w:noProof/>
          <w:lang w:val="en-GB"/>
        </w:rPr>
        <w:t xml:space="preserve"> withholding of information, which may </w:t>
      </w:r>
      <w:r w:rsidR="00B92A85">
        <w:rPr>
          <w:rFonts w:asciiTheme="majorBidi" w:hAnsiTheme="majorBidi" w:cstheme="majorBidi"/>
          <w:noProof/>
          <w:lang w:val="en-GB"/>
        </w:rPr>
        <w:t xml:space="preserve">affect the </w:t>
      </w:r>
      <w:r w:rsidR="00063446">
        <w:rPr>
          <w:rFonts w:asciiTheme="majorBidi" w:hAnsiTheme="majorBidi" w:cstheme="majorBidi"/>
          <w:noProof/>
          <w:lang w:val="en-GB"/>
        </w:rPr>
        <w:t>identification of</w:t>
      </w:r>
      <w:r w:rsidR="00B92A85">
        <w:rPr>
          <w:rFonts w:asciiTheme="majorBidi" w:hAnsiTheme="majorBidi" w:cstheme="majorBidi"/>
          <w:noProof/>
          <w:lang w:val="en-GB"/>
        </w:rPr>
        <w:t xml:space="preserve"> c</w:t>
      </w:r>
      <w:r w:rsidR="007573E0">
        <w:rPr>
          <w:rFonts w:asciiTheme="majorBidi" w:hAnsiTheme="majorBidi" w:cstheme="majorBidi"/>
          <w:noProof/>
          <w:lang w:val="en-GB"/>
        </w:rPr>
        <w:t xml:space="preserve">riminal </w:t>
      </w:r>
      <w:r w:rsidR="00E63AA5">
        <w:rPr>
          <w:rFonts w:asciiTheme="majorBidi" w:hAnsiTheme="majorBidi" w:cstheme="majorBidi"/>
          <w:noProof/>
          <w:lang w:val="en-GB"/>
        </w:rPr>
        <w:t>activity at an early stage.</w:t>
      </w:r>
      <w:r w:rsidR="002625AF" w:rsidRPr="002625AF">
        <w:rPr>
          <w:rStyle w:val="FootnoteReference"/>
          <w:rFonts w:asciiTheme="majorBidi" w:hAnsiTheme="majorBidi" w:cstheme="majorBidi"/>
          <w:noProof/>
        </w:rPr>
        <w:t xml:space="preserve"> </w:t>
      </w:r>
      <w:r w:rsidR="002625AF" w:rsidRPr="00D4396B">
        <w:rPr>
          <w:rStyle w:val="FootnoteReference"/>
          <w:rFonts w:asciiTheme="majorBidi" w:hAnsiTheme="majorBidi" w:cstheme="majorBidi"/>
          <w:noProof/>
        </w:rPr>
        <w:footnoteReference w:id="62"/>
      </w:r>
      <w:r w:rsidR="00741D62">
        <w:rPr>
          <w:rFonts w:asciiTheme="majorBidi" w:hAnsiTheme="majorBidi" w:cstheme="majorBidi"/>
          <w:noProof/>
          <w:lang w:val="en-GB"/>
        </w:rPr>
        <w:t xml:space="preserve"> </w:t>
      </w:r>
      <w:r w:rsidR="00741D62" w:rsidRPr="00741D62">
        <w:rPr>
          <w:rFonts w:asciiTheme="majorBidi" w:hAnsiTheme="majorBidi" w:cstheme="majorBidi"/>
          <w:noProof/>
          <w:lang w:val="en-GB"/>
        </w:rPr>
        <w:t xml:space="preserve">This is particularly relevant </w:t>
      </w:r>
      <w:r w:rsidR="00D26C3E">
        <w:rPr>
          <w:rFonts w:asciiTheme="majorBidi" w:hAnsiTheme="majorBidi" w:cstheme="majorBidi"/>
          <w:noProof/>
          <w:lang w:val="en-GB"/>
        </w:rPr>
        <w:t>for</w:t>
      </w:r>
      <w:r w:rsidR="00741D62" w:rsidRPr="00741D62">
        <w:rPr>
          <w:rFonts w:asciiTheme="majorBidi" w:hAnsiTheme="majorBidi" w:cstheme="majorBidi"/>
          <w:noProof/>
          <w:lang w:val="en-GB"/>
        </w:rPr>
        <w:t xml:space="preserve"> Eurojust’s main partners in the criminal justice domain</w:t>
      </w:r>
      <w:r w:rsidR="00D26C3E">
        <w:rPr>
          <w:rFonts w:asciiTheme="majorBidi" w:hAnsiTheme="majorBidi" w:cstheme="majorBidi"/>
          <w:noProof/>
          <w:lang w:val="en-GB"/>
        </w:rPr>
        <w:t xml:space="preserve">: </w:t>
      </w:r>
      <w:r w:rsidR="00741D62" w:rsidRPr="00741D62">
        <w:rPr>
          <w:rFonts w:asciiTheme="majorBidi" w:hAnsiTheme="majorBidi" w:cstheme="majorBidi"/>
          <w:noProof/>
          <w:lang w:val="en-GB"/>
        </w:rPr>
        <w:t>Europol and the EPPO.</w:t>
      </w:r>
      <w:r w:rsidR="001B0A29">
        <w:rPr>
          <w:rFonts w:asciiTheme="majorBidi" w:hAnsiTheme="majorBidi" w:cstheme="majorBidi"/>
          <w:noProof/>
          <w:lang w:val="en-GB"/>
        </w:rPr>
        <w:t xml:space="preserve"> </w:t>
      </w:r>
      <w:r w:rsidR="00E644A3">
        <w:rPr>
          <w:rFonts w:asciiTheme="majorBidi" w:hAnsiTheme="majorBidi" w:cstheme="majorBidi"/>
          <w:noProof/>
          <w:lang w:val="en-GB"/>
        </w:rPr>
        <w:t>C</w:t>
      </w:r>
      <w:r w:rsidR="00AA5D40" w:rsidRPr="00AA5D40">
        <w:rPr>
          <w:rFonts w:asciiTheme="majorBidi" w:hAnsiTheme="majorBidi" w:cstheme="majorBidi"/>
          <w:noProof/>
          <w:lang w:val="en-GB"/>
        </w:rPr>
        <w:t xml:space="preserve">ooperation with other </w:t>
      </w:r>
      <w:r w:rsidR="00E644A3">
        <w:rPr>
          <w:rFonts w:asciiTheme="majorBidi" w:hAnsiTheme="majorBidi" w:cstheme="majorBidi"/>
          <w:noProof/>
          <w:lang w:val="en-GB"/>
        </w:rPr>
        <w:t>IBOAs</w:t>
      </w:r>
      <w:r w:rsidR="00B46809">
        <w:rPr>
          <w:rFonts w:asciiTheme="majorBidi" w:hAnsiTheme="majorBidi" w:cstheme="majorBidi"/>
          <w:noProof/>
          <w:lang w:val="en-GB"/>
        </w:rPr>
        <w:t xml:space="preserve"> – </w:t>
      </w:r>
      <w:r w:rsidR="00AA5D40" w:rsidRPr="00AA5D40">
        <w:rPr>
          <w:rFonts w:asciiTheme="majorBidi" w:hAnsiTheme="majorBidi" w:cstheme="majorBidi"/>
          <w:noProof/>
          <w:lang w:val="en-GB"/>
        </w:rPr>
        <w:t>notably OLAF</w:t>
      </w:r>
      <w:r w:rsidR="00B46809">
        <w:rPr>
          <w:rFonts w:asciiTheme="majorBidi" w:hAnsiTheme="majorBidi" w:cstheme="majorBidi"/>
          <w:noProof/>
          <w:lang w:val="en-GB"/>
        </w:rPr>
        <w:t xml:space="preserve"> – </w:t>
      </w:r>
      <w:r w:rsidR="00AA5D40" w:rsidRPr="00AA5D40">
        <w:rPr>
          <w:rFonts w:asciiTheme="majorBidi" w:hAnsiTheme="majorBidi" w:cstheme="majorBidi"/>
          <w:noProof/>
          <w:lang w:val="en-GB"/>
        </w:rPr>
        <w:t xml:space="preserve">as well as the EJN and other judicial networks, </w:t>
      </w:r>
      <w:r w:rsidR="552CE0F9" w:rsidRPr="0A610424">
        <w:rPr>
          <w:rFonts w:asciiTheme="majorBidi" w:hAnsiTheme="majorBidi" w:cstheme="majorBidi"/>
          <w:noProof/>
          <w:lang w:val="en-GB"/>
        </w:rPr>
        <w:t>show</w:t>
      </w:r>
      <w:r w:rsidR="00AA5D40" w:rsidRPr="00AA5D40">
        <w:rPr>
          <w:rFonts w:asciiTheme="majorBidi" w:hAnsiTheme="majorBidi" w:cstheme="majorBidi"/>
          <w:noProof/>
          <w:lang w:val="en-GB"/>
        </w:rPr>
        <w:t xml:space="preserve"> scope for further improvement in terms of the distribution of tasks and information exchange.</w:t>
      </w:r>
      <w:r w:rsidR="008C3117" w:rsidRPr="00D4396B">
        <w:rPr>
          <w:rStyle w:val="FootnoteReference"/>
          <w:rFonts w:asciiTheme="majorBidi" w:hAnsiTheme="majorBidi" w:cstheme="majorBidi"/>
          <w:noProof/>
        </w:rPr>
        <w:footnoteReference w:id="63"/>
      </w:r>
      <w:r w:rsidR="008C3117">
        <w:rPr>
          <w:rFonts w:asciiTheme="majorBidi" w:hAnsiTheme="majorBidi" w:cstheme="majorBidi"/>
          <w:noProof/>
        </w:rPr>
        <w:t xml:space="preserve"> </w:t>
      </w:r>
    </w:p>
    <w:p w14:paraId="0BCBB32F" w14:textId="304C1F72" w:rsidR="003A0CAC" w:rsidRPr="00D4396B" w:rsidRDefault="0058769E">
      <w:pPr>
        <w:pStyle w:val="NormalWeb"/>
        <w:spacing w:before="0" w:beforeAutospacing="0" w:after="120" w:afterAutospacing="0"/>
        <w:jc w:val="both"/>
        <w:rPr>
          <w:rFonts w:asciiTheme="majorBidi" w:hAnsiTheme="majorBidi" w:cstheme="majorBidi"/>
          <w:noProof/>
        </w:rPr>
      </w:pPr>
      <w:r>
        <w:rPr>
          <w:rFonts w:asciiTheme="majorBidi" w:hAnsiTheme="majorBidi" w:cstheme="majorBidi"/>
          <w:noProof/>
        </w:rPr>
        <w:t>Moreover</w:t>
      </w:r>
      <w:r w:rsidR="01D08925" w:rsidRPr="00D4396B">
        <w:rPr>
          <w:rFonts w:asciiTheme="majorBidi" w:hAnsiTheme="majorBidi" w:cstheme="majorBidi"/>
          <w:noProof/>
        </w:rPr>
        <w:t>,</w:t>
      </w:r>
      <w:r w:rsidR="3F970CD2" w:rsidRPr="00D4396B">
        <w:rPr>
          <w:rFonts w:asciiTheme="majorBidi" w:hAnsiTheme="majorBidi" w:cstheme="majorBidi"/>
          <w:noProof/>
        </w:rPr>
        <w:t xml:space="preserve"> </w:t>
      </w:r>
      <w:r w:rsidR="4DDD7C98" w:rsidRPr="00D4396B">
        <w:rPr>
          <w:rFonts w:asciiTheme="majorBidi" w:hAnsiTheme="majorBidi" w:cstheme="majorBidi"/>
          <w:noProof/>
        </w:rPr>
        <w:t>Eurojust’s capacity to support cooperation in cases with an extra-EU dimension</w:t>
      </w:r>
      <w:r w:rsidR="006E2031">
        <w:rPr>
          <w:rFonts w:asciiTheme="majorBidi" w:hAnsiTheme="majorBidi" w:cstheme="majorBidi"/>
          <w:noProof/>
        </w:rPr>
        <w:t xml:space="preserve">, </w:t>
      </w:r>
      <w:r w:rsidR="005563DF" w:rsidRPr="005563DF">
        <w:rPr>
          <w:rFonts w:asciiTheme="majorBidi" w:hAnsiTheme="majorBidi" w:cstheme="majorBidi"/>
          <w:noProof/>
          <w:lang w:val="en-GB"/>
        </w:rPr>
        <w:t>while increasing, face</w:t>
      </w:r>
      <w:r w:rsidR="00F820BC">
        <w:rPr>
          <w:rFonts w:asciiTheme="majorBidi" w:hAnsiTheme="majorBidi" w:cstheme="majorBidi"/>
          <w:noProof/>
          <w:lang w:val="en-GB"/>
        </w:rPr>
        <w:t>s</w:t>
      </w:r>
      <w:r w:rsidR="005563DF" w:rsidRPr="005563DF">
        <w:rPr>
          <w:rFonts w:asciiTheme="majorBidi" w:hAnsiTheme="majorBidi" w:cstheme="majorBidi"/>
          <w:noProof/>
          <w:lang w:val="en-GB"/>
        </w:rPr>
        <w:t xml:space="preserve"> challenges</w:t>
      </w:r>
      <w:r w:rsidR="6D2B3BDF" w:rsidRPr="00D4396B">
        <w:rPr>
          <w:rFonts w:asciiTheme="majorBidi" w:hAnsiTheme="majorBidi" w:cstheme="majorBidi"/>
          <w:noProof/>
        </w:rPr>
        <w:t xml:space="preserve">. </w:t>
      </w:r>
      <w:r w:rsidR="003F5174" w:rsidRPr="003F5174">
        <w:rPr>
          <w:rFonts w:asciiTheme="majorBidi" w:hAnsiTheme="majorBidi" w:cstheme="majorBidi"/>
          <w:noProof/>
          <w:lang w:val="en-GB"/>
        </w:rPr>
        <w:t>Cooperation with third countries is often irregular and slow to operationalise, as existing arrangements may not be sufficiently robust or stable</w:t>
      </w:r>
      <w:r w:rsidR="001B0A29">
        <w:rPr>
          <w:rFonts w:asciiTheme="majorBidi" w:hAnsiTheme="majorBidi" w:cstheme="majorBidi"/>
          <w:noProof/>
          <w:lang w:val="en-GB"/>
        </w:rPr>
        <w:t>, or</w:t>
      </w:r>
      <w:r w:rsidR="003F5174" w:rsidRPr="003F5174">
        <w:rPr>
          <w:rFonts w:asciiTheme="majorBidi" w:hAnsiTheme="majorBidi" w:cstheme="majorBidi"/>
          <w:noProof/>
          <w:lang w:val="en-GB"/>
        </w:rPr>
        <w:t xml:space="preserve"> are unevenly implemented.</w:t>
      </w:r>
      <w:r w:rsidR="002D3B44" w:rsidRPr="00D4396B">
        <w:rPr>
          <w:rStyle w:val="FootnoteReference"/>
          <w:rFonts w:asciiTheme="majorBidi" w:hAnsiTheme="majorBidi" w:cstheme="majorBidi"/>
          <w:noProof/>
        </w:rPr>
        <w:footnoteReference w:id="64"/>
      </w:r>
      <w:r w:rsidR="001B0A29">
        <w:rPr>
          <w:rFonts w:asciiTheme="majorBidi" w:hAnsiTheme="majorBidi" w:cstheme="majorBidi"/>
          <w:noProof/>
        </w:rPr>
        <w:t xml:space="preserve"> </w:t>
      </w:r>
      <w:r w:rsidR="08FC6AC7" w:rsidRPr="00D4396B">
        <w:rPr>
          <w:rFonts w:asciiTheme="majorBidi" w:hAnsiTheme="majorBidi" w:cstheme="majorBidi"/>
          <w:noProof/>
        </w:rPr>
        <w:t>Following change</w:t>
      </w:r>
      <w:r w:rsidR="002171B1">
        <w:rPr>
          <w:rFonts w:asciiTheme="majorBidi" w:hAnsiTheme="majorBidi" w:cstheme="majorBidi"/>
          <w:noProof/>
        </w:rPr>
        <w:t>s</w:t>
      </w:r>
      <w:r w:rsidR="08FC6AC7" w:rsidRPr="00D4396B">
        <w:rPr>
          <w:rFonts w:asciiTheme="majorBidi" w:hAnsiTheme="majorBidi" w:cstheme="majorBidi"/>
          <w:noProof/>
        </w:rPr>
        <w:t xml:space="preserve"> </w:t>
      </w:r>
      <w:r w:rsidR="002171B1">
        <w:rPr>
          <w:rFonts w:asciiTheme="majorBidi" w:hAnsiTheme="majorBidi" w:cstheme="majorBidi"/>
          <w:noProof/>
        </w:rPr>
        <w:t>in</w:t>
      </w:r>
      <w:r w:rsidR="08FC6AC7" w:rsidRPr="00D4396B">
        <w:rPr>
          <w:rFonts w:asciiTheme="majorBidi" w:hAnsiTheme="majorBidi" w:cstheme="majorBidi"/>
          <w:noProof/>
        </w:rPr>
        <w:t xml:space="preserve"> the Treaty framework applicable to international agreements, the </w:t>
      </w:r>
      <w:r w:rsidR="002171B1">
        <w:rPr>
          <w:rFonts w:asciiTheme="majorBidi" w:hAnsiTheme="majorBidi" w:cstheme="majorBidi"/>
          <w:noProof/>
        </w:rPr>
        <w:t>EJR</w:t>
      </w:r>
      <w:r w:rsidR="08FC6AC7" w:rsidRPr="00D4396B">
        <w:rPr>
          <w:rFonts w:asciiTheme="majorBidi" w:hAnsiTheme="majorBidi" w:cstheme="majorBidi"/>
          <w:noProof/>
        </w:rPr>
        <w:t xml:space="preserve"> </w:t>
      </w:r>
      <w:r w:rsidR="002171B1">
        <w:rPr>
          <w:rFonts w:asciiTheme="majorBidi" w:hAnsiTheme="majorBidi" w:cstheme="majorBidi"/>
          <w:noProof/>
        </w:rPr>
        <w:t>removed</w:t>
      </w:r>
      <w:r w:rsidR="002171B1" w:rsidRPr="00D4396B">
        <w:rPr>
          <w:rFonts w:asciiTheme="majorBidi" w:hAnsiTheme="majorBidi" w:cstheme="majorBidi"/>
          <w:noProof/>
        </w:rPr>
        <w:t xml:space="preserve"> </w:t>
      </w:r>
      <w:r w:rsidR="08FC6AC7" w:rsidRPr="00D4396B">
        <w:rPr>
          <w:rFonts w:asciiTheme="majorBidi" w:hAnsiTheme="majorBidi" w:cstheme="majorBidi"/>
          <w:noProof/>
        </w:rPr>
        <w:t>Eurojust</w:t>
      </w:r>
      <w:r w:rsidR="002171B1">
        <w:rPr>
          <w:rFonts w:asciiTheme="majorBidi" w:hAnsiTheme="majorBidi" w:cstheme="majorBidi"/>
          <w:noProof/>
        </w:rPr>
        <w:t>’s</w:t>
      </w:r>
      <w:r w:rsidR="08FC6AC7" w:rsidRPr="00D4396B">
        <w:rPr>
          <w:rFonts w:asciiTheme="majorBidi" w:hAnsiTheme="majorBidi" w:cstheme="majorBidi"/>
          <w:noProof/>
        </w:rPr>
        <w:t xml:space="preserve"> power to </w:t>
      </w:r>
      <w:r w:rsidR="00BB3003">
        <w:rPr>
          <w:rFonts w:asciiTheme="majorBidi" w:hAnsiTheme="majorBidi" w:cstheme="majorBidi"/>
          <w:noProof/>
        </w:rPr>
        <w:t>conclude</w:t>
      </w:r>
      <w:r w:rsidR="00BB3003" w:rsidRPr="00D4396B">
        <w:rPr>
          <w:rFonts w:asciiTheme="majorBidi" w:hAnsiTheme="majorBidi" w:cstheme="majorBidi"/>
          <w:noProof/>
        </w:rPr>
        <w:t xml:space="preserve"> </w:t>
      </w:r>
      <w:r w:rsidR="00B466DA" w:rsidRPr="00D4396B">
        <w:rPr>
          <w:rFonts w:asciiTheme="majorBidi" w:hAnsiTheme="majorBidi" w:cstheme="majorBidi"/>
          <w:noProof/>
        </w:rPr>
        <w:t xml:space="preserve">cooperation </w:t>
      </w:r>
      <w:r w:rsidR="08FC6AC7" w:rsidRPr="00D4396B">
        <w:rPr>
          <w:rFonts w:asciiTheme="majorBidi" w:hAnsiTheme="majorBidi" w:cstheme="majorBidi"/>
          <w:noProof/>
        </w:rPr>
        <w:t>agreements directly</w:t>
      </w:r>
      <w:r w:rsidR="00B44909">
        <w:rPr>
          <w:rFonts w:asciiTheme="majorBidi" w:hAnsiTheme="majorBidi" w:cstheme="majorBidi"/>
          <w:noProof/>
        </w:rPr>
        <w:t xml:space="preserve">. </w:t>
      </w:r>
      <w:r w:rsidR="0006326C">
        <w:rPr>
          <w:rFonts w:asciiTheme="majorBidi" w:hAnsiTheme="majorBidi" w:cstheme="majorBidi"/>
          <w:noProof/>
        </w:rPr>
        <w:t>Instead</w:t>
      </w:r>
      <w:r w:rsidR="08FC6AC7" w:rsidRPr="00D4396B" w:rsidDel="00B44909">
        <w:rPr>
          <w:rFonts w:asciiTheme="majorBidi" w:hAnsiTheme="majorBidi" w:cstheme="majorBidi"/>
          <w:noProof/>
        </w:rPr>
        <w:t xml:space="preserve">, </w:t>
      </w:r>
      <w:r w:rsidR="00B44909">
        <w:rPr>
          <w:rFonts w:asciiTheme="majorBidi" w:hAnsiTheme="majorBidi" w:cstheme="majorBidi"/>
          <w:noProof/>
          <w:lang w:val="en-GB"/>
        </w:rPr>
        <w:t xml:space="preserve">in </w:t>
      </w:r>
      <w:r w:rsidR="00916575">
        <w:rPr>
          <w:rFonts w:asciiTheme="majorBidi" w:hAnsiTheme="majorBidi" w:cstheme="majorBidi"/>
          <w:noProof/>
          <w:lang w:val="en-GB"/>
        </w:rPr>
        <w:t>accordance</w:t>
      </w:r>
      <w:r w:rsidR="00B44909">
        <w:rPr>
          <w:rFonts w:asciiTheme="majorBidi" w:hAnsiTheme="majorBidi" w:cstheme="majorBidi"/>
          <w:noProof/>
          <w:lang w:val="en-GB"/>
        </w:rPr>
        <w:t xml:space="preserve"> with </w:t>
      </w:r>
      <w:r w:rsidR="4D4FA69B" w:rsidRPr="00D4396B">
        <w:rPr>
          <w:rFonts w:asciiTheme="majorBidi" w:hAnsiTheme="majorBidi" w:cstheme="majorBidi"/>
          <w:noProof/>
          <w:lang w:val="en-GB"/>
        </w:rPr>
        <w:t xml:space="preserve">Article 218 TFEU, </w:t>
      </w:r>
      <w:r w:rsidR="30B2100A" w:rsidRPr="00D4396B">
        <w:rPr>
          <w:rFonts w:asciiTheme="majorBidi" w:hAnsiTheme="majorBidi" w:cstheme="majorBidi"/>
          <w:noProof/>
          <w:lang w:val="en-GB"/>
        </w:rPr>
        <w:t xml:space="preserve">the Commission </w:t>
      </w:r>
      <w:r w:rsidR="009A7BA7">
        <w:rPr>
          <w:rFonts w:asciiTheme="majorBidi" w:hAnsiTheme="majorBidi" w:cstheme="majorBidi"/>
          <w:noProof/>
          <w:lang w:val="en-GB"/>
        </w:rPr>
        <w:t>conducts</w:t>
      </w:r>
      <w:r w:rsidR="00710429">
        <w:rPr>
          <w:rFonts w:asciiTheme="majorBidi" w:hAnsiTheme="majorBidi" w:cstheme="majorBidi"/>
          <w:noProof/>
          <w:lang w:val="en-GB"/>
        </w:rPr>
        <w:t xml:space="preserve"> </w:t>
      </w:r>
      <w:r w:rsidR="30B2100A" w:rsidRPr="00D4396B">
        <w:rPr>
          <w:rFonts w:asciiTheme="majorBidi" w:hAnsiTheme="majorBidi" w:cstheme="majorBidi"/>
          <w:noProof/>
          <w:lang w:val="en-GB"/>
        </w:rPr>
        <w:t>negotiati</w:t>
      </w:r>
      <w:r w:rsidR="00826646">
        <w:rPr>
          <w:rFonts w:asciiTheme="majorBidi" w:hAnsiTheme="majorBidi" w:cstheme="majorBidi"/>
          <w:noProof/>
          <w:lang w:val="en-GB"/>
        </w:rPr>
        <w:t>o</w:t>
      </w:r>
      <w:r w:rsidR="30B2100A" w:rsidRPr="00D4396B">
        <w:rPr>
          <w:rFonts w:asciiTheme="majorBidi" w:hAnsiTheme="majorBidi" w:cstheme="majorBidi"/>
          <w:noProof/>
          <w:lang w:val="en-GB"/>
        </w:rPr>
        <w:t>n</w:t>
      </w:r>
      <w:r w:rsidR="00826646">
        <w:rPr>
          <w:rFonts w:asciiTheme="majorBidi" w:hAnsiTheme="majorBidi" w:cstheme="majorBidi"/>
          <w:noProof/>
          <w:lang w:val="en-GB"/>
        </w:rPr>
        <w:t>s</w:t>
      </w:r>
      <w:r w:rsidR="007A2676">
        <w:rPr>
          <w:rFonts w:asciiTheme="majorBidi" w:hAnsiTheme="majorBidi" w:cstheme="majorBidi"/>
          <w:noProof/>
          <w:lang w:val="en-GB"/>
        </w:rPr>
        <w:t xml:space="preserve">, </w:t>
      </w:r>
      <w:r w:rsidR="00B16F7A">
        <w:rPr>
          <w:rFonts w:asciiTheme="majorBidi" w:hAnsiTheme="majorBidi" w:cstheme="majorBidi"/>
          <w:noProof/>
          <w:lang w:val="en-GB"/>
        </w:rPr>
        <w:t>while</w:t>
      </w:r>
      <w:r w:rsidR="30B2100A" w:rsidRPr="00D4396B">
        <w:rPr>
          <w:rFonts w:asciiTheme="majorBidi" w:hAnsiTheme="majorBidi" w:cstheme="majorBidi"/>
          <w:noProof/>
          <w:lang w:val="en-GB"/>
        </w:rPr>
        <w:t xml:space="preserve"> the Council authoris</w:t>
      </w:r>
      <w:r w:rsidR="00826646">
        <w:rPr>
          <w:rFonts w:asciiTheme="majorBidi" w:hAnsiTheme="majorBidi" w:cstheme="majorBidi"/>
          <w:noProof/>
          <w:lang w:val="en-GB"/>
        </w:rPr>
        <w:t>es</w:t>
      </w:r>
      <w:r w:rsidR="003110D1">
        <w:rPr>
          <w:rFonts w:asciiTheme="majorBidi" w:hAnsiTheme="majorBidi" w:cstheme="majorBidi"/>
          <w:noProof/>
          <w:lang w:val="en-GB"/>
        </w:rPr>
        <w:t xml:space="preserve"> </w:t>
      </w:r>
      <w:r w:rsidR="30B2100A" w:rsidRPr="00D4396B">
        <w:rPr>
          <w:rFonts w:asciiTheme="majorBidi" w:hAnsiTheme="majorBidi" w:cstheme="majorBidi"/>
          <w:noProof/>
          <w:lang w:val="en-GB"/>
        </w:rPr>
        <w:t xml:space="preserve">signature and conclusion </w:t>
      </w:r>
      <w:r w:rsidR="00155385">
        <w:rPr>
          <w:rFonts w:asciiTheme="majorBidi" w:hAnsiTheme="majorBidi" w:cstheme="majorBidi"/>
          <w:noProof/>
          <w:lang w:val="en-GB"/>
        </w:rPr>
        <w:t>following the</w:t>
      </w:r>
      <w:r w:rsidR="00155385" w:rsidRPr="00D4396B">
        <w:rPr>
          <w:rFonts w:asciiTheme="majorBidi" w:hAnsiTheme="majorBidi" w:cstheme="majorBidi"/>
          <w:noProof/>
          <w:lang w:val="en-GB"/>
        </w:rPr>
        <w:t xml:space="preserve"> </w:t>
      </w:r>
      <w:r w:rsidR="73D6D6CE" w:rsidRPr="00D4396B">
        <w:rPr>
          <w:rFonts w:asciiTheme="majorBidi" w:hAnsiTheme="majorBidi" w:cstheme="majorBidi"/>
          <w:noProof/>
          <w:lang w:val="en-GB"/>
        </w:rPr>
        <w:t xml:space="preserve">consent </w:t>
      </w:r>
      <w:r w:rsidR="00155385">
        <w:rPr>
          <w:rFonts w:asciiTheme="majorBidi" w:hAnsiTheme="majorBidi" w:cstheme="majorBidi"/>
          <w:noProof/>
          <w:lang w:val="en-GB"/>
        </w:rPr>
        <w:t>of</w:t>
      </w:r>
      <w:r w:rsidR="00155385" w:rsidRPr="00D4396B">
        <w:rPr>
          <w:rFonts w:asciiTheme="majorBidi" w:hAnsiTheme="majorBidi" w:cstheme="majorBidi"/>
          <w:noProof/>
          <w:lang w:val="en-GB"/>
        </w:rPr>
        <w:t xml:space="preserve"> </w:t>
      </w:r>
      <w:r w:rsidR="54A8E1B0" w:rsidRPr="00D4396B">
        <w:rPr>
          <w:rFonts w:asciiTheme="majorBidi" w:hAnsiTheme="majorBidi" w:cstheme="majorBidi"/>
          <w:noProof/>
          <w:lang w:val="en-GB"/>
        </w:rPr>
        <w:t>the</w:t>
      </w:r>
      <w:r w:rsidR="73D6D6CE" w:rsidRPr="00D4396B">
        <w:rPr>
          <w:rFonts w:asciiTheme="majorBidi" w:hAnsiTheme="majorBidi" w:cstheme="majorBidi"/>
          <w:noProof/>
          <w:lang w:val="en-GB"/>
        </w:rPr>
        <w:t xml:space="preserve"> European Parliament</w:t>
      </w:r>
      <w:r w:rsidR="58514A34" w:rsidRPr="4F7CD1D9">
        <w:rPr>
          <w:rFonts w:asciiTheme="majorBidi" w:hAnsiTheme="majorBidi" w:cstheme="majorBidi"/>
          <w:noProof/>
          <w:lang w:val="en-GB"/>
        </w:rPr>
        <w:t>.</w:t>
      </w:r>
      <w:r w:rsidR="7EB00C41" w:rsidRPr="00D4396B">
        <w:rPr>
          <w:rFonts w:asciiTheme="majorBidi" w:hAnsiTheme="majorBidi" w:cstheme="majorBidi"/>
          <w:noProof/>
          <w:lang w:val="en-GB"/>
        </w:rPr>
        <w:t xml:space="preserve"> </w:t>
      </w:r>
      <w:r w:rsidR="08FC6AC7" w:rsidRPr="00D4396B">
        <w:rPr>
          <w:rFonts w:asciiTheme="majorBidi" w:hAnsiTheme="majorBidi" w:cstheme="majorBidi"/>
          <w:noProof/>
        </w:rPr>
        <w:t xml:space="preserve">This has </w:t>
      </w:r>
      <w:r w:rsidR="45B2C5D3" w:rsidRPr="00D4396B">
        <w:rPr>
          <w:rFonts w:asciiTheme="majorBidi" w:hAnsiTheme="majorBidi" w:cstheme="majorBidi"/>
          <w:noProof/>
        </w:rPr>
        <w:t>made</w:t>
      </w:r>
      <w:r w:rsidR="217504F9" w:rsidRPr="00D4396B">
        <w:rPr>
          <w:rFonts w:asciiTheme="majorBidi" w:hAnsiTheme="majorBidi" w:cstheme="majorBidi"/>
          <w:noProof/>
        </w:rPr>
        <w:t xml:space="preserve"> the </w:t>
      </w:r>
      <w:r w:rsidR="0EE6674B" w:rsidRPr="00D4396B">
        <w:rPr>
          <w:rFonts w:asciiTheme="majorBidi" w:hAnsiTheme="majorBidi" w:cstheme="majorBidi"/>
          <w:noProof/>
        </w:rPr>
        <w:t>process</w:t>
      </w:r>
      <w:r w:rsidR="7222926A" w:rsidRPr="00D4396B">
        <w:rPr>
          <w:rFonts w:asciiTheme="majorBidi" w:hAnsiTheme="majorBidi" w:cstheme="majorBidi"/>
          <w:noProof/>
        </w:rPr>
        <w:t xml:space="preserve"> </w:t>
      </w:r>
      <w:r w:rsidR="45B2C5D3" w:rsidRPr="00D4396B">
        <w:rPr>
          <w:rFonts w:asciiTheme="majorBidi" w:hAnsiTheme="majorBidi" w:cstheme="majorBidi"/>
          <w:noProof/>
        </w:rPr>
        <w:t xml:space="preserve">more </w:t>
      </w:r>
      <w:r w:rsidR="008E0F09">
        <w:rPr>
          <w:rFonts w:asciiTheme="majorBidi" w:hAnsiTheme="majorBidi" w:cstheme="majorBidi"/>
          <w:noProof/>
        </w:rPr>
        <w:t>time-consuming</w:t>
      </w:r>
      <w:r w:rsidR="009D281C">
        <w:rPr>
          <w:rFonts w:asciiTheme="majorBidi" w:hAnsiTheme="majorBidi" w:cstheme="majorBidi"/>
          <w:noProof/>
        </w:rPr>
        <w:t>.</w:t>
      </w:r>
      <w:r w:rsidR="007F7CC8" w:rsidRPr="00D4396B">
        <w:rPr>
          <w:rStyle w:val="FootnoteReference"/>
          <w:rFonts w:asciiTheme="majorBidi" w:hAnsiTheme="majorBidi" w:cstheme="majorBidi"/>
          <w:noProof/>
        </w:rPr>
        <w:footnoteReference w:id="65"/>
      </w:r>
    </w:p>
    <w:p w14:paraId="50F34F88" w14:textId="129D216A" w:rsidR="00B71D68" w:rsidRPr="00D4396B" w:rsidRDefault="00B71D68" w:rsidP="00B71D68">
      <w:pPr>
        <w:pStyle w:val="NormalWeb"/>
        <w:spacing w:before="0" w:beforeAutospacing="0" w:after="120" w:afterAutospacing="0"/>
        <w:jc w:val="both"/>
        <w:rPr>
          <w:rFonts w:asciiTheme="majorBidi" w:hAnsiTheme="majorBidi" w:cstheme="majorBidi"/>
          <w:noProof/>
        </w:rPr>
      </w:pPr>
      <w:r w:rsidRPr="00B71D68">
        <w:rPr>
          <w:rFonts w:asciiTheme="majorBidi" w:hAnsiTheme="majorBidi" w:cstheme="majorBidi"/>
          <w:noProof/>
          <w:lang w:val="en-GB"/>
        </w:rPr>
        <w:t>In the absence of an international agreement, Eurojust has</w:t>
      </w:r>
      <w:r>
        <w:rPr>
          <w:rFonts w:asciiTheme="majorBidi" w:hAnsiTheme="majorBidi" w:cstheme="majorBidi"/>
          <w:noProof/>
          <w:lang w:val="en-GB"/>
        </w:rPr>
        <w:t xml:space="preserve"> only</w:t>
      </w:r>
      <w:r w:rsidRPr="00B71D68">
        <w:rPr>
          <w:rFonts w:asciiTheme="majorBidi" w:hAnsiTheme="majorBidi" w:cstheme="majorBidi"/>
          <w:noProof/>
          <w:lang w:val="en-GB"/>
        </w:rPr>
        <w:t xml:space="preserve"> limited and unstructured means to engage with international partners.</w:t>
      </w:r>
      <w:r w:rsidRPr="00B71D68">
        <w:rPr>
          <w:rStyle w:val="FootnoteReference"/>
          <w:rFonts w:asciiTheme="majorBidi" w:hAnsiTheme="majorBidi" w:cstheme="majorBidi"/>
          <w:noProof/>
        </w:rPr>
        <w:t xml:space="preserve"> </w:t>
      </w:r>
      <w:r w:rsidRPr="00D4396B">
        <w:rPr>
          <w:rStyle w:val="FootnoteReference"/>
          <w:rFonts w:asciiTheme="majorBidi" w:hAnsiTheme="majorBidi" w:cstheme="majorBidi"/>
          <w:noProof/>
        </w:rPr>
        <w:footnoteReference w:id="66"/>
      </w:r>
    </w:p>
    <w:p w14:paraId="3058CD41" w14:textId="38360E53" w:rsidR="00A63B53" w:rsidRPr="00D4396B" w:rsidRDefault="0092673A" w:rsidP="000C3545">
      <w:pPr>
        <w:pStyle w:val="Heading3"/>
        <w:rPr>
          <w:noProof/>
        </w:rPr>
      </w:pPr>
      <w:bookmarkStart w:id="65" w:name="_Toc635686973"/>
      <w:bookmarkStart w:id="66" w:name="_Toc1176847747"/>
      <w:bookmarkStart w:id="67" w:name="_Toc1216284391"/>
      <w:bookmarkStart w:id="68" w:name="_Toc323582214"/>
      <w:bookmarkStart w:id="69" w:name="_Toc121055404"/>
      <w:bookmarkStart w:id="70" w:name="_Toc224109558"/>
      <w:bookmarkStart w:id="71" w:name="_Toc232176401"/>
      <w:r w:rsidRPr="00D4396B">
        <w:rPr>
          <w:noProof/>
        </w:rPr>
        <w:t>2.2.2.</w:t>
      </w:r>
      <w:r w:rsidR="00F22FFF">
        <w:rPr>
          <w:noProof/>
        </w:rPr>
        <w:t xml:space="preserve"> </w:t>
      </w:r>
      <w:r w:rsidR="00A63B53" w:rsidRPr="00D4396B">
        <w:rPr>
          <w:noProof/>
        </w:rPr>
        <w:t xml:space="preserve">What are the </w:t>
      </w:r>
      <w:r w:rsidR="00A63B53" w:rsidRPr="00747F6E">
        <w:rPr>
          <w:noProof/>
        </w:rPr>
        <w:t>problem</w:t>
      </w:r>
      <w:r w:rsidR="00A63B53" w:rsidRPr="00D4396B">
        <w:rPr>
          <w:noProof/>
        </w:rPr>
        <w:t xml:space="preserve"> drivers?</w:t>
      </w:r>
      <w:bookmarkEnd w:id="65"/>
      <w:bookmarkEnd w:id="66"/>
      <w:bookmarkEnd w:id="67"/>
      <w:bookmarkEnd w:id="68"/>
      <w:bookmarkEnd w:id="69"/>
      <w:bookmarkEnd w:id="70"/>
      <w:bookmarkEnd w:id="71"/>
    </w:p>
    <w:p w14:paraId="2A83A8AB" w14:textId="6351746B" w:rsidR="00A42C7F" w:rsidRDefault="006F135E" w:rsidP="0CB34AD2">
      <w:pPr>
        <w:pStyle w:val="NormalWeb"/>
        <w:spacing w:before="0" w:beforeAutospacing="0" w:after="120" w:afterAutospacing="0"/>
        <w:jc w:val="both"/>
        <w:rPr>
          <w:rFonts w:asciiTheme="majorBidi" w:hAnsiTheme="majorBidi" w:cstheme="majorBidi"/>
          <w:noProof/>
        </w:rPr>
      </w:pPr>
      <w:r>
        <w:rPr>
          <w:rFonts w:asciiTheme="majorBidi" w:hAnsiTheme="majorBidi" w:cstheme="majorBidi"/>
          <w:b/>
          <w:bCs/>
          <w:noProof/>
          <w:u w:val="single"/>
        </w:rPr>
        <w:t xml:space="preserve">Problem </w:t>
      </w:r>
      <w:r w:rsidRPr="09ECF753">
        <w:rPr>
          <w:rFonts w:asciiTheme="majorBidi" w:hAnsiTheme="majorBidi" w:cstheme="majorBidi"/>
          <w:b/>
          <w:bCs/>
          <w:noProof/>
          <w:u w:val="single"/>
        </w:rPr>
        <w:t>drive</w:t>
      </w:r>
      <w:r w:rsidR="2B807817" w:rsidRPr="09ECF753">
        <w:rPr>
          <w:rFonts w:asciiTheme="majorBidi" w:hAnsiTheme="majorBidi" w:cstheme="majorBidi"/>
          <w:b/>
          <w:bCs/>
          <w:noProof/>
          <w:u w:val="single"/>
        </w:rPr>
        <w:t>r</w:t>
      </w:r>
      <w:r>
        <w:rPr>
          <w:rFonts w:asciiTheme="majorBidi" w:hAnsiTheme="majorBidi" w:cstheme="majorBidi"/>
          <w:b/>
          <w:bCs/>
          <w:noProof/>
          <w:u w:val="single"/>
        </w:rPr>
        <w:t xml:space="preserve"> #6</w:t>
      </w:r>
      <w:r>
        <w:rPr>
          <w:rFonts w:asciiTheme="majorBidi" w:hAnsiTheme="majorBidi" w:cstheme="majorBidi"/>
          <w:noProof/>
        </w:rPr>
        <w:t xml:space="preserve"> </w:t>
      </w:r>
      <w:r w:rsidR="00F329A4">
        <w:rPr>
          <w:rFonts w:asciiTheme="majorBidi" w:hAnsiTheme="majorBidi" w:cstheme="majorBidi"/>
          <w:noProof/>
        </w:rPr>
        <w:t xml:space="preserve">relates to </w:t>
      </w:r>
      <w:r w:rsidR="0018434B">
        <w:rPr>
          <w:rFonts w:asciiTheme="majorBidi" w:hAnsiTheme="majorBidi" w:cstheme="majorBidi"/>
          <w:b/>
          <w:bCs/>
          <w:noProof/>
        </w:rPr>
        <w:t xml:space="preserve">uncertainties </w:t>
      </w:r>
      <w:r w:rsidR="002D13A8">
        <w:rPr>
          <w:rFonts w:asciiTheme="majorBidi" w:hAnsiTheme="majorBidi" w:cstheme="majorBidi"/>
          <w:b/>
          <w:bCs/>
          <w:noProof/>
        </w:rPr>
        <w:t xml:space="preserve">in the application of </w:t>
      </w:r>
      <w:r w:rsidR="004C372B">
        <w:rPr>
          <w:rFonts w:asciiTheme="majorBidi" w:hAnsiTheme="majorBidi" w:cstheme="majorBidi"/>
          <w:b/>
          <w:bCs/>
          <w:noProof/>
        </w:rPr>
        <w:t xml:space="preserve">the data protection framework </w:t>
      </w:r>
      <w:r w:rsidR="004C372B">
        <w:rPr>
          <w:rFonts w:asciiTheme="majorBidi" w:hAnsiTheme="majorBidi" w:cstheme="majorBidi"/>
          <w:noProof/>
        </w:rPr>
        <w:t xml:space="preserve">and </w:t>
      </w:r>
      <w:r w:rsidR="004C372B">
        <w:rPr>
          <w:rFonts w:asciiTheme="majorBidi" w:hAnsiTheme="majorBidi" w:cstheme="majorBidi"/>
          <w:b/>
          <w:bCs/>
          <w:noProof/>
        </w:rPr>
        <w:t xml:space="preserve">constraints </w:t>
      </w:r>
      <w:r w:rsidR="00C171C2">
        <w:rPr>
          <w:rFonts w:asciiTheme="majorBidi" w:hAnsiTheme="majorBidi" w:cstheme="majorBidi"/>
          <w:b/>
          <w:bCs/>
          <w:noProof/>
        </w:rPr>
        <w:t>stemming from the data ownership principle</w:t>
      </w:r>
      <w:r w:rsidR="00C171C2">
        <w:rPr>
          <w:rFonts w:asciiTheme="majorBidi" w:hAnsiTheme="majorBidi" w:cstheme="majorBidi"/>
          <w:noProof/>
        </w:rPr>
        <w:t>.</w:t>
      </w:r>
    </w:p>
    <w:p w14:paraId="607AF0D8" w14:textId="3BE5129C" w:rsidR="00E65E51" w:rsidRDefault="006F0054" w:rsidP="008E10F8">
      <w:pPr>
        <w:pStyle w:val="NormalWeb"/>
        <w:spacing w:before="0" w:beforeAutospacing="0" w:after="120" w:afterAutospacing="0"/>
        <w:jc w:val="both"/>
        <w:rPr>
          <w:rFonts w:asciiTheme="majorBidi" w:hAnsiTheme="majorBidi" w:cstheme="majorBidi"/>
          <w:noProof/>
          <w:lang w:val="en-GB"/>
        </w:rPr>
      </w:pPr>
      <w:r>
        <w:rPr>
          <w:rFonts w:asciiTheme="majorBidi" w:hAnsiTheme="majorBidi" w:cstheme="majorBidi"/>
          <w:noProof/>
          <w:lang w:val="en-GB"/>
        </w:rPr>
        <w:t>This driver stems from a mix of legal and implementation problems</w:t>
      </w:r>
      <w:r w:rsidR="00F73BB8">
        <w:rPr>
          <w:rFonts w:asciiTheme="majorBidi" w:hAnsiTheme="majorBidi" w:cstheme="majorBidi"/>
          <w:noProof/>
          <w:lang w:val="en-GB"/>
        </w:rPr>
        <w:t>.</w:t>
      </w:r>
    </w:p>
    <w:p w14:paraId="792F1B00" w14:textId="228E4206" w:rsidR="008E10F8" w:rsidRDefault="008E10F8" w:rsidP="008E10F8">
      <w:pPr>
        <w:pStyle w:val="NormalWeb"/>
        <w:spacing w:before="0" w:beforeAutospacing="0" w:after="120" w:afterAutospacing="0"/>
        <w:jc w:val="both"/>
        <w:rPr>
          <w:rFonts w:asciiTheme="majorBidi" w:hAnsiTheme="majorBidi" w:cstheme="majorBidi"/>
          <w:noProof/>
          <w:lang w:val="en-GB"/>
        </w:rPr>
      </w:pPr>
      <w:r w:rsidRPr="000319FF">
        <w:rPr>
          <w:rFonts w:asciiTheme="majorBidi" w:hAnsiTheme="majorBidi" w:cstheme="majorBidi"/>
          <w:noProof/>
          <w:lang w:val="en-GB"/>
        </w:rPr>
        <w:t>Differences in the understanding of data protection requirements</w:t>
      </w:r>
      <w:r w:rsidRPr="000C3E9B">
        <w:rPr>
          <w:rFonts w:asciiTheme="majorBidi" w:hAnsiTheme="majorBidi" w:cstheme="majorBidi"/>
          <w:noProof/>
        </w:rPr>
        <w:t xml:space="preserve"> across Member States, Eurojust and</w:t>
      </w:r>
      <w:r>
        <w:rPr>
          <w:rFonts w:asciiTheme="majorBidi" w:hAnsiTheme="majorBidi" w:cstheme="majorBidi"/>
          <w:noProof/>
        </w:rPr>
        <w:t xml:space="preserve"> EU</w:t>
      </w:r>
      <w:r w:rsidRPr="000C3E9B">
        <w:rPr>
          <w:rFonts w:asciiTheme="majorBidi" w:hAnsiTheme="majorBidi" w:cstheme="majorBidi"/>
          <w:noProof/>
        </w:rPr>
        <w:t xml:space="preserve"> partner</w:t>
      </w:r>
      <w:r>
        <w:rPr>
          <w:rFonts w:asciiTheme="majorBidi" w:hAnsiTheme="majorBidi" w:cstheme="majorBidi"/>
          <w:noProof/>
        </w:rPr>
        <w:t>s</w:t>
      </w:r>
      <w:r w:rsidR="00DD2021">
        <w:rPr>
          <w:rFonts w:asciiTheme="majorBidi" w:hAnsiTheme="majorBidi" w:cstheme="majorBidi"/>
          <w:noProof/>
        </w:rPr>
        <w:t xml:space="preserve"> </w:t>
      </w:r>
      <w:r w:rsidR="00310A7A">
        <w:rPr>
          <w:rFonts w:asciiTheme="majorBidi" w:hAnsiTheme="majorBidi" w:cstheme="majorBidi"/>
          <w:noProof/>
        </w:rPr>
        <w:t>may</w:t>
      </w:r>
      <w:r w:rsidRPr="000C3E9B">
        <w:rPr>
          <w:rFonts w:asciiTheme="majorBidi" w:hAnsiTheme="majorBidi" w:cstheme="majorBidi"/>
          <w:noProof/>
        </w:rPr>
        <w:t xml:space="preserve"> result in </w:t>
      </w:r>
      <w:r w:rsidR="00BC13AB">
        <w:rPr>
          <w:rFonts w:asciiTheme="majorBidi" w:hAnsiTheme="majorBidi" w:cstheme="majorBidi"/>
          <w:noProof/>
        </w:rPr>
        <w:t xml:space="preserve">delays and </w:t>
      </w:r>
      <w:r>
        <w:rPr>
          <w:rFonts w:asciiTheme="majorBidi" w:hAnsiTheme="majorBidi" w:cstheme="majorBidi"/>
          <w:noProof/>
        </w:rPr>
        <w:t xml:space="preserve">under-sharing of data for investigations. </w:t>
      </w:r>
      <w:r w:rsidRPr="00D44830">
        <w:rPr>
          <w:rFonts w:asciiTheme="majorBidi" w:hAnsiTheme="majorBidi" w:cstheme="majorBidi"/>
          <w:noProof/>
          <w:lang w:val="en-GB"/>
        </w:rPr>
        <w:t>Data Protection Officers apply varying levels of caution when assessing whether the conditions for the transfer of operational data are met, with such assessments often proving complex and burdensome.</w:t>
      </w:r>
      <w:r w:rsidRPr="000C3E9B">
        <w:rPr>
          <w:rStyle w:val="FootnoteReference"/>
          <w:rFonts w:asciiTheme="majorBidi" w:hAnsiTheme="majorBidi" w:cstheme="majorBidi"/>
          <w:noProof/>
        </w:rPr>
        <w:footnoteReference w:id="67"/>
      </w:r>
    </w:p>
    <w:p w14:paraId="1F2BD786" w14:textId="06A86DD7" w:rsidR="008E10F8" w:rsidRDefault="008E10F8" w:rsidP="008E10F8">
      <w:pPr>
        <w:pStyle w:val="NormalWeb"/>
        <w:spacing w:before="0" w:beforeAutospacing="0" w:after="120" w:afterAutospacing="0"/>
        <w:jc w:val="both"/>
        <w:rPr>
          <w:rFonts w:asciiTheme="majorBidi" w:hAnsiTheme="majorBidi" w:cstheme="majorBidi"/>
          <w:noProof/>
          <w:lang w:val="en-GB"/>
        </w:rPr>
      </w:pPr>
      <w:r w:rsidRPr="00C167CA">
        <w:rPr>
          <w:rFonts w:asciiTheme="majorBidi" w:hAnsiTheme="majorBidi" w:cstheme="majorBidi"/>
          <w:noProof/>
          <w:lang w:val="en-GB"/>
        </w:rPr>
        <w:t xml:space="preserve">In addition, the flow of information is constrained by the data ownership principle. </w:t>
      </w:r>
      <w:r w:rsidR="00221CC6">
        <w:rPr>
          <w:rFonts w:asciiTheme="majorBidi" w:hAnsiTheme="majorBidi" w:cstheme="majorBidi"/>
          <w:noProof/>
          <w:lang w:val="en-GB"/>
        </w:rPr>
        <w:t>The checks to</w:t>
      </w:r>
      <w:r w:rsidRPr="00C167CA">
        <w:rPr>
          <w:rFonts w:asciiTheme="majorBidi" w:hAnsiTheme="majorBidi" w:cstheme="majorBidi"/>
          <w:noProof/>
          <w:lang w:val="en-GB"/>
        </w:rPr>
        <w:t xml:space="preserve"> ensur</w:t>
      </w:r>
      <w:r w:rsidR="00221CC6">
        <w:rPr>
          <w:rFonts w:asciiTheme="majorBidi" w:hAnsiTheme="majorBidi" w:cstheme="majorBidi"/>
          <w:noProof/>
          <w:lang w:val="en-GB"/>
        </w:rPr>
        <w:t>e</w:t>
      </w:r>
      <w:r w:rsidRPr="00C167CA">
        <w:rPr>
          <w:rFonts w:asciiTheme="majorBidi" w:hAnsiTheme="majorBidi" w:cstheme="majorBidi"/>
          <w:noProof/>
          <w:lang w:val="en-GB"/>
        </w:rPr>
        <w:t xml:space="preserve"> that Member States retain control over the use of the data they provide may slow down exchanges between partner agencies, which must verify conditions or seek the data owner’s consent before</w:t>
      </w:r>
      <w:r>
        <w:rPr>
          <w:rFonts w:asciiTheme="majorBidi" w:hAnsiTheme="majorBidi" w:cstheme="majorBidi"/>
          <w:noProof/>
          <w:lang w:val="en-GB"/>
        </w:rPr>
        <w:t xml:space="preserve"> onward</w:t>
      </w:r>
      <w:r w:rsidRPr="00C167CA">
        <w:rPr>
          <w:rFonts w:asciiTheme="majorBidi" w:hAnsiTheme="majorBidi" w:cstheme="majorBidi"/>
          <w:noProof/>
          <w:lang w:val="en-GB"/>
        </w:rPr>
        <w:t xml:space="preserve"> sharing relevant data.</w:t>
      </w:r>
      <w:r w:rsidRPr="000C3E9B">
        <w:rPr>
          <w:rStyle w:val="FootnoteReference"/>
          <w:rFonts w:asciiTheme="majorBidi" w:hAnsiTheme="majorBidi" w:cstheme="majorBidi"/>
          <w:noProof/>
          <w:lang w:val="en-GB"/>
        </w:rPr>
        <w:footnoteReference w:id="68"/>
      </w:r>
    </w:p>
    <w:p w14:paraId="6FF7E15B" w14:textId="0AD1C4D9" w:rsidR="008E10F8" w:rsidRDefault="008E10F8" w:rsidP="008E10F8">
      <w:pPr>
        <w:pStyle w:val="NormalWeb"/>
        <w:spacing w:before="0" w:beforeAutospacing="0" w:after="120" w:afterAutospacing="0"/>
        <w:jc w:val="both"/>
        <w:rPr>
          <w:rFonts w:asciiTheme="majorBidi" w:hAnsiTheme="majorBidi" w:cstheme="majorBidi"/>
          <w:noProof/>
        </w:rPr>
      </w:pPr>
      <w:r>
        <w:rPr>
          <w:rFonts w:asciiTheme="majorBidi" w:hAnsiTheme="majorBidi" w:cstheme="majorBidi"/>
          <w:noProof/>
          <w:lang w:val="en-GB"/>
        </w:rPr>
        <w:t>Regarding international cooperation, the absence of a data protection framework in third countries and international organisations</w:t>
      </w:r>
      <w:r w:rsidR="00B46809">
        <w:rPr>
          <w:rFonts w:asciiTheme="majorBidi" w:hAnsiTheme="majorBidi" w:cstheme="majorBidi"/>
          <w:noProof/>
          <w:lang w:val="en-GB"/>
        </w:rPr>
        <w:t xml:space="preserve"> – </w:t>
      </w:r>
      <w:r>
        <w:rPr>
          <w:rFonts w:asciiTheme="majorBidi" w:hAnsiTheme="majorBidi" w:cstheme="majorBidi"/>
          <w:noProof/>
          <w:lang w:val="en-GB"/>
        </w:rPr>
        <w:t>or its misalignment with the EU requirements</w:t>
      </w:r>
      <w:r w:rsidR="00B46809">
        <w:rPr>
          <w:rFonts w:asciiTheme="majorBidi" w:hAnsiTheme="majorBidi" w:cstheme="majorBidi"/>
          <w:noProof/>
          <w:lang w:val="en-GB"/>
        </w:rPr>
        <w:t xml:space="preserve"> – </w:t>
      </w:r>
      <w:r>
        <w:rPr>
          <w:rFonts w:asciiTheme="majorBidi" w:hAnsiTheme="majorBidi" w:cstheme="majorBidi"/>
          <w:noProof/>
          <w:lang w:val="en-GB"/>
        </w:rPr>
        <w:t>may delay or prevent the conclusion of international agreements enabling a structured transfer of information.</w:t>
      </w:r>
      <w:r w:rsidRPr="000C3E9B">
        <w:rPr>
          <w:rStyle w:val="FootnoteReference"/>
          <w:rFonts w:asciiTheme="majorBidi" w:hAnsiTheme="majorBidi" w:cstheme="majorBidi"/>
          <w:noProof/>
        </w:rPr>
        <w:footnoteReference w:id="69"/>
      </w:r>
    </w:p>
    <w:p w14:paraId="59C714B9" w14:textId="0AFB454F" w:rsidR="00A63B53" w:rsidRPr="00D4396B" w:rsidRDefault="008E10F8" w:rsidP="002117BA">
      <w:pPr>
        <w:pStyle w:val="NormalWeb"/>
        <w:spacing w:before="0" w:beforeAutospacing="0" w:after="120" w:afterAutospacing="0"/>
        <w:jc w:val="both"/>
        <w:rPr>
          <w:rFonts w:asciiTheme="majorBidi" w:hAnsiTheme="majorBidi" w:cstheme="majorBidi"/>
          <w:noProof/>
          <w:lang w:val="en-GB"/>
        </w:rPr>
      </w:pPr>
      <w:r w:rsidRPr="000C3E9B">
        <w:rPr>
          <w:rFonts w:asciiTheme="majorBidi" w:hAnsiTheme="majorBidi" w:cstheme="majorBidi"/>
          <w:noProof/>
          <w:lang w:val="en-GB"/>
        </w:rPr>
        <w:t>Transfers subject to appropriate safeguards</w:t>
      </w:r>
      <w:r w:rsidR="00B46809">
        <w:rPr>
          <w:rFonts w:asciiTheme="majorBidi" w:hAnsiTheme="majorBidi" w:cstheme="majorBidi"/>
          <w:noProof/>
          <w:lang w:val="en-GB"/>
        </w:rPr>
        <w:t xml:space="preserve"> – </w:t>
      </w:r>
      <w:r w:rsidRPr="000C3E9B">
        <w:rPr>
          <w:rFonts w:asciiTheme="majorBidi" w:hAnsiTheme="majorBidi" w:cstheme="majorBidi"/>
          <w:noProof/>
          <w:lang w:val="en-GB"/>
        </w:rPr>
        <w:t>or based on derogations for specific situations</w:t>
      </w:r>
      <w:r w:rsidR="00B46809">
        <w:rPr>
          <w:rFonts w:asciiTheme="majorBidi" w:hAnsiTheme="majorBidi" w:cstheme="majorBidi"/>
          <w:noProof/>
          <w:lang w:val="en-GB"/>
        </w:rPr>
        <w:t xml:space="preserve"> – </w:t>
      </w:r>
      <w:r w:rsidRPr="000C3E9B">
        <w:rPr>
          <w:rFonts w:asciiTheme="majorBidi" w:hAnsiTheme="majorBidi" w:cstheme="majorBidi"/>
          <w:noProof/>
          <w:lang w:val="en-GB"/>
        </w:rPr>
        <w:t>may remain unused due to divergent interpretation of the provisions or over-compliance.</w:t>
      </w:r>
      <w:r w:rsidRPr="000C3E9B">
        <w:rPr>
          <w:rStyle w:val="FootnoteReference"/>
          <w:rFonts w:asciiTheme="majorBidi" w:hAnsiTheme="majorBidi" w:cstheme="majorBidi"/>
          <w:noProof/>
          <w:lang w:val="en-GB"/>
        </w:rPr>
        <w:footnoteReference w:id="70"/>
      </w:r>
    </w:p>
    <w:p w14:paraId="33593665" w14:textId="1A995C14" w:rsidR="00DE19FC" w:rsidRPr="005B262E" w:rsidRDefault="00E149F6" w:rsidP="0092673A">
      <w:pPr>
        <w:pStyle w:val="NormalWeb"/>
        <w:spacing w:before="0" w:beforeAutospacing="0" w:after="120" w:afterAutospacing="0"/>
        <w:jc w:val="both"/>
        <w:rPr>
          <w:rFonts w:asciiTheme="majorBidi" w:hAnsiTheme="majorBidi" w:cstheme="majorBidi"/>
          <w:noProof/>
          <w:lang w:val="en-GB"/>
        </w:rPr>
      </w:pPr>
      <w:r>
        <w:rPr>
          <w:rFonts w:asciiTheme="majorBidi" w:hAnsiTheme="majorBidi" w:cstheme="majorBidi"/>
          <w:b/>
          <w:bCs/>
          <w:noProof/>
          <w:u w:val="single"/>
          <w:lang w:val="en-GB"/>
        </w:rPr>
        <w:t>Problem driver #7</w:t>
      </w:r>
      <w:r w:rsidR="00A45962">
        <w:rPr>
          <w:rFonts w:asciiTheme="majorBidi" w:hAnsiTheme="majorBidi" w:cstheme="majorBidi"/>
          <w:noProof/>
          <w:lang w:val="en-GB"/>
        </w:rPr>
        <w:t xml:space="preserve"> </w:t>
      </w:r>
      <w:r w:rsidR="00C82B8B">
        <w:rPr>
          <w:rFonts w:asciiTheme="majorBidi" w:hAnsiTheme="majorBidi" w:cstheme="majorBidi"/>
          <w:noProof/>
          <w:lang w:val="en-GB"/>
        </w:rPr>
        <w:t xml:space="preserve">concerns the </w:t>
      </w:r>
      <w:r w:rsidR="00C75988">
        <w:rPr>
          <w:rFonts w:asciiTheme="majorBidi" w:hAnsiTheme="majorBidi" w:cstheme="majorBidi"/>
          <w:b/>
          <w:bCs/>
          <w:noProof/>
          <w:lang w:val="en-GB"/>
        </w:rPr>
        <w:t>still-developing</w:t>
      </w:r>
      <w:r w:rsidR="00C82B8B">
        <w:rPr>
          <w:rFonts w:asciiTheme="majorBidi" w:hAnsiTheme="majorBidi" w:cstheme="majorBidi"/>
          <w:b/>
          <w:bCs/>
          <w:noProof/>
          <w:lang w:val="en-GB"/>
        </w:rPr>
        <w:t xml:space="preserve"> institutionalisation of </w:t>
      </w:r>
      <w:r w:rsidR="00C75988">
        <w:rPr>
          <w:rFonts w:asciiTheme="majorBidi" w:hAnsiTheme="majorBidi" w:cstheme="majorBidi"/>
          <w:b/>
          <w:bCs/>
          <w:noProof/>
          <w:lang w:val="en-GB"/>
        </w:rPr>
        <w:t xml:space="preserve">cooperation </w:t>
      </w:r>
      <w:r w:rsidR="005B262E">
        <w:rPr>
          <w:rFonts w:asciiTheme="majorBidi" w:hAnsiTheme="majorBidi" w:cstheme="majorBidi"/>
          <w:b/>
          <w:bCs/>
          <w:noProof/>
          <w:lang w:val="en-GB"/>
        </w:rPr>
        <w:t>among partners at EU level</w:t>
      </w:r>
      <w:r w:rsidR="005B262E">
        <w:rPr>
          <w:rFonts w:asciiTheme="majorBidi" w:hAnsiTheme="majorBidi" w:cstheme="majorBidi"/>
          <w:noProof/>
          <w:lang w:val="en-GB"/>
        </w:rPr>
        <w:t>.</w:t>
      </w:r>
    </w:p>
    <w:p w14:paraId="50A6A698" w14:textId="4687B36D" w:rsidR="008D6995" w:rsidRDefault="00A5750F" w:rsidP="384F7AB1">
      <w:pPr>
        <w:pStyle w:val="NormalWeb"/>
        <w:spacing w:before="0" w:beforeAutospacing="0" w:after="120" w:afterAutospacing="0"/>
        <w:jc w:val="both"/>
        <w:rPr>
          <w:rFonts w:asciiTheme="majorBidi" w:hAnsiTheme="majorBidi" w:cstheme="majorBidi"/>
          <w:noProof/>
        </w:rPr>
      </w:pPr>
      <w:r w:rsidRPr="384F7AB1">
        <w:rPr>
          <w:rFonts w:asciiTheme="majorBidi" w:hAnsiTheme="majorBidi" w:cstheme="majorBidi"/>
          <w:noProof/>
        </w:rPr>
        <w:t>This driver stems f</w:t>
      </w:r>
      <w:r w:rsidR="007D0A87" w:rsidRPr="384F7AB1">
        <w:rPr>
          <w:rFonts w:asciiTheme="majorBidi" w:hAnsiTheme="majorBidi" w:cstheme="majorBidi"/>
          <w:noProof/>
        </w:rPr>
        <w:t>ro</w:t>
      </w:r>
      <w:r w:rsidRPr="384F7AB1">
        <w:rPr>
          <w:rFonts w:asciiTheme="majorBidi" w:hAnsiTheme="majorBidi" w:cstheme="majorBidi"/>
          <w:noProof/>
        </w:rPr>
        <w:t>m legal and implementation problems</w:t>
      </w:r>
      <w:r w:rsidR="00243FA6" w:rsidRPr="384F7AB1">
        <w:rPr>
          <w:rFonts w:asciiTheme="majorBidi" w:hAnsiTheme="majorBidi" w:cstheme="majorBidi"/>
          <w:noProof/>
        </w:rPr>
        <w:t xml:space="preserve">, driven </w:t>
      </w:r>
      <w:r w:rsidR="00B9511B" w:rsidRPr="384F7AB1">
        <w:rPr>
          <w:rFonts w:asciiTheme="majorBidi" w:hAnsiTheme="majorBidi" w:cstheme="majorBidi"/>
          <w:noProof/>
        </w:rPr>
        <w:t xml:space="preserve">especially </w:t>
      </w:r>
      <w:r w:rsidR="00DF3205" w:rsidRPr="384F7AB1">
        <w:rPr>
          <w:rFonts w:asciiTheme="majorBidi" w:hAnsiTheme="majorBidi" w:cstheme="majorBidi"/>
          <w:noProof/>
        </w:rPr>
        <w:t xml:space="preserve">by the lack of formalised </w:t>
      </w:r>
      <w:r w:rsidR="00F705BE" w:rsidRPr="384F7AB1">
        <w:rPr>
          <w:rFonts w:asciiTheme="majorBidi" w:hAnsiTheme="majorBidi" w:cstheme="majorBidi"/>
          <w:noProof/>
        </w:rPr>
        <w:t xml:space="preserve">frameworks for cooperation. </w:t>
      </w:r>
    </w:p>
    <w:p w14:paraId="451AF157" w14:textId="6541E56B" w:rsidR="00AC1862" w:rsidRDefault="08FC6AC7" w:rsidP="0092673A">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rPr>
        <w:t>Eurojust cooperates with</w:t>
      </w:r>
      <w:r w:rsidR="00B8776B">
        <w:rPr>
          <w:rFonts w:asciiTheme="majorBidi" w:hAnsiTheme="majorBidi" w:cstheme="majorBidi"/>
          <w:noProof/>
        </w:rPr>
        <w:t xml:space="preserve"> IBOAs</w:t>
      </w:r>
      <w:r w:rsidR="00C243F4">
        <w:rPr>
          <w:rFonts w:asciiTheme="majorBidi" w:hAnsiTheme="majorBidi" w:cstheme="majorBidi"/>
          <w:noProof/>
        </w:rPr>
        <w:t xml:space="preserve"> within and beyond the Justice and </w:t>
      </w:r>
      <w:r w:rsidR="00EF12DF">
        <w:rPr>
          <w:rFonts w:asciiTheme="majorBidi" w:hAnsiTheme="majorBidi" w:cstheme="majorBidi"/>
          <w:noProof/>
        </w:rPr>
        <w:t>Home Affairs (JHA) area</w:t>
      </w:r>
      <w:r w:rsidR="00066632">
        <w:rPr>
          <w:rFonts w:asciiTheme="majorBidi" w:hAnsiTheme="majorBidi" w:cstheme="majorBidi"/>
          <w:noProof/>
        </w:rPr>
        <w:t>, as well as with network</w:t>
      </w:r>
      <w:r w:rsidR="00024D4A">
        <w:rPr>
          <w:rFonts w:asciiTheme="majorBidi" w:hAnsiTheme="majorBidi" w:cstheme="majorBidi"/>
          <w:noProof/>
        </w:rPr>
        <w:t>s</w:t>
      </w:r>
      <w:r w:rsidR="00066632">
        <w:rPr>
          <w:rFonts w:asciiTheme="majorBidi" w:hAnsiTheme="majorBidi" w:cstheme="majorBidi"/>
          <w:noProof/>
        </w:rPr>
        <w:t xml:space="preserve"> and other actors at EU level</w:t>
      </w:r>
      <w:r w:rsidR="00334DFB">
        <w:rPr>
          <w:rFonts w:asciiTheme="majorBidi" w:hAnsiTheme="majorBidi" w:cstheme="majorBidi"/>
          <w:noProof/>
          <w:lang w:val="en-GB"/>
        </w:rPr>
        <w:t xml:space="preserve">. </w:t>
      </w:r>
      <w:r w:rsidR="00334DFB" w:rsidRPr="00334DFB">
        <w:rPr>
          <w:rFonts w:asciiTheme="majorBidi" w:hAnsiTheme="majorBidi" w:cstheme="majorBidi"/>
          <w:noProof/>
          <w:lang w:val="en-GB"/>
        </w:rPr>
        <w:t>However,</w:t>
      </w:r>
      <w:r w:rsidR="00252F42">
        <w:rPr>
          <w:rFonts w:asciiTheme="majorBidi" w:hAnsiTheme="majorBidi" w:cstheme="majorBidi"/>
          <w:noProof/>
          <w:lang w:val="en-GB"/>
        </w:rPr>
        <w:t xml:space="preserve"> </w:t>
      </w:r>
      <w:r w:rsidR="00AB5636">
        <w:rPr>
          <w:rFonts w:asciiTheme="majorBidi" w:hAnsiTheme="majorBidi" w:cstheme="majorBidi"/>
          <w:noProof/>
          <w:lang w:val="en-GB"/>
        </w:rPr>
        <w:t>the arrangements in place</w:t>
      </w:r>
      <w:r w:rsidR="00334DFB" w:rsidRPr="00334DFB">
        <w:rPr>
          <w:rFonts w:asciiTheme="majorBidi" w:hAnsiTheme="majorBidi" w:cstheme="majorBidi"/>
          <w:noProof/>
          <w:lang w:val="en-GB"/>
        </w:rPr>
        <w:t xml:space="preserve"> vary</w:t>
      </w:r>
      <w:r w:rsidR="005D0F4E">
        <w:rPr>
          <w:rFonts w:asciiTheme="majorBidi" w:hAnsiTheme="majorBidi" w:cstheme="majorBidi"/>
          <w:noProof/>
          <w:lang w:val="en-GB"/>
        </w:rPr>
        <w:t xml:space="preserve"> widely, reflecting </w:t>
      </w:r>
      <w:r w:rsidR="00334DFB" w:rsidRPr="00334DFB">
        <w:rPr>
          <w:rFonts w:asciiTheme="majorBidi" w:hAnsiTheme="majorBidi" w:cstheme="majorBidi"/>
          <w:noProof/>
          <w:lang w:val="en-GB"/>
        </w:rPr>
        <w:t>the degree to which cooperation is institutionalised within each actor’s framework, ranging from ad hoc to more structured forms of cooperation.</w:t>
      </w:r>
      <w:r w:rsidR="003F1118">
        <w:rPr>
          <w:rFonts w:asciiTheme="majorBidi" w:hAnsiTheme="majorBidi" w:cstheme="majorBidi"/>
          <w:noProof/>
        </w:rPr>
        <w:t xml:space="preserve"> </w:t>
      </w:r>
      <w:r w:rsidR="001A7070">
        <w:rPr>
          <w:rFonts w:asciiTheme="majorBidi" w:hAnsiTheme="majorBidi" w:cstheme="majorBidi"/>
          <w:noProof/>
        </w:rPr>
        <w:t xml:space="preserve">A share of </w:t>
      </w:r>
      <w:r w:rsidR="00AC1862">
        <w:rPr>
          <w:rFonts w:asciiTheme="majorBidi" w:hAnsiTheme="majorBidi" w:cstheme="majorBidi"/>
          <w:noProof/>
        </w:rPr>
        <w:t>the</w:t>
      </w:r>
      <w:r w:rsidR="001A7070">
        <w:rPr>
          <w:rFonts w:asciiTheme="majorBidi" w:hAnsiTheme="majorBidi" w:cstheme="majorBidi"/>
          <w:noProof/>
        </w:rPr>
        <w:t xml:space="preserve"> engagement </w:t>
      </w:r>
      <w:r w:rsidRPr="00D4396B">
        <w:rPr>
          <w:rFonts w:asciiTheme="majorBidi" w:hAnsiTheme="majorBidi" w:cstheme="majorBidi"/>
          <w:noProof/>
        </w:rPr>
        <w:t>may rely on informal contact</w:t>
      </w:r>
      <w:r w:rsidR="00AC1862">
        <w:rPr>
          <w:rFonts w:asciiTheme="majorBidi" w:hAnsiTheme="majorBidi" w:cstheme="majorBidi"/>
          <w:noProof/>
        </w:rPr>
        <w:t>s</w:t>
      </w:r>
      <w:r w:rsidRPr="00D4396B">
        <w:rPr>
          <w:rFonts w:asciiTheme="majorBidi" w:hAnsiTheme="majorBidi" w:cstheme="majorBidi"/>
          <w:noProof/>
        </w:rPr>
        <w:t xml:space="preserve"> or personal networks rather than stable, predictable mechanisms.</w:t>
      </w:r>
      <w:r w:rsidR="00A63B53" w:rsidRPr="00D4396B">
        <w:rPr>
          <w:rStyle w:val="FootnoteReference"/>
          <w:rFonts w:asciiTheme="majorBidi" w:hAnsiTheme="majorBidi" w:cstheme="majorBidi"/>
          <w:noProof/>
        </w:rPr>
        <w:footnoteReference w:id="71"/>
      </w:r>
    </w:p>
    <w:p w14:paraId="220F306F" w14:textId="68C698E2" w:rsidR="00CE4315" w:rsidRDefault="00B82BBC" w:rsidP="00B82BBC">
      <w:pPr>
        <w:pStyle w:val="NormalWeb"/>
        <w:spacing w:before="0" w:beforeAutospacing="0" w:after="120" w:afterAutospacing="0"/>
        <w:jc w:val="both"/>
        <w:rPr>
          <w:rFonts w:asciiTheme="majorBidi" w:hAnsiTheme="majorBidi" w:cstheme="majorBidi"/>
          <w:noProof/>
          <w:lang w:val="en-GB"/>
        </w:rPr>
      </w:pPr>
      <w:r w:rsidRPr="00B82BBC">
        <w:rPr>
          <w:rFonts w:asciiTheme="majorBidi" w:hAnsiTheme="majorBidi" w:cstheme="majorBidi"/>
          <w:noProof/>
          <w:lang w:val="en-GB"/>
        </w:rPr>
        <w:t>Where roles and responsibilities are not defined in detail in the legal framework, gaps may arise in the identification of opportunities for mutual support, increasing coordination costs and administrative burden for both Eurojust and its partners.</w:t>
      </w:r>
      <w:r w:rsidR="00A63B53" w:rsidRPr="00D4396B">
        <w:rPr>
          <w:rStyle w:val="FootnoteReference"/>
          <w:rFonts w:asciiTheme="majorBidi" w:hAnsiTheme="majorBidi" w:cstheme="majorBidi"/>
          <w:noProof/>
        </w:rPr>
        <w:footnoteReference w:id="72"/>
      </w:r>
      <w:r w:rsidR="08FC6AC7" w:rsidRPr="00D4396B">
        <w:rPr>
          <w:rFonts w:asciiTheme="majorBidi" w:hAnsiTheme="majorBidi" w:cstheme="majorBidi"/>
          <w:noProof/>
          <w:lang w:val="en-GB"/>
        </w:rPr>
        <w:t xml:space="preserve"> </w:t>
      </w:r>
    </w:p>
    <w:p w14:paraId="1DBCB13F" w14:textId="4A98CF45" w:rsidR="00CE4315" w:rsidRDefault="007816CB" w:rsidP="00B82BBC">
      <w:pPr>
        <w:pStyle w:val="NormalWeb"/>
        <w:spacing w:before="0" w:beforeAutospacing="0" w:after="120" w:afterAutospacing="0"/>
        <w:jc w:val="both"/>
        <w:rPr>
          <w:rFonts w:asciiTheme="majorBidi" w:hAnsiTheme="majorBidi" w:cstheme="majorBidi"/>
          <w:noProof/>
        </w:rPr>
      </w:pPr>
      <w:r w:rsidRPr="00D4396B">
        <w:rPr>
          <w:rFonts w:asciiTheme="majorBidi" w:hAnsiTheme="majorBidi" w:cstheme="majorBidi"/>
          <w:noProof/>
        </w:rPr>
        <w:t xml:space="preserve">Cooperation among EU agencies and bodies </w:t>
      </w:r>
      <w:r w:rsidR="00215A42">
        <w:rPr>
          <w:rFonts w:asciiTheme="majorBidi" w:hAnsiTheme="majorBidi" w:cstheme="majorBidi"/>
          <w:noProof/>
        </w:rPr>
        <w:t>is</w:t>
      </w:r>
      <w:r w:rsidRPr="00D4396B">
        <w:rPr>
          <w:rFonts w:asciiTheme="majorBidi" w:hAnsiTheme="majorBidi" w:cstheme="majorBidi"/>
          <w:noProof/>
        </w:rPr>
        <w:t xml:space="preserve"> structurally constrained by the existence of separate data repositories between Eurojust, Europol, the EPPO, OLAF, AMLA, EUCA and Frontex. </w:t>
      </w:r>
      <w:r w:rsidR="00905316" w:rsidRPr="00905316">
        <w:rPr>
          <w:rFonts w:asciiTheme="majorBidi" w:hAnsiTheme="majorBidi" w:cstheme="majorBidi"/>
          <w:noProof/>
          <w:lang w:val="en-GB"/>
        </w:rPr>
        <w:t>While the separation of data storage reflects differing mandates and reinforces data protection safeguards, it may slow down the timely identification of links between cases handled by different actors</w:t>
      </w:r>
      <w:r w:rsidR="00A700AE">
        <w:rPr>
          <w:rFonts w:asciiTheme="majorBidi" w:hAnsiTheme="majorBidi" w:cstheme="majorBidi"/>
          <w:noProof/>
          <w:lang w:val="en-GB"/>
        </w:rPr>
        <w:t xml:space="preserve">, </w:t>
      </w:r>
      <w:r w:rsidR="00A700AE" w:rsidRPr="00A700AE">
        <w:rPr>
          <w:rFonts w:asciiTheme="majorBidi" w:hAnsiTheme="majorBidi" w:cstheme="majorBidi"/>
          <w:noProof/>
          <w:lang w:val="en-GB"/>
        </w:rPr>
        <w:t>potentially generating missed opportunities for uncovering criminal activity and s</w:t>
      </w:r>
      <w:r w:rsidR="00F21595">
        <w:rPr>
          <w:rFonts w:asciiTheme="majorBidi" w:hAnsiTheme="majorBidi" w:cstheme="majorBidi"/>
          <w:noProof/>
          <w:lang w:val="en-GB"/>
        </w:rPr>
        <w:t>upporting case-building</w:t>
      </w:r>
      <w:r w:rsidR="00905316" w:rsidRPr="00905316">
        <w:rPr>
          <w:rFonts w:asciiTheme="majorBidi" w:hAnsiTheme="majorBidi" w:cstheme="majorBidi"/>
          <w:noProof/>
          <w:lang w:val="en-GB"/>
        </w:rPr>
        <w:t>.</w:t>
      </w:r>
    </w:p>
    <w:p w14:paraId="14DEA803" w14:textId="27AF3525" w:rsidR="00962299" w:rsidRPr="00FF6970" w:rsidRDefault="00D62122" w:rsidP="00962299">
      <w:pPr>
        <w:pStyle w:val="NormalWeb"/>
        <w:spacing w:before="0" w:beforeAutospacing="0" w:after="120" w:afterAutospacing="0"/>
        <w:jc w:val="both"/>
        <w:rPr>
          <w:rFonts w:asciiTheme="majorBidi" w:hAnsiTheme="majorBidi" w:cstheme="majorBidi"/>
          <w:noProof/>
        </w:rPr>
      </w:pPr>
      <w:r w:rsidRPr="00D62122">
        <w:rPr>
          <w:rFonts w:asciiTheme="majorBidi" w:hAnsiTheme="majorBidi" w:cstheme="majorBidi"/>
          <w:noProof/>
          <w:lang w:val="en-GB"/>
        </w:rPr>
        <w:t>The exchange of information currently takes place through a system of indirect mutual access to databases</w:t>
      </w:r>
      <w:r w:rsidR="00B46809">
        <w:rPr>
          <w:rFonts w:asciiTheme="majorBidi" w:hAnsiTheme="majorBidi" w:cstheme="majorBidi"/>
          <w:noProof/>
          <w:lang w:val="en-GB"/>
        </w:rPr>
        <w:t xml:space="preserve"> – </w:t>
      </w:r>
      <w:r w:rsidRPr="00D62122">
        <w:rPr>
          <w:rFonts w:asciiTheme="majorBidi" w:hAnsiTheme="majorBidi" w:cstheme="majorBidi"/>
          <w:noProof/>
          <w:lang w:val="en-GB"/>
        </w:rPr>
        <w:t>the so-called “hit/no-hit” system</w:t>
      </w:r>
      <w:r w:rsidR="00B46809">
        <w:rPr>
          <w:rFonts w:asciiTheme="majorBidi" w:hAnsiTheme="majorBidi" w:cstheme="majorBidi"/>
          <w:noProof/>
          <w:lang w:val="en-GB"/>
        </w:rPr>
        <w:t xml:space="preserve"> – </w:t>
      </w:r>
      <w:r w:rsidRPr="00D62122">
        <w:rPr>
          <w:rFonts w:asciiTheme="majorBidi" w:hAnsiTheme="majorBidi" w:cstheme="majorBidi"/>
          <w:noProof/>
          <w:lang w:val="en-GB"/>
        </w:rPr>
        <w:t xml:space="preserve">which at present </w:t>
      </w:r>
      <w:r w:rsidR="00FA129F">
        <w:rPr>
          <w:rFonts w:asciiTheme="majorBidi" w:hAnsiTheme="majorBidi" w:cstheme="majorBidi"/>
          <w:noProof/>
          <w:lang w:val="en-GB"/>
        </w:rPr>
        <w:t>is codified and</w:t>
      </w:r>
      <w:r w:rsidRPr="00D62122">
        <w:rPr>
          <w:rFonts w:asciiTheme="majorBidi" w:hAnsiTheme="majorBidi" w:cstheme="majorBidi"/>
          <w:noProof/>
          <w:lang w:val="en-GB"/>
        </w:rPr>
        <w:t xml:space="preserve"> exists only in bilateral relations between Eurojust, Europol, the EPPO and OLAF.</w:t>
      </w:r>
      <w:r w:rsidR="00FA129F">
        <w:rPr>
          <w:rStyle w:val="FootnoteReference"/>
          <w:rFonts w:asciiTheme="majorBidi" w:hAnsiTheme="majorBidi" w:cstheme="majorBidi"/>
          <w:noProof/>
          <w:lang w:val="en-GB"/>
        </w:rPr>
        <w:footnoteReference w:id="73"/>
      </w:r>
      <w:r w:rsidR="00A72E3D">
        <w:rPr>
          <w:rFonts w:asciiTheme="majorBidi" w:hAnsiTheme="majorBidi" w:cstheme="majorBidi"/>
          <w:noProof/>
          <w:lang w:val="en-GB"/>
        </w:rPr>
        <w:t xml:space="preserve"> </w:t>
      </w:r>
      <w:r w:rsidR="00962299" w:rsidRPr="00962299">
        <w:rPr>
          <w:rFonts w:asciiTheme="majorBidi" w:hAnsiTheme="majorBidi" w:cstheme="majorBidi"/>
          <w:noProof/>
          <w:lang w:val="en-GB"/>
        </w:rPr>
        <w:t>The functioning of this system remains cumbersome</w:t>
      </w:r>
      <w:r w:rsidR="0048224B">
        <w:rPr>
          <w:rStyle w:val="FootnoteReference"/>
          <w:rFonts w:asciiTheme="majorBidi" w:hAnsiTheme="majorBidi" w:cstheme="majorBidi"/>
          <w:noProof/>
          <w:lang w:val="en-GB"/>
        </w:rPr>
        <w:footnoteReference w:id="74"/>
      </w:r>
      <w:r w:rsidR="00962299" w:rsidRPr="00962299">
        <w:rPr>
          <w:rFonts w:asciiTheme="majorBidi" w:hAnsiTheme="majorBidi" w:cstheme="majorBidi"/>
          <w:noProof/>
          <w:lang w:val="en-GB"/>
        </w:rPr>
        <w:t xml:space="preserve">. </w:t>
      </w:r>
      <w:r w:rsidR="004D3D16">
        <w:rPr>
          <w:rFonts w:asciiTheme="majorBidi" w:hAnsiTheme="majorBidi" w:cstheme="majorBidi"/>
          <w:noProof/>
        </w:rPr>
        <w:t>E</w:t>
      </w:r>
      <w:r w:rsidR="00801458" w:rsidRPr="00D4396B">
        <w:rPr>
          <w:rFonts w:asciiTheme="majorBidi" w:hAnsiTheme="majorBidi" w:cstheme="majorBidi"/>
          <w:noProof/>
        </w:rPr>
        <w:t>ven whe</w:t>
      </w:r>
      <w:r w:rsidR="00CA287F">
        <w:rPr>
          <w:rFonts w:asciiTheme="majorBidi" w:hAnsiTheme="majorBidi" w:cstheme="majorBidi"/>
          <w:noProof/>
        </w:rPr>
        <w:t>re</w:t>
      </w:r>
      <w:r w:rsidR="00801458" w:rsidRPr="00D4396B">
        <w:rPr>
          <w:rFonts w:asciiTheme="majorBidi" w:hAnsiTheme="majorBidi" w:cstheme="majorBidi"/>
          <w:noProof/>
        </w:rPr>
        <w:t xml:space="preserve"> a “hit” is identified, the operational added value is often </w:t>
      </w:r>
      <w:r w:rsidR="00CA287F">
        <w:rPr>
          <w:rFonts w:asciiTheme="majorBidi" w:hAnsiTheme="majorBidi" w:cstheme="majorBidi"/>
          <w:noProof/>
        </w:rPr>
        <w:t>limited</w:t>
      </w:r>
      <w:r w:rsidR="00801458" w:rsidRPr="00D4396B">
        <w:rPr>
          <w:rFonts w:asciiTheme="majorBidi" w:hAnsiTheme="majorBidi" w:cstheme="majorBidi"/>
          <w:noProof/>
        </w:rPr>
        <w:t xml:space="preserve"> due to </w:t>
      </w:r>
      <w:r w:rsidR="00CA287F">
        <w:rPr>
          <w:rFonts w:asciiTheme="majorBidi" w:hAnsiTheme="majorBidi" w:cstheme="majorBidi"/>
          <w:noProof/>
        </w:rPr>
        <w:t>the time-consuming nature of the procedures involved</w:t>
      </w:r>
      <w:r w:rsidR="00801458" w:rsidRPr="00D4396B">
        <w:rPr>
          <w:rFonts w:asciiTheme="majorBidi" w:hAnsiTheme="majorBidi" w:cstheme="majorBidi"/>
          <w:noProof/>
        </w:rPr>
        <w:t>.</w:t>
      </w:r>
      <w:r w:rsidR="00801458" w:rsidRPr="00D4396B">
        <w:rPr>
          <w:rStyle w:val="FootnoteReference"/>
          <w:rFonts w:asciiTheme="majorBidi" w:hAnsiTheme="majorBidi" w:cstheme="majorBidi"/>
          <w:noProof/>
        </w:rPr>
        <w:footnoteReference w:id="75"/>
      </w:r>
    </w:p>
    <w:p w14:paraId="6CB87F75" w14:textId="003FD749" w:rsidR="00CE4315" w:rsidRPr="00FF6970" w:rsidRDefault="00C25D87" w:rsidP="00B82BBC">
      <w:pPr>
        <w:pStyle w:val="NormalWeb"/>
        <w:spacing w:before="0" w:beforeAutospacing="0" w:after="120" w:afterAutospacing="0"/>
        <w:jc w:val="both"/>
        <w:rPr>
          <w:rFonts w:asciiTheme="majorBidi" w:hAnsiTheme="majorBidi" w:cstheme="majorBidi"/>
          <w:noProof/>
        </w:rPr>
      </w:pPr>
      <w:r w:rsidRPr="00C25D87">
        <w:rPr>
          <w:rFonts w:asciiTheme="majorBidi" w:hAnsiTheme="majorBidi" w:cstheme="majorBidi"/>
          <w:noProof/>
          <w:lang w:val="en-GB"/>
        </w:rPr>
        <w:t>While cooperation with Europol and the EPPO is central</w:t>
      </w:r>
      <w:r w:rsidR="002F4498">
        <w:rPr>
          <w:rFonts w:asciiTheme="majorBidi" w:hAnsiTheme="majorBidi" w:cstheme="majorBidi"/>
          <w:noProof/>
          <w:lang w:val="en-GB"/>
        </w:rPr>
        <w:t xml:space="preserve"> </w:t>
      </w:r>
      <w:r>
        <w:rPr>
          <w:rFonts w:asciiTheme="majorBidi" w:hAnsiTheme="majorBidi" w:cstheme="majorBidi"/>
          <w:noProof/>
          <w:lang w:val="en-GB"/>
        </w:rPr>
        <w:t>(</w:t>
      </w:r>
      <w:r w:rsidRPr="00C25D87">
        <w:rPr>
          <w:rFonts w:asciiTheme="majorBidi" w:hAnsiTheme="majorBidi" w:cstheme="majorBidi"/>
          <w:noProof/>
          <w:lang w:val="en-GB"/>
        </w:rPr>
        <w:t>and is therefore addressed under separate problem drivers</w:t>
      </w:r>
      <w:r>
        <w:rPr>
          <w:rFonts w:asciiTheme="majorBidi" w:hAnsiTheme="majorBidi" w:cstheme="majorBidi"/>
          <w:noProof/>
          <w:lang w:val="en-GB"/>
        </w:rPr>
        <w:t xml:space="preserve"> #8 and #9)</w:t>
      </w:r>
      <w:r w:rsidRPr="00C25D87">
        <w:rPr>
          <w:rFonts w:asciiTheme="majorBidi" w:hAnsiTheme="majorBidi" w:cstheme="majorBidi"/>
          <w:noProof/>
          <w:lang w:val="en-GB"/>
        </w:rPr>
        <w:t xml:space="preserve"> cooperation with other actors remains comparatively limited.</w:t>
      </w:r>
    </w:p>
    <w:p w14:paraId="5E62AFAD" w14:textId="77777777" w:rsidR="00F16273" w:rsidRDefault="00E56222" w:rsidP="00F16273">
      <w:pPr>
        <w:pStyle w:val="NormalWeb"/>
        <w:spacing w:before="0" w:beforeAutospacing="0" w:after="120" w:afterAutospacing="0"/>
        <w:jc w:val="both"/>
        <w:rPr>
          <w:rFonts w:asciiTheme="majorBidi" w:hAnsiTheme="majorBidi" w:cstheme="majorBidi"/>
          <w:noProof/>
          <w:lang w:val="en-GB"/>
        </w:rPr>
      </w:pPr>
      <w:r w:rsidRPr="00E56222">
        <w:rPr>
          <w:rFonts w:asciiTheme="majorBidi" w:hAnsiTheme="majorBidi" w:cstheme="majorBidi"/>
          <w:noProof/>
          <w:lang w:val="en-GB"/>
        </w:rPr>
        <w:t>Cooperation between Eurojust and OLAF concerns a relatively small number of cases, given the administrative nature of OLAF’s investigations, from which indications of serious cross-border crime may occasionally arise.</w:t>
      </w:r>
      <w:r w:rsidR="00AD112C" w:rsidRPr="00D4396B">
        <w:rPr>
          <w:rStyle w:val="FootnoteReference"/>
          <w:rFonts w:asciiTheme="majorBidi" w:hAnsiTheme="majorBidi" w:cstheme="majorBidi"/>
          <w:noProof/>
        </w:rPr>
        <w:footnoteReference w:id="76"/>
      </w:r>
      <w:r w:rsidR="00356B32">
        <w:rPr>
          <w:rFonts w:asciiTheme="majorBidi" w:hAnsiTheme="majorBidi" w:cstheme="majorBidi"/>
          <w:noProof/>
          <w:lang w:val="en-GB"/>
        </w:rPr>
        <w:t xml:space="preserve"> Nonetheless, </w:t>
      </w:r>
      <w:r w:rsidR="00440566">
        <w:rPr>
          <w:rFonts w:asciiTheme="majorBidi" w:hAnsiTheme="majorBidi" w:cstheme="majorBidi"/>
          <w:noProof/>
          <w:lang w:val="en-GB"/>
        </w:rPr>
        <w:t>t</w:t>
      </w:r>
      <w:r w:rsidR="00440566" w:rsidRPr="00D4396B">
        <w:rPr>
          <w:rFonts w:asciiTheme="majorBidi" w:hAnsiTheme="majorBidi" w:cstheme="majorBidi"/>
          <w:noProof/>
          <w:lang w:val="en-GB"/>
        </w:rPr>
        <w:t>here may be some uncertainty as to whether Eurojust is expected to take on a coordinating role</w:t>
      </w:r>
      <w:r w:rsidR="00FD6170">
        <w:rPr>
          <w:rFonts w:asciiTheme="majorBidi" w:hAnsiTheme="majorBidi" w:cstheme="majorBidi"/>
          <w:noProof/>
          <w:lang w:val="en-GB"/>
        </w:rPr>
        <w:t>.</w:t>
      </w:r>
    </w:p>
    <w:p w14:paraId="2B019A53" w14:textId="2155FA48" w:rsidR="00215DC1" w:rsidRDefault="00F16273" w:rsidP="00372E20">
      <w:pPr>
        <w:pStyle w:val="NormalWeb"/>
        <w:spacing w:before="0" w:beforeAutospacing="0" w:after="120" w:afterAutospacing="0"/>
        <w:jc w:val="both"/>
        <w:rPr>
          <w:rFonts w:asciiTheme="majorBidi" w:hAnsiTheme="majorBidi" w:cstheme="majorBidi"/>
          <w:noProof/>
        </w:rPr>
      </w:pPr>
      <w:r>
        <w:rPr>
          <w:rFonts w:asciiTheme="majorBidi" w:hAnsiTheme="majorBidi" w:cstheme="majorBidi"/>
          <w:noProof/>
          <w:lang w:val="en-GB"/>
        </w:rPr>
        <w:t>E</w:t>
      </w:r>
      <w:r w:rsidRPr="00F16273">
        <w:rPr>
          <w:rFonts w:asciiTheme="majorBidi" w:hAnsiTheme="majorBidi" w:cstheme="majorBidi"/>
          <w:noProof/>
          <w:lang w:val="en-GB"/>
        </w:rPr>
        <w:t>ngagement with agencies such as FRA and CEPOL remains largely ad hoc, often limited to training or seminars and dependent on informal contacts rather than structured workflows. Most partnerships are based on long-standing, non-binding memoranda of understanding (e.g. with CEPOL, FRA and eu-LISA), which lack the legal weight and operational detail of formal working arrangements.</w:t>
      </w:r>
      <w:r w:rsidR="00A63B53" w:rsidRPr="00D4396B">
        <w:rPr>
          <w:rStyle w:val="FootnoteReference"/>
          <w:rFonts w:asciiTheme="majorBidi" w:hAnsiTheme="majorBidi" w:cstheme="majorBidi"/>
          <w:noProof/>
        </w:rPr>
        <w:footnoteReference w:id="77"/>
      </w:r>
    </w:p>
    <w:p w14:paraId="5785096C" w14:textId="69CB06CE" w:rsidR="00A63B53" w:rsidRPr="00D4396B" w:rsidRDefault="00215DC1" w:rsidP="00372E20">
      <w:pPr>
        <w:pStyle w:val="NormalWeb"/>
        <w:spacing w:before="0" w:beforeAutospacing="0" w:after="120" w:afterAutospacing="0"/>
        <w:jc w:val="both"/>
        <w:rPr>
          <w:rFonts w:asciiTheme="majorBidi" w:hAnsiTheme="majorBidi" w:cstheme="majorBidi"/>
          <w:noProof/>
          <w:lang w:val="en-GB"/>
        </w:rPr>
      </w:pPr>
      <w:r w:rsidRPr="00215DC1">
        <w:rPr>
          <w:rFonts w:asciiTheme="majorBidi" w:hAnsiTheme="majorBidi" w:cstheme="majorBidi"/>
          <w:noProof/>
          <w:lang w:val="en-GB"/>
        </w:rPr>
        <w:t>Finally, the distribution of work between Eurojust and judicial networks is not fully codified</w:t>
      </w:r>
      <w:r w:rsidR="428AF40F" w:rsidRPr="5710274C">
        <w:rPr>
          <w:rFonts w:asciiTheme="majorBidi" w:hAnsiTheme="majorBidi" w:cstheme="majorBidi"/>
          <w:noProof/>
          <w:lang w:val="en-GB"/>
        </w:rPr>
        <w:t xml:space="preserve"> </w:t>
      </w:r>
      <w:r w:rsidR="428AF40F" w:rsidRPr="4CCE09FA">
        <w:rPr>
          <w:rFonts w:asciiTheme="majorBidi" w:hAnsiTheme="majorBidi" w:cstheme="majorBidi"/>
          <w:noProof/>
          <w:lang w:val="en-GB"/>
        </w:rPr>
        <w:t>nor consistent</w:t>
      </w:r>
      <w:r w:rsidRPr="00215DC1">
        <w:rPr>
          <w:rFonts w:asciiTheme="majorBidi" w:hAnsiTheme="majorBidi" w:cstheme="majorBidi"/>
          <w:noProof/>
          <w:lang w:val="en-GB"/>
        </w:rPr>
        <w:t>, making it less straightforward for practitioners to identify the appropriate channel for their cooperation needs. As a result, referrals, requests for support and information exchanges may not always follow the most streamlined approach.</w:t>
      </w:r>
    </w:p>
    <w:p w14:paraId="46596271" w14:textId="0BC3AB42" w:rsidR="00B538BE" w:rsidRDefault="002852BC" w:rsidP="0092673A">
      <w:pPr>
        <w:pStyle w:val="NormalWeb"/>
        <w:spacing w:before="0" w:beforeAutospacing="0" w:after="120" w:afterAutospacing="0"/>
        <w:jc w:val="both"/>
        <w:rPr>
          <w:rFonts w:asciiTheme="majorBidi" w:hAnsiTheme="majorBidi" w:cstheme="majorBidi"/>
          <w:noProof/>
        </w:rPr>
      </w:pPr>
      <w:r>
        <w:rPr>
          <w:rFonts w:asciiTheme="majorBidi" w:hAnsiTheme="majorBidi" w:cstheme="majorBidi"/>
          <w:b/>
          <w:bCs/>
          <w:noProof/>
          <w:u w:val="single"/>
        </w:rPr>
        <w:t xml:space="preserve">Problem driver </w:t>
      </w:r>
      <w:r w:rsidRPr="002852BC">
        <w:rPr>
          <w:rFonts w:asciiTheme="majorBidi" w:hAnsiTheme="majorBidi" w:cstheme="majorBidi"/>
          <w:b/>
          <w:bCs/>
          <w:noProof/>
          <w:u w:val="single"/>
        </w:rPr>
        <w:t>#8</w:t>
      </w:r>
      <w:r w:rsidRPr="002852BC">
        <w:rPr>
          <w:rFonts w:asciiTheme="majorBidi" w:hAnsiTheme="majorBidi" w:cstheme="majorBidi"/>
          <w:noProof/>
        </w:rPr>
        <w:t xml:space="preserve"> </w:t>
      </w:r>
      <w:r>
        <w:rPr>
          <w:rFonts w:asciiTheme="majorBidi" w:hAnsiTheme="majorBidi" w:cstheme="majorBidi"/>
          <w:noProof/>
        </w:rPr>
        <w:t xml:space="preserve">concerns </w:t>
      </w:r>
      <w:r w:rsidR="08FC6AC7" w:rsidRPr="00D4396B">
        <w:rPr>
          <w:rFonts w:asciiTheme="majorBidi" w:hAnsiTheme="majorBidi" w:cstheme="majorBidi"/>
          <w:b/>
          <w:bCs/>
          <w:noProof/>
        </w:rPr>
        <w:t xml:space="preserve">the </w:t>
      </w:r>
      <w:r w:rsidR="5DC2CB2D" w:rsidRPr="00D4396B">
        <w:rPr>
          <w:rFonts w:asciiTheme="majorBidi" w:hAnsiTheme="majorBidi" w:cstheme="majorBidi"/>
          <w:b/>
          <w:bCs/>
          <w:noProof/>
        </w:rPr>
        <w:t xml:space="preserve">insufficiently institutionalised </w:t>
      </w:r>
      <w:r w:rsidR="08FC6AC7" w:rsidRPr="00D4396B">
        <w:rPr>
          <w:rFonts w:asciiTheme="majorBidi" w:hAnsiTheme="majorBidi" w:cstheme="majorBidi"/>
          <w:b/>
          <w:bCs/>
          <w:noProof/>
        </w:rPr>
        <w:t>cooperation between Europol and Eurojust</w:t>
      </w:r>
      <w:r w:rsidR="08FC6AC7" w:rsidRPr="00D4396B">
        <w:rPr>
          <w:rFonts w:asciiTheme="majorBidi" w:hAnsiTheme="majorBidi" w:cstheme="majorBidi"/>
          <w:noProof/>
        </w:rPr>
        <w:t xml:space="preserve">. </w:t>
      </w:r>
    </w:p>
    <w:p w14:paraId="7C0DC0DF" w14:textId="4455B67D" w:rsidR="00745A42" w:rsidRDefault="00745A42" w:rsidP="384F7AB1">
      <w:pPr>
        <w:pStyle w:val="NormalWeb"/>
        <w:spacing w:before="0" w:beforeAutospacing="0" w:after="120" w:afterAutospacing="0"/>
        <w:jc w:val="both"/>
        <w:rPr>
          <w:rFonts w:asciiTheme="majorBidi" w:hAnsiTheme="majorBidi" w:cstheme="majorBidi"/>
          <w:noProof/>
          <w:lang w:val="en-GB"/>
        </w:rPr>
      </w:pPr>
      <w:r w:rsidRPr="384F7AB1">
        <w:rPr>
          <w:rFonts w:asciiTheme="majorBidi" w:hAnsiTheme="majorBidi" w:cstheme="majorBidi"/>
          <w:noProof/>
          <w:lang w:val="en-GB"/>
        </w:rPr>
        <w:t xml:space="preserve">This driver stems from legal and implementation problems. </w:t>
      </w:r>
    </w:p>
    <w:p w14:paraId="1ED18FED" w14:textId="416FE0BE" w:rsidR="007B74C7" w:rsidRDefault="00B538BE" w:rsidP="0036342C">
      <w:pPr>
        <w:pStyle w:val="NormalWeb"/>
        <w:spacing w:before="0" w:beforeAutospacing="0" w:after="120" w:afterAutospacing="0"/>
        <w:jc w:val="both"/>
        <w:rPr>
          <w:rFonts w:asciiTheme="majorBidi" w:hAnsiTheme="majorBidi" w:cstheme="majorBidi"/>
          <w:noProof/>
          <w:lang w:val="en-GB"/>
        </w:rPr>
      </w:pPr>
      <w:r w:rsidRPr="00B538BE">
        <w:rPr>
          <w:rFonts w:asciiTheme="majorBidi" w:hAnsiTheme="majorBidi" w:cstheme="majorBidi"/>
          <w:noProof/>
          <w:lang w:val="en-GB"/>
        </w:rPr>
        <w:t xml:space="preserve">While the mandates of the two agencies are closely linked, ensuring a “continuum” between law enforcement operations and judicial follow-up, criminal intelligence and analytical datasets produced by Europol do not </w:t>
      </w:r>
      <w:r w:rsidR="007D1935">
        <w:rPr>
          <w:rFonts w:asciiTheme="majorBidi" w:hAnsiTheme="majorBidi" w:cstheme="majorBidi"/>
          <w:noProof/>
          <w:lang w:val="en-GB"/>
        </w:rPr>
        <w:t>systematically</w:t>
      </w:r>
      <w:r w:rsidRPr="00B538BE">
        <w:rPr>
          <w:rFonts w:asciiTheme="majorBidi" w:hAnsiTheme="majorBidi" w:cstheme="majorBidi"/>
          <w:noProof/>
          <w:lang w:val="en-GB"/>
        </w:rPr>
        <w:t xml:space="preserve"> feed into Eurojust’s casework.</w:t>
      </w:r>
      <w:r>
        <w:rPr>
          <w:rStyle w:val="FootnoteReference"/>
          <w:rFonts w:asciiTheme="majorBidi" w:hAnsiTheme="majorBidi" w:cstheme="majorBidi"/>
          <w:noProof/>
          <w:lang w:val="en-GB"/>
        </w:rPr>
        <w:footnoteReference w:id="78"/>
      </w:r>
      <w:r w:rsidR="00166920">
        <w:rPr>
          <w:rFonts w:asciiTheme="majorBidi" w:hAnsiTheme="majorBidi" w:cstheme="majorBidi"/>
          <w:noProof/>
          <w:lang w:val="en-GB"/>
        </w:rPr>
        <w:t xml:space="preserve"> </w:t>
      </w:r>
      <w:r w:rsidR="0036342C" w:rsidRPr="0036342C">
        <w:rPr>
          <w:rFonts w:asciiTheme="majorBidi" w:hAnsiTheme="majorBidi" w:cstheme="majorBidi"/>
          <w:noProof/>
          <w:lang w:val="en-GB"/>
        </w:rPr>
        <w:t xml:space="preserve">This </w:t>
      </w:r>
      <w:r w:rsidR="007B74C7">
        <w:rPr>
          <w:rFonts w:asciiTheme="majorBidi" w:hAnsiTheme="majorBidi" w:cstheme="majorBidi"/>
          <w:noProof/>
          <w:lang w:val="en-GB"/>
        </w:rPr>
        <w:t>reduces</w:t>
      </w:r>
      <w:r w:rsidR="0036342C" w:rsidRPr="0036342C">
        <w:rPr>
          <w:rFonts w:asciiTheme="majorBidi" w:hAnsiTheme="majorBidi" w:cstheme="majorBidi"/>
          <w:noProof/>
          <w:lang w:val="en-GB"/>
        </w:rPr>
        <w:t xml:space="preserve"> </w:t>
      </w:r>
      <w:r w:rsidR="00166920" w:rsidRPr="00EF0EAB">
        <w:rPr>
          <w:rFonts w:asciiTheme="majorBidi" w:hAnsiTheme="majorBidi" w:cstheme="majorBidi"/>
          <w:noProof/>
          <w:lang w:val="en-GB"/>
        </w:rPr>
        <w:t xml:space="preserve">opportunities for early alignment between investigative and judicial action </w:t>
      </w:r>
      <w:r w:rsidR="0036342C" w:rsidRPr="0036342C">
        <w:rPr>
          <w:rFonts w:asciiTheme="majorBidi" w:hAnsiTheme="majorBidi" w:cstheme="majorBidi"/>
          <w:noProof/>
          <w:lang w:val="en-GB"/>
        </w:rPr>
        <w:t>and the consistent translation of</w:t>
      </w:r>
      <w:r w:rsidR="00166920" w:rsidRPr="00EF0EAB">
        <w:rPr>
          <w:rFonts w:asciiTheme="majorBidi" w:hAnsiTheme="majorBidi" w:cstheme="majorBidi"/>
          <w:noProof/>
          <w:lang w:val="en-GB"/>
        </w:rPr>
        <w:t xml:space="preserve"> analytical insights into operational action, particularly in </w:t>
      </w:r>
      <w:r w:rsidR="00166920">
        <w:rPr>
          <w:rFonts w:asciiTheme="majorBidi" w:hAnsiTheme="majorBidi" w:cstheme="majorBidi"/>
          <w:noProof/>
          <w:lang w:val="en-GB"/>
        </w:rPr>
        <w:t>priority domains</w:t>
      </w:r>
      <w:r w:rsidR="00166920" w:rsidRPr="00EF0EAB">
        <w:rPr>
          <w:rFonts w:asciiTheme="majorBidi" w:hAnsiTheme="majorBidi" w:cstheme="majorBidi"/>
          <w:noProof/>
          <w:lang w:val="en-GB"/>
        </w:rPr>
        <w:t xml:space="preserve"> such as organised crime.</w:t>
      </w:r>
      <w:r w:rsidR="008C62F3" w:rsidRPr="00D4396B">
        <w:rPr>
          <w:rStyle w:val="FootnoteReference"/>
          <w:rFonts w:asciiTheme="majorBidi" w:hAnsiTheme="majorBidi" w:cstheme="majorBidi"/>
          <w:noProof/>
        </w:rPr>
        <w:footnoteReference w:id="79"/>
      </w:r>
    </w:p>
    <w:p w14:paraId="78653CA2" w14:textId="7538308A" w:rsidR="001324D9" w:rsidRDefault="00273ABB" w:rsidP="002D319C">
      <w:pPr>
        <w:pStyle w:val="NormalWeb"/>
        <w:spacing w:before="0" w:beforeAutospacing="0" w:after="120" w:afterAutospacing="0"/>
        <w:jc w:val="both"/>
        <w:rPr>
          <w:rFonts w:asciiTheme="majorBidi" w:hAnsiTheme="majorBidi" w:cstheme="majorBidi"/>
          <w:noProof/>
          <w:lang w:val="en-GB"/>
        </w:rPr>
      </w:pPr>
      <w:r>
        <w:rPr>
          <w:rFonts w:asciiTheme="majorBidi" w:hAnsiTheme="majorBidi" w:cstheme="majorBidi"/>
          <w:noProof/>
          <w:lang w:val="en-GB"/>
        </w:rPr>
        <w:t>Such constraints are</w:t>
      </w:r>
      <w:r w:rsidR="0036342C" w:rsidRPr="0036342C">
        <w:rPr>
          <w:rFonts w:asciiTheme="majorBidi" w:hAnsiTheme="majorBidi" w:cstheme="majorBidi"/>
          <w:noProof/>
          <w:lang w:val="en-GB"/>
        </w:rPr>
        <w:t xml:space="preserve"> further</w:t>
      </w:r>
      <w:r w:rsidR="00166920" w:rsidRPr="0036342C">
        <w:rPr>
          <w:rFonts w:asciiTheme="majorBidi" w:hAnsiTheme="majorBidi" w:cstheme="majorBidi"/>
          <w:noProof/>
          <w:lang w:val="en-GB"/>
        </w:rPr>
        <w:t xml:space="preserve"> compounded by the fact that t</w:t>
      </w:r>
      <w:r w:rsidR="08FC6AC7" w:rsidRPr="0036342C">
        <w:rPr>
          <w:rFonts w:asciiTheme="majorBidi" w:hAnsiTheme="majorBidi" w:cstheme="majorBidi"/>
          <w:noProof/>
          <w:lang w:val="en-GB"/>
        </w:rPr>
        <w:t>he existing working arrangement between the two agencies</w:t>
      </w:r>
      <w:r w:rsidR="0010158C" w:rsidRPr="0036342C">
        <w:rPr>
          <w:rFonts w:asciiTheme="majorBidi" w:hAnsiTheme="majorBidi" w:cstheme="majorBidi"/>
          <w:noProof/>
          <w:lang w:val="en-GB"/>
        </w:rPr>
        <w:t>, concluded in 2010,</w:t>
      </w:r>
      <w:r w:rsidR="08FC6AC7" w:rsidRPr="0036342C">
        <w:rPr>
          <w:rFonts w:asciiTheme="majorBidi" w:hAnsiTheme="majorBidi" w:cstheme="majorBidi"/>
          <w:noProof/>
          <w:lang w:val="en-GB"/>
        </w:rPr>
        <w:t xml:space="preserve"> </w:t>
      </w:r>
      <w:r w:rsidR="0036342C" w:rsidRPr="0036342C">
        <w:rPr>
          <w:rFonts w:asciiTheme="majorBidi" w:hAnsiTheme="majorBidi" w:cstheme="majorBidi"/>
          <w:noProof/>
          <w:lang w:val="en-GB"/>
        </w:rPr>
        <w:t>may</w:t>
      </w:r>
      <w:r w:rsidR="0085084A" w:rsidRPr="0036342C">
        <w:rPr>
          <w:rFonts w:asciiTheme="majorBidi" w:hAnsiTheme="majorBidi" w:cstheme="majorBidi"/>
          <w:noProof/>
          <w:lang w:val="en-GB"/>
        </w:rPr>
        <w:t xml:space="preserve"> no longer fully</w:t>
      </w:r>
      <w:r w:rsidR="00340150" w:rsidRPr="0036342C">
        <w:rPr>
          <w:rFonts w:asciiTheme="majorBidi" w:hAnsiTheme="majorBidi" w:cstheme="majorBidi"/>
          <w:noProof/>
          <w:lang w:val="en-GB"/>
        </w:rPr>
        <w:t xml:space="preserve"> reflect</w:t>
      </w:r>
      <w:r w:rsidR="08FC6AC7" w:rsidRPr="0036342C">
        <w:rPr>
          <w:rFonts w:asciiTheme="majorBidi" w:hAnsiTheme="majorBidi" w:cstheme="majorBidi"/>
          <w:noProof/>
          <w:lang w:val="en-GB"/>
        </w:rPr>
        <w:t xml:space="preserve"> </w:t>
      </w:r>
      <w:r w:rsidR="0036342C" w:rsidRPr="0036342C">
        <w:rPr>
          <w:rFonts w:asciiTheme="majorBidi" w:hAnsiTheme="majorBidi" w:cstheme="majorBidi"/>
          <w:noProof/>
          <w:lang w:val="en-GB"/>
        </w:rPr>
        <w:t>their current mandates and evolving operational realities, limiting the scope for integrated cooperation.</w:t>
      </w:r>
      <w:r w:rsidR="00340150">
        <w:rPr>
          <w:rStyle w:val="FootnoteReference"/>
          <w:rFonts w:asciiTheme="majorBidi" w:hAnsiTheme="majorBidi" w:cstheme="majorBidi"/>
          <w:noProof/>
        </w:rPr>
        <w:footnoteReference w:id="80"/>
      </w:r>
    </w:p>
    <w:p w14:paraId="1089B9A5" w14:textId="1D3C7D61" w:rsidR="00005AB9" w:rsidRDefault="001324D9" w:rsidP="0063130F">
      <w:pPr>
        <w:pStyle w:val="NormalWeb"/>
        <w:spacing w:before="0" w:beforeAutospacing="0" w:after="120" w:afterAutospacing="0"/>
        <w:jc w:val="both"/>
        <w:rPr>
          <w:rFonts w:asciiTheme="majorBidi" w:hAnsiTheme="majorBidi" w:cstheme="majorBidi"/>
          <w:noProof/>
          <w:lang w:val="en-GB"/>
        </w:rPr>
      </w:pPr>
      <w:r w:rsidRPr="001324D9">
        <w:rPr>
          <w:rFonts w:asciiTheme="majorBidi" w:hAnsiTheme="majorBidi" w:cstheme="majorBidi"/>
          <w:noProof/>
          <w:lang w:val="en-GB"/>
        </w:rPr>
        <w:t xml:space="preserve">In key areas of common interest, the boundaries between respective competences may not always be clear, reflecting the </w:t>
      </w:r>
      <w:r w:rsidR="002D319C" w:rsidRPr="001324D9">
        <w:rPr>
          <w:rFonts w:asciiTheme="majorBidi" w:hAnsiTheme="majorBidi" w:cstheme="majorBidi"/>
          <w:noProof/>
          <w:lang w:val="en-GB"/>
        </w:rPr>
        <w:t>often-blurred</w:t>
      </w:r>
      <w:r w:rsidRPr="001324D9">
        <w:rPr>
          <w:rFonts w:asciiTheme="majorBidi" w:hAnsiTheme="majorBidi" w:cstheme="majorBidi"/>
          <w:noProof/>
          <w:lang w:val="en-GB"/>
        </w:rPr>
        <w:t xml:space="preserve"> distinction between the gathering of criminal intelligence and </w:t>
      </w:r>
      <w:r w:rsidR="00ED2584">
        <w:rPr>
          <w:rFonts w:asciiTheme="majorBidi" w:hAnsiTheme="majorBidi" w:cstheme="majorBidi"/>
          <w:noProof/>
          <w:lang w:val="en-GB"/>
        </w:rPr>
        <w:t>collection of</w:t>
      </w:r>
      <w:r w:rsidRPr="001324D9">
        <w:rPr>
          <w:rFonts w:asciiTheme="majorBidi" w:hAnsiTheme="majorBidi" w:cstheme="majorBidi"/>
          <w:noProof/>
          <w:lang w:val="en-GB"/>
        </w:rPr>
        <w:t xml:space="preserve"> evidence in the course of criminal investigations. This gives rise to grey areas affecting the allocation of responsibilities and the timing of engagement.</w:t>
      </w:r>
      <w:r w:rsidR="08FC6AC7" w:rsidRPr="00D4396B">
        <w:rPr>
          <w:rFonts w:asciiTheme="majorBidi" w:hAnsiTheme="majorBidi" w:cstheme="majorBidi"/>
          <w:noProof/>
          <w:lang w:val="en-GB"/>
        </w:rPr>
        <w:t xml:space="preserve"> </w:t>
      </w:r>
      <w:r w:rsidR="0063130F" w:rsidRPr="0063130F">
        <w:rPr>
          <w:rFonts w:asciiTheme="majorBidi" w:hAnsiTheme="majorBidi" w:cstheme="majorBidi"/>
          <w:noProof/>
          <w:lang w:val="en-GB"/>
        </w:rPr>
        <w:t>This gives rise to grey areas affecting the allocation of responsibilities and the timing of engagement, and in some cases resulting in duplication of work.</w:t>
      </w:r>
    </w:p>
    <w:p w14:paraId="25C75D70" w14:textId="0964FE62" w:rsidR="00A63B53" w:rsidRPr="00D4396B" w:rsidRDefault="004E5394" w:rsidP="00B538BE">
      <w:pPr>
        <w:pStyle w:val="NormalWeb"/>
        <w:spacing w:before="0" w:beforeAutospacing="0" w:after="120" w:afterAutospacing="0"/>
        <w:jc w:val="both"/>
        <w:rPr>
          <w:rFonts w:asciiTheme="majorBidi" w:hAnsiTheme="majorBidi" w:cstheme="majorBidi"/>
          <w:noProof/>
          <w:lang w:val="en-GB"/>
        </w:rPr>
      </w:pPr>
      <w:r w:rsidRPr="004E5394">
        <w:rPr>
          <w:rFonts w:asciiTheme="majorBidi" w:hAnsiTheme="majorBidi" w:cstheme="majorBidi"/>
          <w:noProof/>
          <w:lang w:val="en-GB"/>
        </w:rPr>
        <w:t>Further issues related to information flow and link detection stem from the time-consuming procedures associated with the hit/no-hit system described under problem driver #7.</w:t>
      </w:r>
      <w:r w:rsidR="00A63B53" w:rsidRPr="00D4396B">
        <w:rPr>
          <w:rStyle w:val="FootnoteReference"/>
          <w:rFonts w:asciiTheme="majorBidi" w:hAnsiTheme="majorBidi" w:cstheme="majorBidi"/>
          <w:noProof/>
        </w:rPr>
        <w:footnoteReference w:id="81"/>
      </w:r>
    </w:p>
    <w:p w14:paraId="059130B9" w14:textId="4BDDA390" w:rsidR="002F33FC" w:rsidRDefault="00DA1F9F" w:rsidP="0092673A">
      <w:pPr>
        <w:pStyle w:val="NormalWeb"/>
        <w:spacing w:before="0" w:beforeAutospacing="0" w:after="120" w:afterAutospacing="0"/>
        <w:jc w:val="both"/>
        <w:rPr>
          <w:rFonts w:asciiTheme="majorBidi" w:hAnsiTheme="majorBidi" w:cstheme="majorBidi"/>
          <w:noProof/>
        </w:rPr>
      </w:pPr>
      <w:r w:rsidRPr="00DA1F9F">
        <w:rPr>
          <w:rFonts w:asciiTheme="majorBidi" w:hAnsiTheme="majorBidi" w:cstheme="majorBidi"/>
          <w:b/>
          <w:bCs/>
          <w:noProof/>
          <w:u w:val="single"/>
        </w:rPr>
        <w:t>Problem driver #9</w:t>
      </w:r>
      <w:r w:rsidRPr="004E74D2">
        <w:rPr>
          <w:rFonts w:asciiTheme="majorBidi" w:hAnsiTheme="majorBidi" w:cstheme="majorBidi"/>
          <w:b/>
          <w:bCs/>
          <w:noProof/>
          <w:u w:val="single"/>
        </w:rPr>
        <w:t xml:space="preserve"> </w:t>
      </w:r>
      <w:r w:rsidR="00C26D9B">
        <w:rPr>
          <w:rFonts w:asciiTheme="majorBidi" w:hAnsiTheme="majorBidi" w:cstheme="majorBidi"/>
          <w:noProof/>
        </w:rPr>
        <w:t>relates to</w:t>
      </w:r>
      <w:r>
        <w:rPr>
          <w:rFonts w:asciiTheme="majorBidi" w:hAnsiTheme="majorBidi" w:cstheme="majorBidi"/>
          <w:noProof/>
        </w:rPr>
        <w:t xml:space="preserve"> </w:t>
      </w:r>
      <w:r w:rsidR="002814A5" w:rsidRPr="002814A5">
        <w:rPr>
          <w:rFonts w:asciiTheme="majorBidi" w:hAnsiTheme="majorBidi" w:cstheme="majorBidi"/>
          <w:b/>
          <w:bCs/>
          <w:noProof/>
        </w:rPr>
        <w:t>constrained</w:t>
      </w:r>
      <w:r w:rsidR="08FC6AC7" w:rsidRPr="002814A5">
        <w:rPr>
          <w:rFonts w:asciiTheme="majorBidi" w:hAnsiTheme="majorBidi" w:cstheme="majorBidi"/>
          <w:b/>
          <w:noProof/>
        </w:rPr>
        <w:t xml:space="preserve"> </w:t>
      </w:r>
      <w:r w:rsidR="08FC6AC7" w:rsidRPr="00D4396B">
        <w:rPr>
          <w:rFonts w:asciiTheme="majorBidi" w:hAnsiTheme="majorBidi" w:cstheme="majorBidi"/>
          <w:b/>
          <w:bCs/>
          <w:noProof/>
        </w:rPr>
        <w:t>cooperation with the EPPO</w:t>
      </w:r>
      <w:r w:rsidR="08FC6AC7" w:rsidRPr="002814A5">
        <w:rPr>
          <w:rFonts w:asciiTheme="majorBidi" w:hAnsiTheme="majorBidi" w:cstheme="majorBidi"/>
          <w:noProof/>
        </w:rPr>
        <w:t>.</w:t>
      </w:r>
    </w:p>
    <w:p w14:paraId="175143C5" w14:textId="3196D128" w:rsidR="000D188A" w:rsidRDefault="000D188A" w:rsidP="384F7AB1">
      <w:pPr>
        <w:pStyle w:val="NormalWeb"/>
        <w:spacing w:before="0" w:beforeAutospacing="0" w:after="120" w:afterAutospacing="0"/>
        <w:jc w:val="both"/>
        <w:rPr>
          <w:rFonts w:asciiTheme="majorBidi" w:hAnsiTheme="majorBidi" w:cstheme="majorBidi"/>
          <w:noProof/>
          <w:lang w:val="en-GB"/>
        </w:rPr>
      </w:pPr>
      <w:r w:rsidRPr="384F7AB1">
        <w:rPr>
          <w:rFonts w:asciiTheme="majorBidi" w:hAnsiTheme="majorBidi" w:cstheme="majorBidi"/>
          <w:noProof/>
          <w:lang w:val="en-GB"/>
        </w:rPr>
        <w:t xml:space="preserve">This driver stems </w:t>
      </w:r>
      <w:r w:rsidR="00550C5A" w:rsidRPr="384F7AB1">
        <w:rPr>
          <w:rFonts w:asciiTheme="majorBidi" w:hAnsiTheme="majorBidi" w:cstheme="majorBidi"/>
          <w:noProof/>
          <w:lang w:val="en-GB"/>
        </w:rPr>
        <w:t xml:space="preserve">from </w:t>
      </w:r>
      <w:r w:rsidR="007F5A34" w:rsidRPr="384F7AB1">
        <w:rPr>
          <w:rFonts w:asciiTheme="majorBidi" w:hAnsiTheme="majorBidi" w:cstheme="majorBidi"/>
          <w:noProof/>
          <w:lang w:val="en-GB"/>
        </w:rPr>
        <w:t xml:space="preserve">legal constraints and implementation </w:t>
      </w:r>
      <w:r w:rsidR="00730ECB" w:rsidRPr="384F7AB1">
        <w:rPr>
          <w:rFonts w:asciiTheme="majorBidi" w:hAnsiTheme="majorBidi" w:cstheme="majorBidi"/>
          <w:noProof/>
          <w:lang w:val="en-GB"/>
        </w:rPr>
        <w:t xml:space="preserve">problems. </w:t>
      </w:r>
    </w:p>
    <w:p w14:paraId="3DC86906" w14:textId="052B2828" w:rsidR="006354A6" w:rsidRDefault="00FD5CDA" w:rsidP="00FD5CDA">
      <w:pPr>
        <w:pStyle w:val="NormalWeb"/>
        <w:spacing w:before="0" w:beforeAutospacing="0" w:after="120" w:afterAutospacing="0"/>
        <w:jc w:val="both"/>
        <w:rPr>
          <w:rFonts w:asciiTheme="majorBidi" w:hAnsiTheme="majorBidi" w:cstheme="majorBidi"/>
          <w:noProof/>
          <w:lang w:val="en-GB"/>
        </w:rPr>
      </w:pPr>
      <w:r w:rsidRPr="00FD5CDA">
        <w:rPr>
          <w:rFonts w:asciiTheme="majorBidi" w:hAnsiTheme="majorBidi" w:cstheme="majorBidi"/>
          <w:noProof/>
          <w:lang w:val="en-GB"/>
        </w:rPr>
        <w:t>The EPPO is the EU prosecution service competent for the investigation and prosecution of crimes affecting the Union’s financial interests; cooperation with Eurojust is therefore, in principle, confined to such offences. Nonetheless, EPPO cases may lead to the discovery of serious cross-border crime falling outside the EPPO’s competence</w:t>
      </w:r>
      <w:r w:rsidR="00433F01">
        <w:rPr>
          <w:rFonts w:asciiTheme="majorBidi" w:hAnsiTheme="majorBidi" w:cstheme="majorBidi"/>
          <w:noProof/>
          <w:lang w:val="en-GB"/>
        </w:rPr>
        <w:t>,</w:t>
      </w:r>
      <w:r w:rsidRPr="00FD5CDA">
        <w:rPr>
          <w:rFonts w:asciiTheme="majorBidi" w:hAnsiTheme="majorBidi" w:cstheme="majorBidi"/>
          <w:noProof/>
          <w:lang w:val="en-GB"/>
        </w:rPr>
        <w:t xml:space="preserve"> in </w:t>
      </w:r>
      <w:r w:rsidR="00433F01">
        <w:rPr>
          <w:rFonts w:asciiTheme="majorBidi" w:hAnsiTheme="majorBidi" w:cstheme="majorBidi"/>
          <w:noProof/>
          <w:lang w:val="en-GB"/>
        </w:rPr>
        <w:t xml:space="preserve">which case </w:t>
      </w:r>
      <w:r w:rsidRPr="00FD5CDA">
        <w:rPr>
          <w:rFonts w:asciiTheme="majorBidi" w:hAnsiTheme="majorBidi" w:cstheme="majorBidi"/>
          <w:noProof/>
          <w:lang w:val="en-GB"/>
        </w:rPr>
        <w:t>Eurojust may take on a role in coordinating national authorities.</w:t>
      </w:r>
      <w:r w:rsidR="08FC6AC7" w:rsidRPr="00D4396B">
        <w:rPr>
          <w:rFonts w:asciiTheme="majorBidi" w:hAnsiTheme="majorBidi" w:cstheme="majorBidi"/>
          <w:noProof/>
          <w:lang w:val="en-GB"/>
        </w:rPr>
        <w:t xml:space="preserve"> </w:t>
      </w:r>
    </w:p>
    <w:p w14:paraId="68F5DCDE" w14:textId="412F5A87" w:rsidR="00CA60A6" w:rsidRDefault="006354A6" w:rsidP="00CA60A6">
      <w:pPr>
        <w:pStyle w:val="NormalWeb"/>
        <w:spacing w:before="0" w:beforeAutospacing="0" w:after="120" w:afterAutospacing="0"/>
        <w:jc w:val="both"/>
        <w:rPr>
          <w:rFonts w:asciiTheme="majorBidi" w:hAnsiTheme="majorBidi" w:cstheme="majorBidi"/>
          <w:noProof/>
          <w:lang w:val="en-GB"/>
        </w:rPr>
      </w:pPr>
      <w:r w:rsidRPr="006354A6">
        <w:rPr>
          <w:rFonts w:asciiTheme="majorBidi" w:hAnsiTheme="majorBidi" w:cstheme="majorBidi"/>
          <w:noProof/>
        </w:rPr>
        <w:t xml:space="preserve">Information held by the EPPO is processed for the purposes of investigation and prosecution and is therefore subject to high standards of confidentiality. Limited disclosure of investigation-related information may lead to the under-involvement of Eurojust, even where multilateral coordination would add value for case-building and follow-up on offences beyond </w:t>
      </w:r>
      <w:r w:rsidR="003562FD">
        <w:rPr>
          <w:rFonts w:asciiTheme="majorBidi" w:hAnsiTheme="majorBidi" w:cstheme="majorBidi"/>
          <w:noProof/>
        </w:rPr>
        <w:t xml:space="preserve">the </w:t>
      </w:r>
      <w:r w:rsidR="00CA60A6">
        <w:rPr>
          <w:rFonts w:asciiTheme="majorBidi" w:hAnsiTheme="majorBidi" w:cstheme="majorBidi"/>
          <w:noProof/>
        </w:rPr>
        <w:t>EPPO’s</w:t>
      </w:r>
      <w:r w:rsidRPr="006354A6">
        <w:rPr>
          <w:rFonts w:asciiTheme="majorBidi" w:hAnsiTheme="majorBidi" w:cstheme="majorBidi"/>
          <w:noProof/>
        </w:rPr>
        <w:t xml:space="preserve"> competence.</w:t>
      </w:r>
      <w:r w:rsidR="00A63B53" w:rsidRPr="00D4396B">
        <w:rPr>
          <w:rStyle w:val="FootnoteReference"/>
          <w:rFonts w:asciiTheme="majorBidi" w:hAnsiTheme="majorBidi" w:cstheme="majorBidi"/>
          <w:noProof/>
          <w:lang w:val="en-GB"/>
        </w:rPr>
        <w:footnoteReference w:id="82"/>
      </w:r>
    </w:p>
    <w:p w14:paraId="6E7E9E51" w14:textId="217054EE" w:rsidR="002516FB" w:rsidRPr="00D4396B" w:rsidRDefault="00C00A11" w:rsidP="002516FB">
      <w:pPr>
        <w:pStyle w:val="NormalWeb"/>
        <w:spacing w:before="0" w:beforeAutospacing="0" w:after="120" w:afterAutospacing="0"/>
        <w:jc w:val="both"/>
        <w:rPr>
          <w:rFonts w:asciiTheme="majorBidi" w:hAnsiTheme="majorBidi" w:cstheme="majorBidi"/>
          <w:noProof/>
          <w:lang w:val="en-GB"/>
        </w:rPr>
      </w:pPr>
      <w:r>
        <w:rPr>
          <w:rFonts w:asciiTheme="majorBidi" w:hAnsiTheme="majorBidi" w:cstheme="majorBidi"/>
          <w:noProof/>
        </w:rPr>
        <w:t>T</w:t>
      </w:r>
      <w:r w:rsidRPr="006354A6">
        <w:rPr>
          <w:rFonts w:asciiTheme="majorBidi" w:hAnsiTheme="majorBidi" w:cstheme="majorBidi"/>
          <w:noProof/>
        </w:rPr>
        <w:t>his is particularly relevant in organised crime. EPPO investigations may uncover criminal organisations engaged in offences beyond the Union’s financial interests. However, limited or delayed transmission of such information may hinder efforts to address broader criminal networks.</w:t>
      </w:r>
      <w:r w:rsidR="00A63B53" w:rsidRPr="00D4396B">
        <w:rPr>
          <w:rStyle w:val="FootnoteReference"/>
          <w:rFonts w:asciiTheme="majorBidi" w:hAnsiTheme="majorBidi" w:cstheme="majorBidi"/>
          <w:noProof/>
        </w:rPr>
        <w:footnoteReference w:id="83"/>
      </w:r>
      <w:r w:rsidR="00E16DF6">
        <w:rPr>
          <w:rFonts w:asciiTheme="majorBidi" w:hAnsiTheme="majorBidi" w:cstheme="majorBidi"/>
          <w:noProof/>
        </w:rPr>
        <w:t xml:space="preserve"> </w:t>
      </w:r>
      <w:r w:rsidR="002516FB" w:rsidRPr="002516FB">
        <w:rPr>
          <w:rFonts w:asciiTheme="majorBidi" w:hAnsiTheme="majorBidi" w:cstheme="majorBidi"/>
          <w:noProof/>
          <w:lang w:val="en-GB"/>
        </w:rPr>
        <w:t>As above, the time-consuming procedures of the hit/no-hit system give rise to delays in follow-up</w:t>
      </w:r>
      <w:r w:rsidR="002516FB">
        <w:rPr>
          <w:rFonts w:asciiTheme="majorBidi" w:hAnsiTheme="majorBidi" w:cstheme="majorBidi"/>
          <w:noProof/>
          <w:lang w:val="en-GB"/>
        </w:rPr>
        <w:t xml:space="preserve"> </w:t>
      </w:r>
      <w:r w:rsidR="00334C21">
        <w:rPr>
          <w:rFonts w:asciiTheme="majorBidi" w:hAnsiTheme="majorBidi" w:cstheme="majorBidi"/>
          <w:noProof/>
          <w:lang w:val="en-GB"/>
        </w:rPr>
        <w:t>(#7)</w:t>
      </w:r>
      <w:r w:rsidR="002516FB" w:rsidRPr="002516FB">
        <w:rPr>
          <w:rFonts w:asciiTheme="majorBidi" w:hAnsiTheme="majorBidi" w:cstheme="majorBidi"/>
          <w:noProof/>
          <w:lang w:val="en-GB"/>
        </w:rPr>
        <w:t>.</w:t>
      </w:r>
    </w:p>
    <w:p w14:paraId="4492ABFC" w14:textId="77777777" w:rsidR="00C458EA" w:rsidRDefault="00390B85" w:rsidP="5E05A023">
      <w:pPr>
        <w:pStyle w:val="NormalWeb"/>
        <w:spacing w:before="0" w:beforeAutospacing="0" w:after="120" w:afterAutospacing="0"/>
        <w:jc w:val="both"/>
        <w:rPr>
          <w:rFonts w:asciiTheme="majorBidi" w:hAnsiTheme="majorBidi" w:cstheme="majorBidi"/>
          <w:noProof/>
        </w:rPr>
      </w:pPr>
      <w:r w:rsidRPr="00D365F5">
        <w:rPr>
          <w:rFonts w:asciiTheme="majorBidi" w:hAnsiTheme="majorBidi" w:cstheme="majorBidi"/>
          <w:b/>
          <w:noProof/>
          <w:u w:val="single"/>
        </w:rPr>
        <w:t>Problem driver #10</w:t>
      </w:r>
      <w:r>
        <w:rPr>
          <w:rFonts w:asciiTheme="majorBidi" w:hAnsiTheme="majorBidi" w:cstheme="majorBidi"/>
          <w:noProof/>
        </w:rPr>
        <w:t xml:space="preserve"> </w:t>
      </w:r>
      <w:r w:rsidR="000C0DFD">
        <w:rPr>
          <w:rFonts w:asciiTheme="majorBidi" w:hAnsiTheme="majorBidi" w:cstheme="majorBidi"/>
          <w:noProof/>
        </w:rPr>
        <w:t xml:space="preserve">relates to the </w:t>
      </w:r>
      <w:r w:rsidR="000C0DFD" w:rsidRPr="009453F1">
        <w:rPr>
          <w:rFonts w:asciiTheme="majorBidi" w:hAnsiTheme="majorBidi" w:cstheme="majorBidi"/>
          <w:b/>
          <w:noProof/>
        </w:rPr>
        <w:t xml:space="preserve">cumbersome </w:t>
      </w:r>
      <w:r w:rsidR="13E09673" w:rsidRPr="00D4396B">
        <w:rPr>
          <w:rFonts w:asciiTheme="majorBidi" w:hAnsiTheme="majorBidi" w:cstheme="majorBidi"/>
          <w:b/>
          <w:bCs/>
          <w:noProof/>
        </w:rPr>
        <w:t>process for establishing formal relations with third countries and international justice actors</w:t>
      </w:r>
      <w:r w:rsidR="13E09673" w:rsidRPr="00D4396B">
        <w:rPr>
          <w:rFonts w:asciiTheme="majorBidi" w:hAnsiTheme="majorBidi" w:cstheme="majorBidi"/>
          <w:noProof/>
        </w:rPr>
        <w:t>.</w:t>
      </w:r>
      <w:r w:rsidR="2D45E591" w:rsidRPr="594764DD">
        <w:rPr>
          <w:rFonts w:asciiTheme="majorBidi" w:hAnsiTheme="majorBidi" w:cstheme="majorBidi"/>
          <w:noProof/>
        </w:rPr>
        <w:t xml:space="preserve"> </w:t>
      </w:r>
    </w:p>
    <w:p w14:paraId="1717BDD1" w14:textId="4EC3B20E" w:rsidR="002B3194" w:rsidRDefault="2D45E591" w:rsidP="5E05A023">
      <w:pPr>
        <w:pStyle w:val="NormalWeb"/>
        <w:spacing w:before="0" w:beforeAutospacing="0" w:after="120" w:afterAutospacing="0"/>
        <w:jc w:val="both"/>
        <w:rPr>
          <w:rFonts w:asciiTheme="majorBidi" w:hAnsiTheme="majorBidi" w:cstheme="majorBidi"/>
          <w:noProof/>
        </w:rPr>
      </w:pPr>
      <w:r w:rsidRPr="7102599C">
        <w:rPr>
          <w:rFonts w:asciiTheme="majorBidi" w:hAnsiTheme="majorBidi" w:cstheme="majorBidi"/>
          <w:noProof/>
        </w:rPr>
        <w:t>The obstacles are mainly of a legal nature</w:t>
      </w:r>
      <w:r w:rsidR="23114916" w:rsidRPr="7102599C">
        <w:rPr>
          <w:rFonts w:asciiTheme="majorBidi" w:hAnsiTheme="majorBidi" w:cstheme="majorBidi"/>
          <w:noProof/>
        </w:rPr>
        <w:t xml:space="preserve"> stemming from the non-compliance of partners outside the EU with EU standards, particularly in the area of data protection</w:t>
      </w:r>
      <w:r w:rsidR="23114916" w:rsidRPr="13738EA6">
        <w:rPr>
          <w:rFonts w:asciiTheme="majorBidi" w:hAnsiTheme="majorBidi" w:cstheme="majorBidi"/>
          <w:noProof/>
        </w:rPr>
        <w:t>.</w:t>
      </w:r>
    </w:p>
    <w:p w14:paraId="2605C217" w14:textId="5818FAF9" w:rsidR="008F42C5" w:rsidRPr="008F42C5" w:rsidRDefault="008F42C5" w:rsidP="008F42C5">
      <w:pPr>
        <w:pStyle w:val="NormalWeb"/>
        <w:spacing w:before="0" w:beforeAutospacing="0" w:after="120" w:afterAutospacing="0"/>
        <w:jc w:val="both"/>
        <w:rPr>
          <w:rFonts w:asciiTheme="majorBidi" w:hAnsiTheme="majorBidi" w:cstheme="majorBidi"/>
          <w:noProof/>
        </w:rPr>
      </w:pPr>
      <w:r w:rsidRPr="008F42C5">
        <w:rPr>
          <w:rFonts w:asciiTheme="majorBidi" w:hAnsiTheme="majorBidi" w:cstheme="majorBidi"/>
          <w:noProof/>
        </w:rPr>
        <w:t>Eurojust’s coordination role increasingly extends to cases involving third countries, either because they concern transnational crimes involving one or more Member States and third countries, or where there is a clear EU interest in engagement beyond the Union</w:t>
      </w:r>
      <w:r w:rsidR="00B71ED2">
        <w:rPr>
          <w:rFonts w:asciiTheme="majorBidi" w:hAnsiTheme="majorBidi" w:cstheme="majorBidi"/>
          <w:noProof/>
        </w:rPr>
        <w:t>’ territory</w:t>
      </w:r>
      <w:r w:rsidRPr="008F42C5">
        <w:rPr>
          <w:rFonts w:asciiTheme="majorBidi" w:hAnsiTheme="majorBidi" w:cstheme="majorBidi"/>
          <w:noProof/>
        </w:rPr>
        <w:t>.</w:t>
      </w:r>
      <w:r w:rsidR="00CE4492">
        <w:rPr>
          <w:rStyle w:val="FootnoteReference"/>
          <w:rFonts w:asciiTheme="majorBidi" w:hAnsiTheme="majorBidi" w:cstheme="majorBidi"/>
          <w:noProof/>
        </w:rPr>
        <w:footnoteReference w:id="84"/>
      </w:r>
    </w:p>
    <w:p w14:paraId="45F3C66B" w14:textId="23140B22" w:rsidR="008F42C5" w:rsidRDefault="008F42C5" w:rsidP="008F42C5">
      <w:pPr>
        <w:pStyle w:val="NormalWeb"/>
        <w:spacing w:before="0" w:beforeAutospacing="0" w:after="120" w:afterAutospacing="0"/>
        <w:jc w:val="both"/>
        <w:rPr>
          <w:rFonts w:asciiTheme="majorBidi" w:hAnsiTheme="majorBidi" w:cstheme="majorBidi"/>
          <w:noProof/>
          <w:lang w:val="en-GB"/>
        </w:rPr>
      </w:pPr>
      <w:r w:rsidRPr="008F42C5">
        <w:rPr>
          <w:rFonts w:asciiTheme="majorBidi" w:hAnsiTheme="majorBidi" w:cstheme="majorBidi"/>
          <w:noProof/>
        </w:rPr>
        <w:t xml:space="preserve">For example, a significant share of proceeds </w:t>
      </w:r>
      <w:r w:rsidR="00B6494F">
        <w:rPr>
          <w:rFonts w:asciiTheme="majorBidi" w:hAnsiTheme="majorBidi" w:cstheme="majorBidi"/>
          <w:noProof/>
        </w:rPr>
        <w:t>of crime</w:t>
      </w:r>
      <w:r w:rsidRPr="008F42C5">
        <w:rPr>
          <w:rFonts w:asciiTheme="majorBidi" w:hAnsiTheme="majorBidi" w:cstheme="majorBidi"/>
          <w:noProof/>
        </w:rPr>
        <w:t xml:space="preserve"> generated within the EU is transferred </w:t>
      </w:r>
      <w:r w:rsidR="00AC3F2A">
        <w:rPr>
          <w:rFonts w:asciiTheme="majorBidi" w:hAnsiTheme="majorBidi" w:cstheme="majorBidi"/>
          <w:noProof/>
        </w:rPr>
        <w:t>to</w:t>
      </w:r>
      <w:r w:rsidRPr="008F42C5">
        <w:rPr>
          <w:rFonts w:asciiTheme="majorBidi" w:hAnsiTheme="majorBidi" w:cstheme="majorBidi"/>
          <w:noProof/>
        </w:rPr>
        <w:t xml:space="preserve"> third countries with less stringent financial controls, particularly in the Gulf region. </w:t>
      </w:r>
      <w:r w:rsidRPr="001713E1">
        <w:rPr>
          <w:rFonts w:asciiTheme="majorBidi" w:hAnsiTheme="majorBidi" w:cstheme="majorBidi"/>
          <w:noProof/>
          <w:lang w:val="en-GB"/>
        </w:rPr>
        <w:t xml:space="preserve">Another relevant area concerns drug trafficking from Latin America, </w:t>
      </w:r>
      <w:r w:rsidR="001713E1" w:rsidRPr="001713E1">
        <w:rPr>
          <w:rFonts w:asciiTheme="majorBidi" w:hAnsiTheme="majorBidi" w:cstheme="majorBidi"/>
          <w:noProof/>
          <w:lang w:val="en-GB"/>
        </w:rPr>
        <w:t xml:space="preserve">the </w:t>
      </w:r>
      <w:r w:rsidR="00067099">
        <w:rPr>
          <w:rFonts w:asciiTheme="majorBidi" w:hAnsiTheme="majorBidi" w:cstheme="majorBidi"/>
          <w:noProof/>
          <w:lang w:val="en-GB"/>
        </w:rPr>
        <w:t>tackling</w:t>
      </w:r>
      <w:r w:rsidR="001713E1" w:rsidRPr="001713E1">
        <w:rPr>
          <w:rFonts w:asciiTheme="majorBidi" w:hAnsiTheme="majorBidi" w:cstheme="majorBidi"/>
          <w:noProof/>
          <w:lang w:val="en-GB"/>
        </w:rPr>
        <w:t xml:space="preserve"> of </w:t>
      </w:r>
      <w:r w:rsidRPr="001713E1">
        <w:rPr>
          <w:rFonts w:asciiTheme="majorBidi" w:hAnsiTheme="majorBidi" w:cstheme="majorBidi"/>
          <w:noProof/>
          <w:lang w:val="en-GB"/>
        </w:rPr>
        <w:t xml:space="preserve">which </w:t>
      </w:r>
      <w:r w:rsidR="001713E1" w:rsidRPr="001713E1">
        <w:rPr>
          <w:rFonts w:asciiTheme="majorBidi" w:hAnsiTheme="majorBidi" w:cstheme="majorBidi"/>
          <w:noProof/>
          <w:lang w:val="en-GB"/>
        </w:rPr>
        <w:t xml:space="preserve">requires </w:t>
      </w:r>
      <w:r w:rsidR="00856EB7">
        <w:rPr>
          <w:rFonts w:asciiTheme="majorBidi" w:hAnsiTheme="majorBidi" w:cstheme="majorBidi"/>
          <w:noProof/>
          <w:lang w:val="en-GB"/>
        </w:rPr>
        <w:t>a coordinated approach at</w:t>
      </w:r>
      <w:r w:rsidR="001713E1" w:rsidRPr="001713E1">
        <w:rPr>
          <w:rFonts w:asciiTheme="majorBidi" w:hAnsiTheme="majorBidi" w:cstheme="majorBidi"/>
          <w:noProof/>
          <w:lang w:val="en-GB"/>
        </w:rPr>
        <w:t xml:space="preserve"> </w:t>
      </w:r>
      <w:r w:rsidR="00531F4D">
        <w:rPr>
          <w:rFonts w:asciiTheme="majorBidi" w:hAnsiTheme="majorBidi" w:cstheme="majorBidi"/>
          <w:noProof/>
          <w:lang w:val="en-GB"/>
        </w:rPr>
        <w:t>EU</w:t>
      </w:r>
      <w:r w:rsidRPr="001713E1">
        <w:rPr>
          <w:rFonts w:asciiTheme="majorBidi" w:hAnsiTheme="majorBidi" w:cstheme="majorBidi"/>
          <w:noProof/>
          <w:lang w:val="en-GB"/>
        </w:rPr>
        <w:t xml:space="preserve"> </w:t>
      </w:r>
      <w:r>
        <w:rPr>
          <w:rFonts w:asciiTheme="majorBidi" w:hAnsiTheme="majorBidi" w:cstheme="majorBidi"/>
          <w:noProof/>
          <w:lang w:val="en-GB"/>
        </w:rPr>
        <w:t xml:space="preserve">and </w:t>
      </w:r>
      <w:r w:rsidR="00856EB7">
        <w:rPr>
          <w:rFonts w:asciiTheme="majorBidi" w:hAnsiTheme="majorBidi" w:cstheme="majorBidi"/>
          <w:noProof/>
          <w:lang w:val="en-GB"/>
        </w:rPr>
        <w:t>Member States level</w:t>
      </w:r>
      <w:r w:rsidR="001713E1" w:rsidRPr="001713E1">
        <w:rPr>
          <w:rFonts w:asciiTheme="majorBidi" w:hAnsiTheme="majorBidi" w:cstheme="majorBidi"/>
          <w:noProof/>
          <w:lang w:val="en-GB"/>
        </w:rPr>
        <w:t>.</w:t>
      </w:r>
      <w:r w:rsidR="001617D1">
        <w:rPr>
          <w:rStyle w:val="FootnoteReference"/>
          <w:rFonts w:asciiTheme="majorBidi" w:hAnsiTheme="majorBidi" w:cstheme="majorBidi"/>
          <w:noProof/>
          <w:lang w:val="en-GB"/>
        </w:rPr>
        <w:footnoteReference w:id="85"/>
      </w:r>
    </w:p>
    <w:p w14:paraId="39A5BF5B" w14:textId="1F4A850F" w:rsidR="00CE4492" w:rsidRDefault="00CE4492" w:rsidP="0041141C">
      <w:pPr>
        <w:pStyle w:val="NormalWeb"/>
        <w:spacing w:before="0" w:beforeAutospacing="0" w:after="120" w:afterAutospacing="0"/>
        <w:jc w:val="both"/>
        <w:rPr>
          <w:rFonts w:asciiTheme="majorBidi" w:hAnsiTheme="majorBidi" w:cstheme="majorBidi"/>
          <w:noProof/>
          <w:lang w:val="en-GB"/>
        </w:rPr>
      </w:pPr>
      <w:r w:rsidRPr="00CE4492">
        <w:rPr>
          <w:rFonts w:asciiTheme="majorBidi" w:hAnsiTheme="majorBidi" w:cstheme="majorBidi"/>
          <w:noProof/>
          <w:lang w:val="en-GB"/>
        </w:rPr>
        <w:t xml:space="preserve">The need to establish cooperation relationships and receive timely feedback from third countries may face challenges in light of the procedure for concluding international agreements, which involves </w:t>
      </w:r>
      <w:r w:rsidR="00D82C29">
        <w:rPr>
          <w:rFonts w:asciiTheme="majorBidi" w:hAnsiTheme="majorBidi" w:cstheme="majorBidi"/>
          <w:noProof/>
          <w:lang w:val="en-GB"/>
        </w:rPr>
        <w:t>complex</w:t>
      </w:r>
      <w:r w:rsidRPr="00CE4492">
        <w:rPr>
          <w:rFonts w:asciiTheme="majorBidi" w:hAnsiTheme="majorBidi" w:cstheme="majorBidi"/>
          <w:noProof/>
          <w:lang w:val="en-GB"/>
        </w:rPr>
        <w:t xml:space="preserve"> negotiations and approval proce</w:t>
      </w:r>
      <w:r w:rsidR="0041141C">
        <w:rPr>
          <w:rFonts w:asciiTheme="majorBidi" w:hAnsiTheme="majorBidi" w:cstheme="majorBidi"/>
          <w:noProof/>
          <w:lang w:val="en-GB"/>
        </w:rPr>
        <w:t>dures</w:t>
      </w:r>
      <w:r w:rsidRPr="00CE4492">
        <w:rPr>
          <w:rFonts w:asciiTheme="majorBidi" w:hAnsiTheme="majorBidi" w:cstheme="majorBidi"/>
          <w:noProof/>
          <w:lang w:val="en-GB"/>
        </w:rPr>
        <w:t>.</w:t>
      </w:r>
      <w:r w:rsidR="00A3339F" w:rsidRPr="00D4396B">
        <w:rPr>
          <w:rStyle w:val="FootnoteReference"/>
          <w:rFonts w:asciiTheme="majorBidi" w:hAnsiTheme="majorBidi" w:cstheme="majorBidi"/>
          <w:noProof/>
        </w:rPr>
        <w:footnoteReference w:id="86"/>
      </w:r>
      <w:r w:rsidR="0041141C">
        <w:rPr>
          <w:rFonts w:asciiTheme="majorBidi" w:hAnsiTheme="majorBidi" w:cstheme="majorBidi"/>
          <w:noProof/>
          <w:lang w:val="en-GB"/>
        </w:rPr>
        <w:t xml:space="preserve"> </w:t>
      </w:r>
      <w:r w:rsidR="0041141C" w:rsidRPr="0041141C">
        <w:rPr>
          <w:rFonts w:asciiTheme="majorBidi" w:hAnsiTheme="majorBidi" w:cstheme="majorBidi"/>
          <w:noProof/>
          <w:lang w:val="en-GB"/>
        </w:rPr>
        <w:t xml:space="preserve">Moreover, such agreements require a degree of </w:t>
      </w:r>
      <w:r w:rsidR="00DD1E63">
        <w:rPr>
          <w:rFonts w:asciiTheme="majorBidi" w:hAnsiTheme="majorBidi" w:cstheme="majorBidi"/>
          <w:noProof/>
          <w:lang w:val="en-GB"/>
        </w:rPr>
        <w:t>convergence</w:t>
      </w:r>
      <w:r w:rsidR="0041141C" w:rsidRPr="0041141C">
        <w:rPr>
          <w:rFonts w:asciiTheme="majorBidi" w:hAnsiTheme="majorBidi" w:cstheme="majorBidi"/>
          <w:noProof/>
          <w:lang w:val="en-GB"/>
        </w:rPr>
        <w:t xml:space="preserve"> with EU standards, particularly on data protection, which may entail legislative changes in the third country and prolong the process.</w:t>
      </w:r>
    </w:p>
    <w:p w14:paraId="316B9F54" w14:textId="01E2BAE2" w:rsidR="000B1484" w:rsidRDefault="003C0D11" w:rsidP="000B1484">
      <w:pPr>
        <w:pStyle w:val="NormalWeb"/>
        <w:spacing w:before="0" w:beforeAutospacing="0" w:after="120" w:afterAutospacing="0"/>
        <w:jc w:val="both"/>
        <w:rPr>
          <w:rFonts w:asciiTheme="majorBidi" w:hAnsiTheme="majorBidi" w:cstheme="majorBidi"/>
          <w:noProof/>
          <w:lang w:val="en-GB"/>
        </w:rPr>
      </w:pPr>
      <w:r>
        <w:rPr>
          <w:rFonts w:asciiTheme="majorBidi" w:hAnsiTheme="majorBidi" w:cstheme="majorBidi"/>
          <w:noProof/>
          <w:lang w:val="en-GB"/>
        </w:rPr>
        <w:t>Even i</w:t>
      </w:r>
      <w:r w:rsidR="00217041" w:rsidRPr="00217041">
        <w:rPr>
          <w:rFonts w:asciiTheme="majorBidi" w:hAnsiTheme="majorBidi" w:cstheme="majorBidi"/>
          <w:noProof/>
          <w:lang w:val="en-GB"/>
        </w:rPr>
        <w:t>n the absence of an international agreement, Eurojust may conclude working arrangements with a third country or international organisation.</w:t>
      </w:r>
      <w:r w:rsidR="004177DE">
        <w:rPr>
          <w:rStyle w:val="FootnoteReference"/>
          <w:rFonts w:asciiTheme="majorBidi" w:hAnsiTheme="majorBidi" w:cstheme="majorBidi"/>
          <w:noProof/>
          <w:lang w:val="en-GB"/>
        </w:rPr>
        <w:footnoteReference w:id="87"/>
      </w:r>
      <w:r>
        <w:rPr>
          <w:rFonts w:asciiTheme="majorBidi" w:hAnsiTheme="majorBidi" w:cstheme="majorBidi"/>
          <w:noProof/>
          <w:lang w:val="en-GB"/>
        </w:rPr>
        <w:t xml:space="preserve"> However,</w:t>
      </w:r>
      <w:r w:rsidR="00217041" w:rsidRPr="00217041">
        <w:rPr>
          <w:rFonts w:asciiTheme="majorBidi" w:hAnsiTheme="majorBidi" w:cstheme="majorBidi"/>
          <w:noProof/>
          <w:lang w:val="en-GB"/>
        </w:rPr>
        <w:t xml:space="preserve"> such </w:t>
      </w:r>
      <w:r>
        <w:rPr>
          <w:rFonts w:asciiTheme="majorBidi" w:hAnsiTheme="majorBidi" w:cstheme="majorBidi"/>
          <w:noProof/>
          <w:lang w:val="en-GB"/>
        </w:rPr>
        <w:t>instruments</w:t>
      </w:r>
      <w:r w:rsidR="00217041" w:rsidRPr="00217041">
        <w:rPr>
          <w:rFonts w:asciiTheme="majorBidi" w:hAnsiTheme="majorBidi" w:cstheme="majorBidi"/>
          <w:noProof/>
          <w:lang w:val="en-GB"/>
        </w:rPr>
        <w:t xml:space="preserve"> do not carry the same legal weight as international agreements</w:t>
      </w:r>
      <w:r w:rsidR="7B0C7140" w:rsidRPr="45D2D64A">
        <w:rPr>
          <w:rFonts w:asciiTheme="majorBidi" w:hAnsiTheme="majorBidi" w:cstheme="majorBidi"/>
          <w:noProof/>
          <w:lang w:val="en-GB"/>
        </w:rPr>
        <w:t xml:space="preserve"> and </w:t>
      </w:r>
      <w:r w:rsidR="00217041" w:rsidRPr="00217041">
        <w:rPr>
          <w:rFonts w:asciiTheme="majorBidi" w:hAnsiTheme="majorBidi" w:cstheme="majorBidi"/>
          <w:noProof/>
          <w:lang w:val="en-GB"/>
        </w:rPr>
        <w:t xml:space="preserve">may </w:t>
      </w:r>
      <w:r>
        <w:rPr>
          <w:rFonts w:asciiTheme="majorBidi" w:hAnsiTheme="majorBidi" w:cstheme="majorBidi"/>
          <w:noProof/>
          <w:lang w:val="en-GB"/>
        </w:rPr>
        <w:t>lead</w:t>
      </w:r>
      <w:r w:rsidR="00217041" w:rsidRPr="00217041">
        <w:rPr>
          <w:rFonts w:asciiTheme="majorBidi" w:hAnsiTheme="majorBidi" w:cstheme="majorBidi"/>
          <w:noProof/>
          <w:lang w:val="en-GB"/>
        </w:rPr>
        <w:t xml:space="preserve"> to a misalignment with the EU’s external action priorities as defined by the EU institutions.</w:t>
      </w:r>
    </w:p>
    <w:p w14:paraId="163B3D9B" w14:textId="7A5AB90C" w:rsidR="000B1484" w:rsidRDefault="000B1484" w:rsidP="000B1484">
      <w:pPr>
        <w:pStyle w:val="NormalWeb"/>
        <w:spacing w:before="0" w:beforeAutospacing="0" w:after="120" w:afterAutospacing="0"/>
        <w:jc w:val="both"/>
        <w:rPr>
          <w:rFonts w:asciiTheme="majorBidi" w:hAnsiTheme="majorBidi" w:cstheme="majorBidi"/>
          <w:noProof/>
          <w:lang w:val="en-GB"/>
        </w:rPr>
      </w:pPr>
      <w:r w:rsidRPr="000B1484">
        <w:rPr>
          <w:rFonts w:asciiTheme="majorBidi" w:hAnsiTheme="majorBidi" w:cstheme="majorBidi"/>
          <w:noProof/>
          <w:lang w:val="en-GB"/>
        </w:rPr>
        <w:t>This risk of misalignment is also linked to capacity-building activities in which Eurojust engages in third countries through dedicated projects. As these are largely carried out informal</w:t>
      </w:r>
      <w:r>
        <w:rPr>
          <w:rFonts w:asciiTheme="majorBidi" w:hAnsiTheme="majorBidi" w:cstheme="majorBidi"/>
          <w:noProof/>
          <w:lang w:val="en-GB"/>
        </w:rPr>
        <w:t>ly</w:t>
      </w:r>
      <w:r w:rsidRPr="000B1484">
        <w:rPr>
          <w:rFonts w:asciiTheme="majorBidi" w:hAnsiTheme="majorBidi" w:cstheme="majorBidi"/>
          <w:noProof/>
          <w:lang w:val="en-GB"/>
        </w:rPr>
        <w:t xml:space="preserve">, without a legal basis in the </w:t>
      </w:r>
      <w:r>
        <w:rPr>
          <w:rFonts w:asciiTheme="majorBidi" w:hAnsiTheme="majorBidi" w:cstheme="majorBidi"/>
          <w:noProof/>
          <w:lang w:val="en-GB"/>
        </w:rPr>
        <w:t>EJR</w:t>
      </w:r>
      <w:r w:rsidRPr="000B1484">
        <w:rPr>
          <w:rFonts w:asciiTheme="majorBidi" w:hAnsiTheme="majorBidi" w:cstheme="majorBidi"/>
          <w:noProof/>
          <w:lang w:val="en-GB"/>
        </w:rPr>
        <w:t>, they lack defined requirements and boundaries.</w:t>
      </w:r>
    </w:p>
    <w:p w14:paraId="1184AC62" w14:textId="2808999F" w:rsidR="00A63B53" w:rsidRPr="00D4396B" w:rsidRDefault="00DD65BB" w:rsidP="00340E67">
      <w:pPr>
        <w:pStyle w:val="NormalWeb"/>
        <w:spacing w:before="0" w:beforeAutospacing="0" w:after="120" w:afterAutospacing="0"/>
        <w:jc w:val="both"/>
        <w:rPr>
          <w:rFonts w:asciiTheme="majorBidi" w:hAnsiTheme="majorBidi" w:cstheme="majorBidi"/>
          <w:noProof/>
        </w:rPr>
      </w:pPr>
      <w:r w:rsidRPr="7E8FC249">
        <w:rPr>
          <w:rFonts w:asciiTheme="majorBidi" w:hAnsiTheme="majorBidi" w:cstheme="majorBidi"/>
          <w:noProof/>
          <w:lang w:val="en-GB"/>
        </w:rPr>
        <w:t xml:space="preserve">Finally, the </w:t>
      </w:r>
      <w:r w:rsidR="009E28A9" w:rsidRPr="7E8FC249">
        <w:rPr>
          <w:rFonts w:asciiTheme="majorBidi" w:hAnsiTheme="majorBidi" w:cstheme="majorBidi"/>
          <w:noProof/>
          <w:lang w:val="en-GB"/>
        </w:rPr>
        <w:t>f</w:t>
      </w:r>
      <w:r w:rsidR="00161717" w:rsidRPr="7E8FC249">
        <w:rPr>
          <w:rFonts w:asciiTheme="majorBidi" w:hAnsiTheme="majorBidi" w:cstheme="majorBidi"/>
          <w:noProof/>
          <w:lang w:val="en-GB"/>
        </w:rPr>
        <w:t>unctions of</w:t>
      </w:r>
      <w:r w:rsidRPr="7E8FC249">
        <w:rPr>
          <w:rFonts w:asciiTheme="majorBidi" w:hAnsiTheme="majorBidi" w:cstheme="majorBidi"/>
          <w:noProof/>
          <w:lang w:val="en-GB"/>
        </w:rPr>
        <w:t xml:space="preserve"> Liaison Magistrates</w:t>
      </w:r>
      <w:r w:rsidR="16AF924E" w:rsidRPr="7E8FC249">
        <w:rPr>
          <w:rFonts w:asciiTheme="majorBidi" w:hAnsiTheme="majorBidi" w:cstheme="majorBidi"/>
          <w:noProof/>
          <w:lang w:val="en-GB"/>
        </w:rPr>
        <w:t xml:space="preserve"> (LMs)</w:t>
      </w:r>
      <w:r w:rsidRPr="7E8FC249">
        <w:rPr>
          <w:rFonts w:asciiTheme="majorBidi" w:hAnsiTheme="majorBidi" w:cstheme="majorBidi"/>
          <w:noProof/>
          <w:lang w:val="en-GB"/>
        </w:rPr>
        <w:t xml:space="preserve"> (Eurojust officials posted in third countries) and Liaison Prosecutors </w:t>
      </w:r>
      <w:r w:rsidR="79147CF7" w:rsidRPr="7E8FC249">
        <w:rPr>
          <w:rFonts w:asciiTheme="majorBidi" w:hAnsiTheme="majorBidi" w:cstheme="majorBidi"/>
          <w:noProof/>
          <w:lang w:val="en-GB"/>
        </w:rPr>
        <w:t>(LP</w:t>
      </w:r>
      <w:r w:rsidR="577458F5" w:rsidRPr="7E8FC249">
        <w:rPr>
          <w:rFonts w:asciiTheme="majorBidi" w:hAnsiTheme="majorBidi" w:cstheme="majorBidi"/>
          <w:noProof/>
          <w:lang w:val="en-GB"/>
        </w:rPr>
        <w:t>s</w:t>
      </w:r>
      <w:r w:rsidR="79147CF7" w:rsidRPr="7E8FC249">
        <w:rPr>
          <w:rFonts w:asciiTheme="majorBidi" w:hAnsiTheme="majorBidi" w:cstheme="majorBidi"/>
          <w:noProof/>
          <w:lang w:val="en-GB"/>
        </w:rPr>
        <w:t>)</w:t>
      </w:r>
      <w:r w:rsidRPr="7E8FC249">
        <w:rPr>
          <w:rFonts w:asciiTheme="majorBidi" w:hAnsiTheme="majorBidi" w:cstheme="majorBidi"/>
          <w:noProof/>
          <w:lang w:val="en-GB"/>
        </w:rPr>
        <w:t xml:space="preserve"> (third</w:t>
      </w:r>
      <w:r w:rsidR="00B46809">
        <w:rPr>
          <w:rFonts w:asciiTheme="majorBidi" w:hAnsiTheme="majorBidi" w:cstheme="majorBidi"/>
          <w:noProof/>
          <w:lang w:val="en-GB"/>
        </w:rPr>
        <w:t xml:space="preserve"> country</w:t>
      </w:r>
      <w:r w:rsidRPr="7E8FC249">
        <w:rPr>
          <w:rFonts w:asciiTheme="majorBidi" w:hAnsiTheme="majorBidi" w:cstheme="majorBidi"/>
          <w:noProof/>
          <w:lang w:val="en-GB"/>
        </w:rPr>
        <w:t xml:space="preserve"> officials posted at Eurojust on the basis of an international agreement) appear to be underutilised.</w:t>
      </w:r>
      <w:r w:rsidRPr="7E8FC249">
        <w:rPr>
          <w:rStyle w:val="FootnoteReference"/>
          <w:rFonts w:asciiTheme="majorBidi" w:hAnsiTheme="majorBidi" w:cstheme="majorBidi"/>
          <w:noProof/>
          <w:lang w:val="en-GB"/>
        </w:rPr>
        <w:footnoteReference w:id="88"/>
      </w:r>
    </w:p>
    <w:p w14:paraId="0B26E799" w14:textId="2A7C522C" w:rsidR="00A63B53" w:rsidRPr="00D4396B" w:rsidRDefault="0092673A" w:rsidP="000C3545">
      <w:pPr>
        <w:pStyle w:val="Heading2"/>
        <w:rPr>
          <w:noProof/>
        </w:rPr>
      </w:pPr>
      <w:bookmarkStart w:id="72" w:name="_Toc320532068"/>
      <w:bookmarkStart w:id="73" w:name="_Toc115671862"/>
      <w:bookmarkStart w:id="74" w:name="_Toc406460449"/>
      <w:bookmarkStart w:id="75" w:name="_Toc407374123"/>
      <w:bookmarkStart w:id="76" w:name="_Toc3708161"/>
      <w:bookmarkStart w:id="77" w:name="_Toc224109559"/>
      <w:bookmarkStart w:id="78" w:name="_Toc232176402"/>
      <w:r w:rsidRPr="00D4396B">
        <w:rPr>
          <w:noProof/>
        </w:rPr>
        <w:t>2.3.</w:t>
      </w:r>
      <w:r w:rsidRPr="00D4396B">
        <w:rPr>
          <w:noProof/>
        </w:rPr>
        <w:tab/>
      </w:r>
      <w:r w:rsidR="00A63B53" w:rsidRPr="00D4396B">
        <w:rPr>
          <w:noProof/>
        </w:rPr>
        <w:t xml:space="preserve">How likely </w:t>
      </w:r>
      <w:r w:rsidR="00A63B53" w:rsidRPr="00340E67">
        <w:rPr>
          <w:noProof/>
        </w:rPr>
        <w:t>are</w:t>
      </w:r>
      <w:r w:rsidR="00A63B53" w:rsidRPr="00D4396B">
        <w:rPr>
          <w:noProof/>
        </w:rPr>
        <w:t xml:space="preserve"> the problems to persist (in absence of external intervention)?</w:t>
      </w:r>
      <w:bookmarkEnd w:id="72"/>
      <w:bookmarkEnd w:id="73"/>
      <w:bookmarkEnd w:id="74"/>
      <w:bookmarkEnd w:id="75"/>
      <w:bookmarkEnd w:id="76"/>
      <w:bookmarkEnd w:id="77"/>
      <w:bookmarkEnd w:id="78"/>
    </w:p>
    <w:p w14:paraId="19436099" w14:textId="5D5E8912" w:rsidR="00BF69B5" w:rsidRDefault="00452AE5" w:rsidP="652DCF31">
      <w:pPr>
        <w:rPr>
          <w:noProof/>
        </w:rPr>
      </w:pPr>
      <w:r w:rsidRPr="00452AE5">
        <w:rPr>
          <w:rFonts w:asciiTheme="majorBidi" w:hAnsiTheme="majorBidi" w:cstheme="majorBidi"/>
          <w:noProof/>
        </w:rPr>
        <w:t xml:space="preserve">Following the publication of the Evaluation, Eurojust has drawn up an action plan aimed at addressing </w:t>
      </w:r>
      <w:r w:rsidR="008178F3">
        <w:rPr>
          <w:rFonts w:asciiTheme="majorBidi" w:hAnsiTheme="majorBidi" w:cstheme="majorBidi"/>
          <w:noProof/>
        </w:rPr>
        <w:t>the</w:t>
      </w:r>
      <w:r w:rsidRPr="00452AE5">
        <w:rPr>
          <w:rFonts w:asciiTheme="majorBidi" w:hAnsiTheme="majorBidi" w:cstheme="majorBidi"/>
          <w:noProof/>
        </w:rPr>
        <w:t xml:space="preserve"> main findings.</w:t>
      </w:r>
      <w:r w:rsidR="08FC6AC7" w:rsidRPr="00D4396B">
        <w:rPr>
          <w:rFonts w:asciiTheme="majorBidi" w:hAnsiTheme="majorBidi" w:cstheme="majorBidi"/>
          <w:noProof/>
          <w:lang w:val="en-IE"/>
        </w:rPr>
        <w:t xml:space="preserve"> </w:t>
      </w:r>
      <w:r w:rsidR="08FC6AC7" w:rsidRPr="00D647E4">
        <w:rPr>
          <w:rFonts w:asciiTheme="majorBidi" w:hAnsiTheme="majorBidi" w:cstheme="majorBidi"/>
          <w:noProof/>
        </w:rPr>
        <w:t xml:space="preserve">The action plan covers 44 identified issues, </w:t>
      </w:r>
      <w:r w:rsidR="00D647E4" w:rsidRPr="00D647E4">
        <w:rPr>
          <w:rFonts w:asciiTheme="majorBidi" w:hAnsiTheme="majorBidi" w:cstheme="majorBidi"/>
          <w:noProof/>
        </w:rPr>
        <w:t xml:space="preserve">half of which, according to Eurojust’s assessment, would require legislative amendments to the </w:t>
      </w:r>
      <w:r w:rsidR="00D647E4" w:rsidRPr="1243A12B">
        <w:rPr>
          <w:rFonts w:asciiTheme="majorBidi" w:hAnsiTheme="majorBidi" w:cstheme="majorBidi"/>
          <w:noProof/>
        </w:rPr>
        <w:t>E</w:t>
      </w:r>
      <w:r w:rsidR="6D0AA278" w:rsidRPr="1243A12B">
        <w:rPr>
          <w:rFonts w:asciiTheme="majorBidi" w:hAnsiTheme="majorBidi" w:cstheme="majorBidi"/>
          <w:noProof/>
        </w:rPr>
        <w:t>JR</w:t>
      </w:r>
      <w:r w:rsidR="00D647E4" w:rsidRPr="00D647E4">
        <w:rPr>
          <w:rFonts w:asciiTheme="majorBidi" w:hAnsiTheme="majorBidi" w:cstheme="majorBidi"/>
          <w:noProof/>
        </w:rPr>
        <w:t xml:space="preserve">. The remaining issues </w:t>
      </w:r>
      <w:r w:rsidR="00E95106">
        <w:rPr>
          <w:rFonts w:asciiTheme="majorBidi" w:hAnsiTheme="majorBidi" w:cstheme="majorBidi"/>
          <w:noProof/>
        </w:rPr>
        <w:t>can</w:t>
      </w:r>
      <w:r w:rsidR="00D647E4" w:rsidRPr="00D647E4">
        <w:rPr>
          <w:rFonts w:asciiTheme="majorBidi" w:hAnsiTheme="majorBidi" w:cstheme="majorBidi"/>
          <w:noProof/>
        </w:rPr>
        <w:t xml:space="preserve"> be addressed through internal reorganisation, procedural review and awareness-raising measures.</w:t>
      </w:r>
      <w:r w:rsidR="00A63B53" w:rsidRPr="00D4396B">
        <w:rPr>
          <w:rStyle w:val="FootnoteReference"/>
          <w:rFonts w:asciiTheme="majorBidi" w:hAnsiTheme="majorBidi" w:cstheme="majorBidi"/>
          <w:noProof/>
        </w:rPr>
        <w:footnoteReference w:id="89"/>
      </w:r>
      <w:r w:rsidR="7BCAD1AC" w:rsidRPr="5A723FC8">
        <w:rPr>
          <w:rStyle w:val="FootnoteReference"/>
          <w:rFonts w:asciiTheme="majorBidi" w:hAnsiTheme="majorBidi" w:cstheme="majorBidi"/>
          <w:noProof/>
        </w:rPr>
        <w:t xml:space="preserve"> </w:t>
      </w:r>
    </w:p>
    <w:p w14:paraId="0E7BDFE3" w14:textId="0B60D07F" w:rsidR="00BF69B5" w:rsidRDefault="7BCAD1AC" w:rsidP="12DC07F9">
      <w:pPr>
        <w:rPr>
          <w:noProof/>
        </w:rPr>
      </w:pPr>
      <w:r w:rsidRPr="10A36FA0">
        <w:rPr>
          <w:rFonts w:eastAsia="Times New Roman"/>
          <w:b/>
          <w:bCs/>
          <w:noProof/>
        </w:rPr>
        <w:t>Changes</w:t>
      </w:r>
      <w:r w:rsidRPr="12DC07F9">
        <w:rPr>
          <w:rFonts w:eastAsia="Times New Roman"/>
          <w:b/>
          <w:bCs/>
          <w:noProof/>
        </w:rPr>
        <w:t xml:space="preserve"> to the Eurojust Regulation since 2022 were targeted amendments</w:t>
      </w:r>
      <w:r w:rsidRPr="12DC07F9">
        <w:rPr>
          <w:rFonts w:eastAsia="Times New Roman"/>
          <w:noProof/>
        </w:rPr>
        <w:t xml:space="preserve"> (CTR, CICED and new CMS) aimed to add competences to the agency, in particular in reaction to situations of crisis that </w:t>
      </w:r>
      <w:r w:rsidRPr="12DC07F9">
        <w:rPr>
          <w:rFonts w:eastAsia="Times New Roman"/>
          <w:b/>
          <w:bCs/>
          <w:noProof/>
        </w:rPr>
        <w:t>did not and could not constitute a comprehensive reform</w:t>
      </w:r>
      <w:r w:rsidRPr="12DC07F9">
        <w:rPr>
          <w:rFonts w:eastAsia="Times New Roman"/>
          <w:noProof/>
        </w:rPr>
        <w:t xml:space="preserve"> of the agency which would respond to </w:t>
      </w:r>
      <w:r w:rsidRPr="12DC07F9">
        <w:rPr>
          <w:rFonts w:eastAsia="Times New Roman"/>
          <w:b/>
          <w:bCs/>
          <w:noProof/>
        </w:rPr>
        <w:t>broader structural deficiencies</w:t>
      </w:r>
      <w:r w:rsidRPr="12DC07F9">
        <w:rPr>
          <w:rFonts w:eastAsia="Times New Roman"/>
          <w:noProof/>
        </w:rPr>
        <w:t xml:space="preserve">. </w:t>
      </w:r>
      <w:r w:rsidRPr="5E82FD70">
        <w:rPr>
          <w:rFonts w:eastAsia="Times New Roman"/>
          <w:noProof/>
        </w:rPr>
        <w:t>The</w:t>
      </w:r>
      <w:r w:rsidR="78FF1FCC" w:rsidRPr="5E82FD70">
        <w:rPr>
          <w:rFonts w:eastAsia="Times New Roman"/>
          <w:noProof/>
        </w:rPr>
        <w:t>s</w:t>
      </w:r>
      <w:r w:rsidR="00581B77">
        <w:rPr>
          <w:rFonts w:eastAsia="Times New Roman"/>
          <w:noProof/>
        </w:rPr>
        <w:t>e</w:t>
      </w:r>
      <w:r w:rsidRPr="2BF6AD34">
        <w:rPr>
          <w:rFonts w:eastAsia="Times New Roman"/>
          <w:noProof/>
        </w:rPr>
        <w:t xml:space="preserve"> </w:t>
      </w:r>
      <w:r w:rsidR="731CAAE0" w:rsidRPr="2BF6AD34">
        <w:rPr>
          <w:rFonts w:eastAsia="Times New Roman"/>
          <w:noProof/>
        </w:rPr>
        <w:t xml:space="preserve">circumscribed and contextual </w:t>
      </w:r>
      <w:r w:rsidR="23D3DCF4" w:rsidRPr="3496E8AF">
        <w:rPr>
          <w:rFonts w:eastAsia="Times New Roman"/>
          <w:noProof/>
        </w:rPr>
        <w:t xml:space="preserve">modifications </w:t>
      </w:r>
      <w:r w:rsidRPr="3496E8AF">
        <w:rPr>
          <w:rFonts w:eastAsia="Times New Roman"/>
          <w:noProof/>
        </w:rPr>
        <w:t>of</w:t>
      </w:r>
      <w:r w:rsidRPr="12DC07F9">
        <w:rPr>
          <w:rFonts w:eastAsia="Times New Roman"/>
          <w:noProof/>
        </w:rPr>
        <w:t xml:space="preserve"> the legal framework did not constitute a global </w:t>
      </w:r>
      <w:r w:rsidR="00DA35ED">
        <w:rPr>
          <w:rFonts w:eastAsia="Times New Roman"/>
          <w:noProof/>
        </w:rPr>
        <w:t>revision</w:t>
      </w:r>
      <w:r w:rsidR="00FD0441">
        <w:rPr>
          <w:rFonts w:eastAsia="Times New Roman"/>
          <w:noProof/>
        </w:rPr>
        <w:t xml:space="preserve"> and as such</w:t>
      </w:r>
      <w:r w:rsidR="004708D3">
        <w:rPr>
          <w:rFonts w:eastAsia="Times New Roman"/>
          <w:noProof/>
        </w:rPr>
        <w:t xml:space="preserve"> </w:t>
      </w:r>
      <w:r w:rsidR="00FD0441">
        <w:rPr>
          <w:rFonts w:eastAsia="Times New Roman"/>
          <w:noProof/>
        </w:rPr>
        <w:t>they</w:t>
      </w:r>
      <w:r w:rsidR="26ADF800" w:rsidRPr="2BF6AD34">
        <w:rPr>
          <w:rFonts w:eastAsia="Times New Roman"/>
          <w:noProof/>
        </w:rPr>
        <w:t xml:space="preserve"> </w:t>
      </w:r>
      <w:r w:rsidR="26ADF800" w:rsidRPr="6693BC3D">
        <w:rPr>
          <w:rFonts w:eastAsia="Times New Roman"/>
          <w:noProof/>
        </w:rPr>
        <w:t xml:space="preserve">were not intended to address systemic </w:t>
      </w:r>
      <w:r w:rsidR="00FD0441">
        <w:rPr>
          <w:rFonts w:eastAsia="Times New Roman"/>
          <w:noProof/>
        </w:rPr>
        <w:t>issues of</w:t>
      </w:r>
      <w:r w:rsidR="26ADF800" w:rsidRPr="6693BC3D">
        <w:rPr>
          <w:rFonts w:eastAsia="Times New Roman"/>
          <w:noProof/>
        </w:rPr>
        <w:t xml:space="preserve"> the agency.</w:t>
      </w:r>
    </w:p>
    <w:p w14:paraId="1FCC5E7D" w14:textId="7EDB9725" w:rsidR="00772AAD" w:rsidRDefault="5E8F928D" w:rsidP="150E8B89">
      <w:pPr>
        <w:spacing w:after="120"/>
        <w:rPr>
          <w:rFonts w:asciiTheme="majorBidi" w:hAnsiTheme="majorBidi" w:cstheme="majorBidi"/>
          <w:noProof/>
          <w:lang w:val="en-IE"/>
        </w:rPr>
      </w:pPr>
      <w:r w:rsidRPr="39766848">
        <w:rPr>
          <w:rFonts w:asciiTheme="majorBidi" w:hAnsiTheme="majorBidi" w:cstheme="majorBidi"/>
          <w:noProof/>
          <w:lang w:val="en-IE"/>
        </w:rPr>
        <w:t xml:space="preserve">Therefore, </w:t>
      </w:r>
      <w:r w:rsidRPr="00844EE9">
        <w:rPr>
          <w:rFonts w:asciiTheme="majorBidi" w:hAnsiTheme="majorBidi" w:cstheme="majorBidi"/>
          <w:b/>
          <w:noProof/>
          <w:lang w:val="en-IE"/>
        </w:rPr>
        <w:t>w</w:t>
      </w:r>
      <w:r w:rsidR="08FC6AC7" w:rsidRPr="00844EE9">
        <w:rPr>
          <w:rFonts w:asciiTheme="majorBidi" w:hAnsiTheme="majorBidi" w:cstheme="majorBidi"/>
          <w:b/>
          <w:noProof/>
          <w:lang w:val="en-IE"/>
        </w:rPr>
        <w:t xml:space="preserve">ithout </w:t>
      </w:r>
      <w:r w:rsidR="00ED36E0" w:rsidRPr="00844EE9">
        <w:rPr>
          <w:rFonts w:asciiTheme="majorBidi" w:hAnsiTheme="majorBidi" w:cstheme="majorBidi"/>
          <w:b/>
          <w:noProof/>
          <w:lang w:val="en-IE"/>
        </w:rPr>
        <w:t>external</w:t>
      </w:r>
      <w:r w:rsidR="08FC6AC7" w:rsidRPr="00844EE9">
        <w:rPr>
          <w:rFonts w:asciiTheme="majorBidi" w:hAnsiTheme="majorBidi" w:cstheme="majorBidi"/>
          <w:b/>
          <w:noProof/>
          <w:lang w:val="en-IE"/>
        </w:rPr>
        <w:t xml:space="preserve"> intervention </w:t>
      </w:r>
      <w:r w:rsidR="00A14C03" w:rsidRPr="00844EE9">
        <w:rPr>
          <w:rFonts w:asciiTheme="majorBidi" w:hAnsiTheme="majorBidi" w:cstheme="majorBidi"/>
          <w:b/>
          <w:noProof/>
          <w:lang w:val="en-IE"/>
        </w:rPr>
        <w:t>several problem</w:t>
      </w:r>
      <w:r w:rsidR="08FC6AC7" w:rsidRPr="00844EE9">
        <w:rPr>
          <w:rFonts w:asciiTheme="majorBidi" w:hAnsiTheme="majorBidi" w:cstheme="majorBidi"/>
          <w:b/>
          <w:noProof/>
          <w:lang w:val="en-IE"/>
        </w:rPr>
        <w:t xml:space="preserve"> drivers are likely to persist</w:t>
      </w:r>
      <w:r w:rsidR="005A375A" w:rsidRPr="00844EE9">
        <w:rPr>
          <w:rFonts w:asciiTheme="majorBidi" w:hAnsiTheme="majorBidi" w:cstheme="majorBidi"/>
          <w:b/>
          <w:noProof/>
          <w:lang w:val="en-IE"/>
        </w:rPr>
        <w:t>,</w:t>
      </w:r>
      <w:r w:rsidR="005A375A">
        <w:rPr>
          <w:rFonts w:asciiTheme="majorBidi" w:hAnsiTheme="majorBidi" w:cstheme="majorBidi"/>
          <w:noProof/>
          <w:lang w:val="en-IE"/>
        </w:rPr>
        <w:t xml:space="preserve"> </w:t>
      </w:r>
      <w:r w:rsidR="006061CF">
        <w:rPr>
          <w:rFonts w:asciiTheme="majorBidi" w:hAnsiTheme="majorBidi" w:cstheme="majorBidi"/>
          <w:noProof/>
          <w:lang w:val="en-IE"/>
        </w:rPr>
        <w:t xml:space="preserve">as they are </w:t>
      </w:r>
      <w:r w:rsidR="00AA427F">
        <w:rPr>
          <w:rFonts w:asciiTheme="majorBidi" w:hAnsiTheme="majorBidi" w:cstheme="majorBidi"/>
          <w:noProof/>
          <w:lang w:val="en-IE"/>
        </w:rPr>
        <w:t>associated with</w:t>
      </w:r>
      <w:r w:rsidR="08FC6AC7" w:rsidRPr="00D4396B">
        <w:rPr>
          <w:rFonts w:asciiTheme="majorBidi" w:hAnsiTheme="majorBidi" w:cstheme="majorBidi"/>
          <w:noProof/>
          <w:lang w:val="en-IE"/>
        </w:rPr>
        <w:t xml:space="preserve"> Eurojust’s legal framework, governance design, legacy organisational culture, dependence on Member States, and the broader dynamics in the EU justice architecture.</w:t>
      </w:r>
      <w:r w:rsidR="00196868">
        <w:rPr>
          <w:rFonts w:asciiTheme="majorBidi" w:hAnsiTheme="majorBidi" w:cstheme="majorBidi"/>
          <w:noProof/>
          <w:lang w:val="en-IE"/>
        </w:rPr>
        <w:t xml:space="preserve"> </w:t>
      </w:r>
      <w:r w:rsidR="00196868" w:rsidRPr="00196868">
        <w:rPr>
          <w:rFonts w:asciiTheme="majorBidi" w:hAnsiTheme="majorBidi" w:cstheme="majorBidi"/>
          <w:noProof/>
        </w:rPr>
        <w:t xml:space="preserve">It appears unlikely that long-established practices will change spontaneously without </w:t>
      </w:r>
      <w:r w:rsidR="00196868" w:rsidRPr="74940EA0">
        <w:rPr>
          <w:rFonts w:asciiTheme="majorBidi" w:hAnsiTheme="majorBidi" w:cstheme="majorBidi"/>
          <w:noProof/>
        </w:rPr>
        <w:t>amend</w:t>
      </w:r>
      <w:r w:rsidR="2BD03258" w:rsidRPr="74940EA0">
        <w:rPr>
          <w:rFonts w:asciiTheme="majorBidi" w:hAnsiTheme="majorBidi" w:cstheme="majorBidi"/>
          <w:noProof/>
        </w:rPr>
        <w:t>ing</w:t>
      </w:r>
      <w:r w:rsidR="00196868" w:rsidRPr="00196868">
        <w:rPr>
          <w:rFonts w:asciiTheme="majorBidi" w:hAnsiTheme="majorBidi" w:cstheme="majorBidi"/>
          <w:noProof/>
        </w:rPr>
        <w:t xml:space="preserve"> the legal framework.</w:t>
      </w:r>
    </w:p>
    <w:p w14:paraId="5F0E70BD" w14:textId="11F193F4" w:rsidR="00A63B53" w:rsidRPr="00D4396B" w:rsidRDefault="00BC0D57" w:rsidP="000C3545">
      <w:pPr>
        <w:pStyle w:val="Heading3"/>
        <w:rPr>
          <w:noProof/>
          <w:lang w:val="en-IE"/>
        </w:rPr>
      </w:pPr>
      <w:bookmarkStart w:id="79" w:name="_Toc232176403"/>
      <w:r>
        <w:rPr>
          <w:noProof/>
          <w:lang w:val="en-IE"/>
        </w:rPr>
        <w:t xml:space="preserve">2.3.1. </w:t>
      </w:r>
      <w:r w:rsidR="00A63B53" w:rsidRPr="00D4396B">
        <w:rPr>
          <w:noProof/>
          <w:lang w:val="en-IE"/>
        </w:rPr>
        <w:t>Internal structural and governance limitations</w:t>
      </w:r>
      <w:bookmarkEnd w:id="79"/>
    </w:p>
    <w:p w14:paraId="4807F9B9" w14:textId="628C3427" w:rsidR="00A63B53" w:rsidRPr="00D4396B" w:rsidRDefault="00A63B53" w:rsidP="0092673A">
      <w:pPr>
        <w:spacing w:after="120"/>
        <w:rPr>
          <w:rFonts w:asciiTheme="majorBidi" w:hAnsiTheme="majorBidi" w:cstheme="majorBidi"/>
          <w:noProof/>
          <w:lang w:val="en-IE"/>
        </w:rPr>
      </w:pPr>
      <w:r w:rsidRPr="00D4396B">
        <w:rPr>
          <w:rFonts w:asciiTheme="majorBidi" w:hAnsiTheme="majorBidi" w:cstheme="majorBidi"/>
          <w:noProof/>
          <w:lang w:val="en-IE"/>
        </w:rPr>
        <w:t xml:space="preserve">Regarding </w:t>
      </w:r>
      <w:r w:rsidRPr="00D4396B">
        <w:rPr>
          <w:rFonts w:asciiTheme="majorBidi" w:hAnsiTheme="majorBidi" w:cstheme="majorBidi"/>
          <w:b/>
          <w:bCs/>
          <w:noProof/>
          <w:lang w:val="en-IE"/>
        </w:rPr>
        <w:t>operational work and operational prioritisation</w:t>
      </w:r>
      <w:r w:rsidRPr="00D4396B">
        <w:rPr>
          <w:rFonts w:asciiTheme="majorBidi" w:hAnsiTheme="majorBidi" w:cstheme="majorBidi"/>
          <w:noProof/>
          <w:lang w:val="en-IE"/>
        </w:rPr>
        <w:t>, the absence of a clear prioritisation model and defined case intake thresholds are unlikely to be remedied under the current framework</w:t>
      </w:r>
      <w:r w:rsidR="00670406">
        <w:rPr>
          <w:rFonts w:asciiTheme="majorBidi" w:hAnsiTheme="majorBidi" w:cstheme="majorBidi"/>
          <w:noProof/>
          <w:lang w:val="en-IE"/>
        </w:rPr>
        <w:t xml:space="preserve"> nor </w:t>
      </w:r>
      <w:r w:rsidR="002C6A86">
        <w:rPr>
          <w:rFonts w:asciiTheme="majorBidi" w:hAnsiTheme="majorBidi" w:cstheme="majorBidi"/>
          <w:noProof/>
          <w:lang w:val="en-IE"/>
        </w:rPr>
        <w:t xml:space="preserve">through </w:t>
      </w:r>
      <w:r w:rsidR="00670406">
        <w:rPr>
          <w:rFonts w:asciiTheme="majorBidi" w:hAnsiTheme="majorBidi" w:cstheme="majorBidi"/>
          <w:noProof/>
          <w:lang w:val="en-IE"/>
        </w:rPr>
        <w:t>changes introduced by</w:t>
      </w:r>
      <w:r w:rsidR="00AD0FDB">
        <w:rPr>
          <w:rFonts w:asciiTheme="majorBidi" w:hAnsiTheme="majorBidi" w:cstheme="majorBidi"/>
          <w:noProof/>
          <w:lang w:val="en-IE"/>
        </w:rPr>
        <w:t xml:space="preserve"> </w:t>
      </w:r>
      <w:r w:rsidRPr="00D4396B">
        <w:rPr>
          <w:rFonts w:asciiTheme="majorBidi" w:hAnsiTheme="majorBidi" w:cstheme="majorBidi"/>
          <w:noProof/>
          <w:lang w:val="en-IE"/>
        </w:rPr>
        <w:t>Eurojust’s action plan</w:t>
      </w:r>
      <w:r w:rsidR="00BD1C9A">
        <w:rPr>
          <w:rFonts w:asciiTheme="majorBidi" w:hAnsiTheme="majorBidi" w:cstheme="majorBidi"/>
          <w:noProof/>
          <w:lang w:val="en-IE"/>
        </w:rPr>
        <w:t>, which</w:t>
      </w:r>
      <w:r w:rsidRPr="00D4396B">
        <w:rPr>
          <w:rFonts w:asciiTheme="majorBidi" w:hAnsiTheme="majorBidi" w:cstheme="majorBidi"/>
          <w:noProof/>
          <w:lang w:val="en-IE"/>
        </w:rPr>
        <w:t xml:space="preserve"> rely largely on internal </w:t>
      </w:r>
      <w:r w:rsidRPr="00102D1E">
        <w:rPr>
          <w:rFonts w:asciiTheme="majorBidi" w:hAnsiTheme="majorBidi" w:cstheme="majorBidi"/>
          <w:noProof/>
          <w:lang w:val="en-IE"/>
        </w:rPr>
        <w:t xml:space="preserve">guidance and voluntary alignment. Such measures </w:t>
      </w:r>
      <w:r w:rsidR="00417CF7" w:rsidRPr="00102D1E">
        <w:rPr>
          <w:rFonts w:asciiTheme="majorBidi" w:hAnsiTheme="majorBidi" w:cstheme="majorBidi"/>
          <w:noProof/>
          <w:lang w:val="en-IE"/>
        </w:rPr>
        <w:t>may not</w:t>
      </w:r>
      <w:r w:rsidRPr="00102D1E">
        <w:rPr>
          <w:rFonts w:asciiTheme="majorBidi" w:hAnsiTheme="majorBidi" w:cstheme="majorBidi"/>
          <w:noProof/>
          <w:lang w:val="en-IE"/>
        </w:rPr>
        <w:t xml:space="preserve"> overcome structural incentives for N</w:t>
      </w:r>
      <w:r w:rsidR="7CBD5BBB" w:rsidRPr="00102D1E">
        <w:rPr>
          <w:rFonts w:asciiTheme="majorBidi" w:hAnsiTheme="majorBidi" w:cstheme="majorBidi"/>
          <w:noProof/>
          <w:lang w:val="en-IE"/>
        </w:rPr>
        <w:t>M</w:t>
      </w:r>
      <w:r w:rsidRPr="00102D1E">
        <w:rPr>
          <w:rFonts w:asciiTheme="majorBidi" w:hAnsiTheme="majorBidi" w:cstheme="majorBidi"/>
          <w:noProof/>
          <w:lang w:val="en-IE"/>
        </w:rPr>
        <w:t>s to prioritise national</w:t>
      </w:r>
      <w:r w:rsidR="000B5B74" w:rsidRPr="00102D1E">
        <w:rPr>
          <w:rFonts w:asciiTheme="majorBidi" w:hAnsiTheme="majorBidi" w:cstheme="majorBidi"/>
          <w:noProof/>
          <w:lang w:val="en-IE"/>
        </w:rPr>
        <w:t xml:space="preserve"> interests or informal </w:t>
      </w:r>
      <w:r w:rsidR="003B3ADF" w:rsidRPr="00102D1E">
        <w:rPr>
          <w:rFonts w:asciiTheme="majorBidi" w:hAnsiTheme="majorBidi" w:cstheme="majorBidi"/>
          <w:noProof/>
          <w:lang w:val="en-IE"/>
        </w:rPr>
        <w:t>relationships</w:t>
      </w:r>
      <w:r w:rsidR="00946B8B" w:rsidRPr="00102D1E">
        <w:rPr>
          <w:rFonts w:asciiTheme="majorBidi" w:hAnsiTheme="majorBidi" w:cstheme="majorBidi"/>
          <w:noProof/>
          <w:lang w:val="en-IE"/>
        </w:rPr>
        <w:t xml:space="preserve"> with </w:t>
      </w:r>
      <w:r w:rsidR="001E417B" w:rsidRPr="00102D1E">
        <w:rPr>
          <w:rFonts w:asciiTheme="majorBidi" w:hAnsiTheme="majorBidi" w:cstheme="majorBidi"/>
          <w:noProof/>
          <w:lang w:val="en-IE"/>
        </w:rPr>
        <w:t>the respective national authorities</w:t>
      </w:r>
      <w:r w:rsidRPr="00102D1E">
        <w:rPr>
          <w:rFonts w:asciiTheme="majorBidi" w:hAnsiTheme="majorBidi" w:cstheme="majorBidi"/>
          <w:noProof/>
          <w:lang w:val="en-IE"/>
        </w:rPr>
        <w:t>.</w:t>
      </w:r>
    </w:p>
    <w:p w14:paraId="7503F9BB" w14:textId="6B82616D" w:rsidR="00A63B53" w:rsidRPr="00D4396B" w:rsidRDefault="00F62036" w:rsidP="0092673A">
      <w:pPr>
        <w:spacing w:after="120"/>
        <w:rPr>
          <w:rFonts w:asciiTheme="majorBidi" w:hAnsiTheme="majorBidi" w:cstheme="majorBidi"/>
          <w:noProof/>
          <w:lang w:val="en-IE"/>
        </w:rPr>
      </w:pPr>
      <w:r>
        <w:rPr>
          <w:rFonts w:asciiTheme="majorBidi" w:hAnsiTheme="majorBidi" w:cstheme="majorBidi"/>
          <w:noProof/>
          <w:lang w:val="en-IE"/>
        </w:rPr>
        <w:t xml:space="preserve">Equally, </w:t>
      </w:r>
      <w:r w:rsidR="006A2745">
        <w:rPr>
          <w:rFonts w:asciiTheme="majorBidi" w:hAnsiTheme="majorBidi" w:cstheme="majorBidi"/>
          <w:noProof/>
          <w:lang w:val="en-IE"/>
        </w:rPr>
        <w:t>whil</w:t>
      </w:r>
      <w:r w:rsidR="00FD18A0">
        <w:rPr>
          <w:rFonts w:asciiTheme="majorBidi" w:hAnsiTheme="majorBidi" w:cstheme="majorBidi"/>
          <w:noProof/>
          <w:lang w:val="en-IE"/>
        </w:rPr>
        <w:t>e</w:t>
      </w:r>
      <w:r w:rsidR="006A2745">
        <w:rPr>
          <w:rFonts w:asciiTheme="majorBidi" w:hAnsiTheme="majorBidi" w:cstheme="majorBidi"/>
          <w:noProof/>
          <w:lang w:val="en-IE"/>
        </w:rPr>
        <w:t xml:space="preserve"> the</w:t>
      </w:r>
      <w:r w:rsidR="00A63B53" w:rsidRPr="00D4396B">
        <w:rPr>
          <w:rFonts w:asciiTheme="majorBidi" w:hAnsiTheme="majorBidi" w:cstheme="majorBidi"/>
          <w:noProof/>
          <w:lang w:val="en-IE"/>
        </w:rPr>
        <w:t xml:space="preserve"> Agency</w:t>
      </w:r>
      <w:r w:rsidR="006A2745">
        <w:rPr>
          <w:rFonts w:asciiTheme="majorBidi" w:hAnsiTheme="majorBidi" w:cstheme="majorBidi"/>
          <w:noProof/>
          <w:lang w:val="en-IE"/>
        </w:rPr>
        <w:t xml:space="preserve">’s </w:t>
      </w:r>
      <w:r w:rsidR="00A63B53" w:rsidRPr="00D4396B">
        <w:rPr>
          <w:rFonts w:asciiTheme="majorBidi" w:hAnsiTheme="majorBidi" w:cstheme="majorBidi"/>
          <w:b/>
          <w:bCs/>
          <w:noProof/>
          <w:lang w:val="en-IE"/>
        </w:rPr>
        <w:t xml:space="preserve">Action Plan for 2026 </w:t>
      </w:r>
      <w:r w:rsidR="00CE273A">
        <w:rPr>
          <w:rFonts w:asciiTheme="majorBidi" w:hAnsiTheme="majorBidi" w:cstheme="majorBidi"/>
          <w:b/>
          <w:bCs/>
          <w:noProof/>
          <w:lang w:val="en-IE"/>
        </w:rPr>
        <w:t>–</w:t>
      </w:r>
      <w:r w:rsidR="00A63B53" w:rsidRPr="00D4396B">
        <w:rPr>
          <w:rFonts w:asciiTheme="majorBidi" w:hAnsiTheme="majorBidi" w:cstheme="majorBidi"/>
          <w:b/>
          <w:bCs/>
          <w:noProof/>
          <w:lang w:val="en-IE"/>
        </w:rPr>
        <w:t xml:space="preserve"> 2027</w:t>
      </w:r>
      <w:r w:rsidR="00CE273A">
        <w:rPr>
          <w:rFonts w:asciiTheme="majorBidi" w:hAnsiTheme="majorBidi" w:cstheme="majorBidi"/>
          <w:b/>
          <w:bCs/>
          <w:noProof/>
          <w:lang w:val="en-IE"/>
        </w:rPr>
        <w:t xml:space="preserve"> </w:t>
      </w:r>
      <w:r w:rsidR="00CE273A" w:rsidRPr="003A049E">
        <w:rPr>
          <w:rFonts w:asciiTheme="majorBidi" w:hAnsiTheme="majorBidi" w:cstheme="majorBidi"/>
          <w:noProof/>
          <w:lang w:val="en-IE"/>
        </w:rPr>
        <w:t>intends</w:t>
      </w:r>
      <w:r w:rsidR="00A63B53" w:rsidRPr="00D4396B">
        <w:rPr>
          <w:rFonts w:asciiTheme="majorBidi" w:hAnsiTheme="majorBidi" w:cstheme="majorBidi"/>
          <w:noProof/>
          <w:lang w:val="en-IE"/>
        </w:rPr>
        <w:t xml:space="preserve"> to strengthen proactive activities</w:t>
      </w:r>
      <w:r w:rsidR="00CE273A">
        <w:rPr>
          <w:rFonts w:asciiTheme="majorBidi" w:hAnsiTheme="majorBidi" w:cstheme="majorBidi"/>
          <w:noProof/>
          <w:lang w:val="en-IE"/>
        </w:rPr>
        <w:t xml:space="preserve">, it cannot address </w:t>
      </w:r>
      <w:r w:rsidR="00A63B53" w:rsidRPr="00D4396B">
        <w:rPr>
          <w:rFonts w:asciiTheme="majorBidi" w:hAnsiTheme="majorBidi" w:cstheme="majorBidi"/>
          <w:noProof/>
          <w:lang w:val="en-IE"/>
        </w:rPr>
        <w:t>the lack of a clear legal framework</w:t>
      </w:r>
      <w:r w:rsidR="00CE273A">
        <w:rPr>
          <w:rFonts w:asciiTheme="majorBidi" w:hAnsiTheme="majorBidi" w:cstheme="majorBidi"/>
          <w:noProof/>
          <w:lang w:val="en-IE"/>
        </w:rPr>
        <w:t>.</w:t>
      </w:r>
      <w:r w:rsidR="00F21791">
        <w:rPr>
          <w:rFonts w:asciiTheme="majorBidi" w:hAnsiTheme="majorBidi" w:cstheme="majorBidi"/>
          <w:noProof/>
          <w:lang w:val="en-IE"/>
        </w:rPr>
        <w:t xml:space="preserve"> A new</w:t>
      </w:r>
      <w:r w:rsidR="00A63B53" w:rsidRPr="00D4396B" w:rsidDel="00F21791">
        <w:rPr>
          <w:rFonts w:asciiTheme="majorBidi" w:hAnsiTheme="majorBidi" w:cstheme="majorBidi"/>
          <w:noProof/>
          <w:lang w:val="en-IE"/>
        </w:rPr>
        <w:t xml:space="preserve"> </w:t>
      </w:r>
      <w:r w:rsidR="00A63B53" w:rsidRPr="00D4396B">
        <w:rPr>
          <w:rFonts w:asciiTheme="majorBidi" w:hAnsiTheme="majorBidi" w:cstheme="majorBidi"/>
          <w:noProof/>
          <w:lang w:val="en-IE"/>
        </w:rPr>
        <w:t>KPI to measure the number of complex cases supported by Eurojust</w:t>
      </w:r>
      <w:r w:rsidR="00F21791">
        <w:rPr>
          <w:rFonts w:asciiTheme="majorBidi" w:hAnsiTheme="majorBidi" w:cstheme="majorBidi"/>
          <w:noProof/>
          <w:lang w:val="en-IE"/>
        </w:rPr>
        <w:t xml:space="preserve"> </w:t>
      </w:r>
      <w:r w:rsidR="00A63B53" w:rsidRPr="00D4396B">
        <w:rPr>
          <w:rFonts w:asciiTheme="majorBidi" w:hAnsiTheme="majorBidi" w:cstheme="majorBidi"/>
          <w:noProof/>
          <w:lang w:val="en-IE"/>
        </w:rPr>
        <w:t>could prove useful</w:t>
      </w:r>
      <w:r w:rsidR="00120B66">
        <w:rPr>
          <w:rFonts w:asciiTheme="majorBidi" w:hAnsiTheme="majorBidi" w:cstheme="majorBidi"/>
          <w:noProof/>
          <w:lang w:val="en-IE"/>
        </w:rPr>
        <w:t>,</w:t>
      </w:r>
      <w:r w:rsidR="0049315A">
        <w:rPr>
          <w:rFonts w:asciiTheme="majorBidi" w:hAnsiTheme="majorBidi" w:cstheme="majorBidi"/>
          <w:noProof/>
          <w:lang w:val="en-IE"/>
        </w:rPr>
        <w:t xml:space="preserve"> but </w:t>
      </w:r>
      <w:r w:rsidR="00120B66">
        <w:rPr>
          <w:rFonts w:asciiTheme="majorBidi" w:hAnsiTheme="majorBidi" w:cstheme="majorBidi"/>
          <w:noProof/>
          <w:lang w:val="en-IE"/>
        </w:rPr>
        <w:t xml:space="preserve">it will </w:t>
      </w:r>
      <w:r w:rsidR="00D560BE">
        <w:rPr>
          <w:rFonts w:asciiTheme="majorBidi" w:hAnsiTheme="majorBidi" w:cstheme="majorBidi"/>
          <w:noProof/>
          <w:lang w:val="en-IE"/>
        </w:rPr>
        <w:t xml:space="preserve">not </w:t>
      </w:r>
      <w:r w:rsidR="004B11B3">
        <w:rPr>
          <w:rFonts w:asciiTheme="majorBidi" w:hAnsiTheme="majorBidi" w:cstheme="majorBidi"/>
          <w:noProof/>
          <w:lang w:val="en-IE"/>
        </w:rPr>
        <w:t>correct</w:t>
      </w:r>
      <w:r w:rsidR="0049315A">
        <w:rPr>
          <w:rFonts w:asciiTheme="majorBidi" w:hAnsiTheme="majorBidi" w:cstheme="majorBidi"/>
          <w:noProof/>
          <w:lang w:val="en-IE"/>
        </w:rPr>
        <w:t xml:space="preserve"> </w:t>
      </w:r>
      <w:r w:rsidR="00037B0F">
        <w:rPr>
          <w:rFonts w:asciiTheme="majorBidi" w:hAnsiTheme="majorBidi" w:cstheme="majorBidi"/>
          <w:noProof/>
          <w:lang w:val="en-IE"/>
        </w:rPr>
        <w:t>long-standing referral practices.</w:t>
      </w:r>
      <w:r w:rsidR="00A63B53" w:rsidRPr="00D4396B">
        <w:rPr>
          <w:rFonts w:asciiTheme="majorBidi" w:hAnsiTheme="majorBidi" w:cstheme="majorBidi"/>
          <w:noProof/>
          <w:lang w:val="en-IE"/>
        </w:rPr>
        <w:t xml:space="preserve"> Since Eurojust itself lacks the authority to impose harmonised referral standards or systematically filter cases, its caseload will remain shaped primarily by national demand rather than strategic agency-wide planning</w:t>
      </w:r>
      <w:r w:rsidR="6B12AB73" w:rsidRPr="00D4396B">
        <w:rPr>
          <w:rFonts w:asciiTheme="majorBidi" w:hAnsiTheme="majorBidi" w:cstheme="majorBidi"/>
          <w:noProof/>
          <w:lang w:val="en-IE"/>
        </w:rPr>
        <w:t xml:space="preserve"> and operational steering</w:t>
      </w:r>
      <w:r w:rsidR="00A63B53" w:rsidRPr="00D4396B">
        <w:rPr>
          <w:rFonts w:asciiTheme="majorBidi" w:hAnsiTheme="majorBidi" w:cstheme="majorBidi"/>
          <w:noProof/>
          <w:lang w:val="en-IE"/>
        </w:rPr>
        <w:t xml:space="preserve">. </w:t>
      </w:r>
    </w:p>
    <w:p w14:paraId="34907EBC" w14:textId="0E770BE8" w:rsidR="00A63B53" w:rsidRPr="00D4396B" w:rsidRDefault="00A63B53" w:rsidP="0092673A">
      <w:pPr>
        <w:spacing w:after="120"/>
        <w:rPr>
          <w:rFonts w:asciiTheme="majorBidi" w:hAnsiTheme="majorBidi" w:cstheme="majorBidi"/>
          <w:noProof/>
          <w:lang w:val="en-IE"/>
        </w:rPr>
      </w:pPr>
      <w:r w:rsidRPr="00D4396B">
        <w:rPr>
          <w:rFonts w:asciiTheme="majorBidi" w:hAnsiTheme="majorBidi" w:cstheme="majorBidi"/>
          <w:b/>
          <w:bCs/>
          <w:noProof/>
          <w:lang w:val="en-IE"/>
        </w:rPr>
        <w:t>Limitations in Eurojust’s operational tool</w:t>
      </w:r>
      <w:r w:rsidR="006270FC">
        <w:rPr>
          <w:rFonts w:asciiTheme="majorBidi" w:hAnsiTheme="majorBidi" w:cstheme="majorBidi"/>
          <w:b/>
          <w:bCs/>
          <w:noProof/>
          <w:lang w:val="en-IE"/>
        </w:rPr>
        <w:t>s</w:t>
      </w:r>
      <w:r w:rsidRPr="00D4396B">
        <w:rPr>
          <w:rFonts w:asciiTheme="majorBidi" w:hAnsiTheme="majorBidi" w:cstheme="majorBidi"/>
          <w:noProof/>
          <w:lang w:val="en-IE"/>
        </w:rPr>
        <w:t xml:space="preserve"> are also unlikely to be </w:t>
      </w:r>
      <w:r w:rsidR="006E79FE">
        <w:rPr>
          <w:rFonts w:asciiTheme="majorBidi" w:hAnsiTheme="majorBidi" w:cstheme="majorBidi"/>
          <w:noProof/>
          <w:lang w:val="en-IE"/>
        </w:rPr>
        <w:t xml:space="preserve">overcome </w:t>
      </w:r>
      <w:r w:rsidRPr="00D4396B">
        <w:rPr>
          <w:rFonts w:asciiTheme="majorBidi" w:hAnsiTheme="majorBidi" w:cstheme="majorBidi"/>
          <w:noProof/>
          <w:lang w:val="en-IE"/>
        </w:rPr>
        <w:t xml:space="preserve">without external intervention. </w:t>
      </w:r>
      <w:r w:rsidR="00F012EA">
        <w:rPr>
          <w:rFonts w:asciiTheme="majorBidi" w:hAnsiTheme="majorBidi" w:cstheme="majorBidi"/>
          <w:noProof/>
          <w:lang w:val="en-IE"/>
        </w:rPr>
        <w:t>T</w:t>
      </w:r>
      <w:r w:rsidRPr="00D4396B">
        <w:rPr>
          <w:rFonts w:asciiTheme="majorBidi" w:hAnsiTheme="majorBidi" w:cstheme="majorBidi"/>
          <w:noProof/>
          <w:lang w:val="en-IE"/>
        </w:rPr>
        <w:t xml:space="preserve">o gain full competence in new crime areas, </w:t>
      </w:r>
      <w:r w:rsidR="002529BE">
        <w:rPr>
          <w:rFonts w:asciiTheme="majorBidi" w:hAnsiTheme="majorBidi" w:cstheme="majorBidi"/>
          <w:noProof/>
          <w:lang w:val="en-IE"/>
        </w:rPr>
        <w:t>th</w:t>
      </w:r>
      <w:r w:rsidR="00B41C0E">
        <w:rPr>
          <w:rFonts w:asciiTheme="majorBidi" w:hAnsiTheme="majorBidi" w:cstheme="majorBidi"/>
          <w:noProof/>
          <w:lang w:val="en-IE"/>
        </w:rPr>
        <w:t>e</w:t>
      </w:r>
      <w:r w:rsidR="00F57B9C">
        <w:rPr>
          <w:rFonts w:asciiTheme="majorBidi" w:hAnsiTheme="majorBidi" w:cstheme="majorBidi"/>
          <w:noProof/>
          <w:lang w:val="en-IE"/>
        </w:rPr>
        <w:t>se</w:t>
      </w:r>
      <w:r w:rsidR="002529BE">
        <w:rPr>
          <w:rFonts w:asciiTheme="majorBidi" w:hAnsiTheme="majorBidi" w:cstheme="majorBidi"/>
          <w:noProof/>
          <w:lang w:val="en-IE"/>
        </w:rPr>
        <w:t xml:space="preserve"> need to be </w:t>
      </w:r>
      <w:r w:rsidRPr="00D4396B">
        <w:rPr>
          <w:rFonts w:asciiTheme="majorBidi" w:hAnsiTheme="majorBidi" w:cstheme="majorBidi"/>
          <w:noProof/>
          <w:lang w:val="en-IE"/>
        </w:rPr>
        <w:t>inclu</w:t>
      </w:r>
      <w:r w:rsidR="002529BE">
        <w:rPr>
          <w:rFonts w:asciiTheme="majorBidi" w:hAnsiTheme="majorBidi" w:cstheme="majorBidi"/>
          <w:noProof/>
          <w:lang w:val="en-IE"/>
        </w:rPr>
        <w:t xml:space="preserve">ded </w:t>
      </w:r>
      <w:r w:rsidRPr="00D4396B">
        <w:rPr>
          <w:rFonts w:asciiTheme="majorBidi" w:hAnsiTheme="majorBidi" w:cstheme="majorBidi"/>
          <w:noProof/>
          <w:lang w:val="en-IE"/>
        </w:rPr>
        <w:t xml:space="preserve">in Annex </w:t>
      </w:r>
      <w:r w:rsidR="00026DBC">
        <w:rPr>
          <w:rFonts w:asciiTheme="majorBidi" w:hAnsiTheme="majorBidi" w:cstheme="majorBidi"/>
          <w:noProof/>
          <w:lang w:val="en-IE"/>
        </w:rPr>
        <w:t>I</w:t>
      </w:r>
      <w:r w:rsidRPr="00D4396B">
        <w:rPr>
          <w:rFonts w:asciiTheme="majorBidi" w:hAnsiTheme="majorBidi" w:cstheme="majorBidi"/>
          <w:noProof/>
          <w:lang w:val="en-IE"/>
        </w:rPr>
        <w:t xml:space="preserve"> </w:t>
      </w:r>
      <w:r w:rsidR="4260E626" w:rsidRPr="00D4396B">
        <w:rPr>
          <w:rFonts w:asciiTheme="majorBidi" w:hAnsiTheme="majorBidi" w:cstheme="majorBidi"/>
          <w:noProof/>
          <w:lang w:val="en-IE"/>
        </w:rPr>
        <w:t xml:space="preserve">to the </w:t>
      </w:r>
      <w:r w:rsidR="4260E626" w:rsidRPr="485C3E3A">
        <w:rPr>
          <w:rFonts w:asciiTheme="majorBidi" w:hAnsiTheme="majorBidi" w:cstheme="majorBidi"/>
          <w:noProof/>
          <w:lang w:val="en-IE"/>
        </w:rPr>
        <w:t>E</w:t>
      </w:r>
      <w:r w:rsidR="1A9066D9" w:rsidRPr="485C3E3A">
        <w:rPr>
          <w:rFonts w:asciiTheme="majorBidi" w:hAnsiTheme="majorBidi" w:cstheme="majorBidi"/>
          <w:noProof/>
          <w:lang w:val="en-IE"/>
        </w:rPr>
        <w:t>JR</w:t>
      </w:r>
      <w:r w:rsidRPr="00D4396B">
        <w:rPr>
          <w:rFonts w:asciiTheme="majorBidi" w:hAnsiTheme="majorBidi" w:cstheme="majorBidi"/>
          <w:noProof/>
          <w:lang w:val="en-IE"/>
        </w:rPr>
        <w:t xml:space="preserve">. </w:t>
      </w:r>
      <w:r w:rsidR="000364FF">
        <w:rPr>
          <w:rFonts w:asciiTheme="majorBidi" w:hAnsiTheme="majorBidi" w:cstheme="majorBidi"/>
          <w:noProof/>
          <w:lang w:val="en-IE"/>
        </w:rPr>
        <w:t>Without greater legal</w:t>
      </w:r>
      <w:r w:rsidR="000364FF" w:rsidDel="00744522">
        <w:rPr>
          <w:rFonts w:asciiTheme="majorBidi" w:hAnsiTheme="majorBidi" w:cstheme="majorBidi"/>
          <w:noProof/>
          <w:lang w:val="en-IE"/>
        </w:rPr>
        <w:t xml:space="preserve"> </w:t>
      </w:r>
      <w:r w:rsidR="000364FF">
        <w:rPr>
          <w:rFonts w:asciiTheme="majorBidi" w:hAnsiTheme="majorBidi" w:cstheme="majorBidi"/>
          <w:noProof/>
          <w:lang w:val="en-IE"/>
        </w:rPr>
        <w:t xml:space="preserve">clarity, </w:t>
      </w:r>
      <w:r w:rsidR="001340A2">
        <w:rPr>
          <w:rFonts w:asciiTheme="majorBidi" w:hAnsiTheme="majorBidi" w:cstheme="majorBidi"/>
          <w:noProof/>
          <w:lang w:val="en-IE"/>
        </w:rPr>
        <w:t>Eurojus</w:t>
      </w:r>
      <w:r w:rsidR="00F96914">
        <w:rPr>
          <w:rFonts w:asciiTheme="majorBidi" w:hAnsiTheme="majorBidi" w:cstheme="majorBidi"/>
          <w:noProof/>
          <w:lang w:val="en-IE"/>
        </w:rPr>
        <w:t xml:space="preserve">t will not step up </w:t>
      </w:r>
      <w:r w:rsidR="00C22887">
        <w:rPr>
          <w:rFonts w:asciiTheme="majorBidi" w:hAnsiTheme="majorBidi" w:cstheme="majorBidi"/>
          <w:noProof/>
          <w:lang w:val="en-IE"/>
        </w:rPr>
        <w:t>action</w:t>
      </w:r>
      <w:r w:rsidRPr="00D4396B">
        <w:rPr>
          <w:rFonts w:asciiTheme="majorBidi" w:hAnsiTheme="majorBidi" w:cstheme="majorBidi"/>
          <w:noProof/>
          <w:lang w:val="en-IE"/>
        </w:rPr>
        <w:t xml:space="preserve"> in fields such as asset recovery and engagement with service providers</w:t>
      </w:r>
      <w:r w:rsidR="00291E66" w:rsidRPr="00D4396B">
        <w:rPr>
          <w:rFonts w:asciiTheme="majorBidi" w:hAnsiTheme="majorBidi" w:cstheme="majorBidi"/>
          <w:noProof/>
          <w:lang w:val="en-IE"/>
        </w:rPr>
        <w:t xml:space="preserve"> (electronic evidence)</w:t>
      </w:r>
      <w:r w:rsidRPr="00D4396B">
        <w:rPr>
          <w:rFonts w:asciiTheme="majorBidi" w:hAnsiTheme="majorBidi" w:cstheme="majorBidi"/>
          <w:noProof/>
          <w:lang w:val="en-IE"/>
        </w:rPr>
        <w:t xml:space="preserve">, </w:t>
      </w:r>
      <w:r w:rsidR="007976C3" w:rsidRPr="00D4396B">
        <w:rPr>
          <w:rFonts w:asciiTheme="majorBidi" w:hAnsiTheme="majorBidi" w:cstheme="majorBidi"/>
          <w:noProof/>
          <w:lang w:val="en-IE"/>
        </w:rPr>
        <w:t>result</w:t>
      </w:r>
      <w:r w:rsidR="00A22D47">
        <w:rPr>
          <w:rFonts w:asciiTheme="majorBidi" w:hAnsiTheme="majorBidi" w:cstheme="majorBidi"/>
          <w:noProof/>
          <w:lang w:val="en-IE"/>
        </w:rPr>
        <w:t>ing</w:t>
      </w:r>
      <w:r w:rsidR="007976C3" w:rsidRPr="00D4396B">
        <w:rPr>
          <w:rFonts w:asciiTheme="majorBidi" w:hAnsiTheme="majorBidi" w:cstheme="majorBidi"/>
          <w:noProof/>
          <w:lang w:val="en-IE"/>
        </w:rPr>
        <w:t xml:space="preserve"> in missed opportunities for judicial follow-up</w:t>
      </w:r>
      <w:r w:rsidRPr="00D4396B">
        <w:rPr>
          <w:rFonts w:asciiTheme="majorBidi" w:hAnsiTheme="majorBidi" w:cstheme="majorBidi"/>
          <w:noProof/>
          <w:lang w:val="en-IE"/>
        </w:rPr>
        <w:t>. Moreover, without an explicit mandate to translate operational experience into systematic EU-level policy input and threat analysis, Eurojust’s strategic contribution will remain ad hoc</w:t>
      </w:r>
      <w:r w:rsidR="000C1D5E">
        <w:rPr>
          <w:rFonts w:asciiTheme="majorBidi" w:hAnsiTheme="majorBidi" w:cstheme="majorBidi"/>
          <w:noProof/>
          <w:lang w:val="en-IE"/>
        </w:rPr>
        <w:t xml:space="preserve"> and </w:t>
      </w:r>
      <w:r w:rsidR="00C30644">
        <w:rPr>
          <w:rFonts w:asciiTheme="majorBidi" w:hAnsiTheme="majorBidi" w:cstheme="majorBidi"/>
          <w:noProof/>
          <w:lang w:val="en-IE"/>
        </w:rPr>
        <w:t>minimal</w:t>
      </w:r>
      <w:r w:rsidRPr="00D4396B">
        <w:rPr>
          <w:rFonts w:asciiTheme="majorBidi" w:hAnsiTheme="majorBidi" w:cstheme="majorBidi"/>
          <w:noProof/>
          <w:lang w:val="en-IE"/>
        </w:rPr>
        <w:t>.</w:t>
      </w:r>
    </w:p>
    <w:p w14:paraId="265AB942" w14:textId="4942643F" w:rsidR="00A63B53" w:rsidRPr="00D4396B" w:rsidRDefault="00A63B53" w:rsidP="0092673A">
      <w:pPr>
        <w:spacing w:after="120"/>
        <w:rPr>
          <w:rFonts w:asciiTheme="majorBidi" w:hAnsiTheme="majorBidi" w:cstheme="majorBidi"/>
          <w:noProof/>
          <w:lang w:val="en-IE"/>
        </w:rPr>
      </w:pPr>
      <w:r w:rsidRPr="00D4396B">
        <w:rPr>
          <w:rFonts w:asciiTheme="majorBidi" w:hAnsiTheme="majorBidi" w:cstheme="majorBidi"/>
          <w:noProof/>
          <w:lang w:val="en-IE"/>
        </w:rPr>
        <w:t xml:space="preserve">The </w:t>
      </w:r>
      <w:r w:rsidR="00C22887">
        <w:rPr>
          <w:rFonts w:asciiTheme="majorBidi" w:hAnsiTheme="majorBidi" w:cstheme="majorBidi"/>
          <w:noProof/>
          <w:lang w:val="en-IE"/>
        </w:rPr>
        <w:t>EJR</w:t>
      </w:r>
      <w:r w:rsidRPr="00D4396B">
        <w:rPr>
          <w:rFonts w:asciiTheme="majorBidi" w:hAnsiTheme="majorBidi" w:cstheme="majorBidi"/>
          <w:noProof/>
          <w:lang w:val="en-IE"/>
        </w:rPr>
        <w:t xml:space="preserve"> </w:t>
      </w:r>
      <w:r w:rsidR="008558F0">
        <w:rPr>
          <w:rFonts w:asciiTheme="majorBidi" w:hAnsiTheme="majorBidi" w:cstheme="majorBidi"/>
          <w:noProof/>
          <w:lang w:val="en-IE"/>
        </w:rPr>
        <w:t xml:space="preserve">contains </w:t>
      </w:r>
      <w:r w:rsidRPr="00D4396B">
        <w:rPr>
          <w:rFonts w:asciiTheme="majorBidi" w:hAnsiTheme="majorBidi" w:cstheme="majorBidi"/>
          <w:noProof/>
          <w:lang w:val="en-IE"/>
        </w:rPr>
        <w:t xml:space="preserve">ambiguities </w:t>
      </w:r>
      <w:r w:rsidR="00A14286">
        <w:rPr>
          <w:rFonts w:asciiTheme="majorBidi" w:hAnsiTheme="majorBidi" w:cstheme="majorBidi"/>
          <w:noProof/>
          <w:lang w:val="en-IE"/>
        </w:rPr>
        <w:t>–</w:t>
      </w:r>
      <w:r w:rsidRPr="00D4396B">
        <w:rPr>
          <w:rFonts w:asciiTheme="majorBidi" w:hAnsiTheme="majorBidi" w:cstheme="majorBidi"/>
          <w:noProof/>
          <w:lang w:val="en-IE"/>
        </w:rPr>
        <w:t xml:space="preserve"> and to some respect discretion </w:t>
      </w:r>
      <w:r w:rsidR="00A14286">
        <w:rPr>
          <w:rFonts w:asciiTheme="majorBidi" w:hAnsiTheme="majorBidi" w:cstheme="majorBidi"/>
          <w:noProof/>
          <w:lang w:val="en-IE"/>
        </w:rPr>
        <w:t>–</w:t>
      </w:r>
      <w:r w:rsidRPr="00D4396B">
        <w:rPr>
          <w:rFonts w:asciiTheme="majorBidi" w:hAnsiTheme="majorBidi" w:cstheme="majorBidi"/>
          <w:noProof/>
          <w:lang w:val="en-IE"/>
        </w:rPr>
        <w:t xml:space="preserve"> regarding key matters such as the </w:t>
      </w:r>
      <w:r w:rsidRPr="00D4396B">
        <w:rPr>
          <w:rFonts w:asciiTheme="majorBidi" w:hAnsiTheme="majorBidi" w:cstheme="majorBidi"/>
          <w:b/>
          <w:bCs/>
          <w:noProof/>
          <w:lang w:val="en-IE"/>
        </w:rPr>
        <w:t xml:space="preserve">status and powers of </w:t>
      </w:r>
      <w:r w:rsidRPr="7045021E">
        <w:rPr>
          <w:rFonts w:asciiTheme="majorBidi" w:hAnsiTheme="majorBidi" w:cstheme="majorBidi"/>
          <w:b/>
          <w:bCs/>
          <w:noProof/>
          <w:lang w:val="en-IE"/>
        </w:rPr>
        <w:t>N</w:t>
      </w:r>
      <w:r w:rsidR="0385221D" w:rsidRPr="7045021E">
        <w:rPr>
          <w:rFonts w:asciiTheme="majorBidi" w:hAnsiTheme="majorBidi" w:cstheme="majorBidi"/>
          <w:b/>
          <w:bCs/>
          <w:noProof/>
          <w:lang w:val="en-IE"/>
        </w:rPr>
        <w:t>M</w:t>
      </w:r>
      <w:r w:rsidRPr="00D4396B">
        <w:rPr>
          <w:rFonts w:asciiTheme="majorBidi" w:hAnsiTheme="majorBidi" w:cstheme="majorBidi"/>
          <w:b/>
          <w:bCs/>
          <w:noProof/>
          <w:lang w:val="en-IE"/>
        </w:rPr>
        <w:t>s</w:t>
      </w:r>
      <w:r w:rsidRPr="00D4396B">
        <w:rPr>
          <w:rFonts w:asciiTheme="majorBidi" w:hAnsiTheme="majorBidi" w:cstheme="majorBidi"/>
          <w:noProof/>
          <w:lang w:val="en-IE"/>
        </w:rPr>
        <w:t xml:space="preserve">, the organisation of the ENCS, and information sharing by Member States. </w:t>
      </w:r>
      <w:r w:rsidR="005127E9">
        <w:rPr>
          <w:rFonts w:asciiTheme="majorBidi" w:hAnsiTheme="majorBidi" w:cstheme="majorBidi"/>
          <w:b/>
          <w:bCs/>
          <w:noProof/>
          <w:lang w:val="en-IE"/>
        </w:rPr>
        <w:t>U</w:t>
      </w:r>
      <w:r w:rsidRPr="00D4396B">
        <w:rPr>
          <w:rFonts w:asciiTheme="majorBidi" w:hAnsiTheme="majorBidi" w:cstheme="majorBidi"/>
          <w:b/>
          <w:bCs/>
          <w:noProof/>
          <w:lang w:val="en-IE"/>
        </w:rPr>
        <w:t>nder</w:t>
      </w:r>
      <w:r w:rsidR="3367C6CA" w:rsidRPr="00D4396B">
        <w:rPr>
          <w:rFonts w:asciiTheme="majorBidi" w:hAnsiTheme="majorBidi" w:cstheme="majorBidi"/>
          <w:b/>
          <w:bCs/>
          <w:noProof/>
          <w:lang w:val="en-IE"/>
        </w:rPr>
        <w:t>-</w:t>
      </w:r>
      <w:r w:rsidRPr="00D4396B">
        <w:rPr>
          <w:rFonts w:asciiTheme="majorBidi" w:hAnsiTheme="majorBidi" w:cstheme="majorBidi"/>
          <w:b/>
          <w:bCs/>
          <w:noProof/>
          <w:lang w:val="en-IE"/>
        </w:rPr>
        <w:t>implementation of the ENCS</w:t>
      </w:r>
      <w:r w:rsidRPr="00D4396B">
        <w:rPr>
          <w:rFonts w:asciiTheme="majorBidi" w:hAnsiTheme="majorBidi" w:cstheme="majorBidi"/>
          <w:noProof/>
          <w:lang w:val="en-IE"/>
        </w:rPr>
        <w:t xml:space="preserve"> or the </w:t>
      </w:r>
      <w:r w:rsidRPr="00D4396B">
        <w:rPr>
          <w:rFonts w:asciiTheme="majorBidi" w:hAnsiTheme="majorBidi" w:cstheme="majorBidi"/>
          <w:b/>
          <w:bCs/>
          <w:noProof/>
          <w:lang w:val="en-IE"/>
        </w:rPr>
        <w:t>on-call coordination mechanism (OCC)</w:t>
      </w:r>
      <w:r w:rsidRPr="00D4396B">
        <w:rPr>
          <w:rFonts w:asciiTheme="majorBidi" w:hAnsiTheme="majorBidi" w:cstheme="majorBidi"/>
          <w:noProof/>
          <w:lang w:val="en-IE"/>
        </w:rPr>
        <w:t xml:space="preserve"> </w:t>
      </w:r>
      <w:r w:rsidR="00CA085D">
        <w:rPr>
          <w:rFonts w:asciiTheme="majorBidi" w:hAnsiTheme="majorBidi" w:cstheme="majorBidi"/>
          <w:noProof/>
          <w:lang w:val="en-IE"/>
        </w:rPr>
        <w:t xml:space="preserve">– </w:t>
      </w:r>
      <w:r w:rsidRPr="00D4396B">
        <w:rPr>
          <w:rFonts w:asciiTheme="majorBidi" w:hAnsiTheme="majorBidi" w:cstheme="majorBidi"/>
          <w:noProof/>
          <w:lang w:val="en-IE"/>
        </w:rPr>
        <w:t>seen as burdensome</w:t>
      </w:r>
      <w:r w:rsidR="001071F7">
        <w:rPr>
          <w:rStyle w:val="FootnoteReference"/>
          <w:rFonts w:asciiTheme="majorBidi" w:hAnsiTheme="majorBidi" w:cstheme="majorBidi"/>
          <w:noProof/>
          <w:lang w:val="en-IE"/>
        </w:rPr>
        <w:footnoteReference w:id="90"/>
      </w:r>
      <w:r w:rsidRPr="00D4396B">
        <w:rPr>
          <w:rFonts w:asciiTheme="majorBidi" w:hAnsiTheme="majorBidi" w:cstheme="majorBidi"/>
          <w:noProof/>
          <w:lang w:val="en-IE"/>
        </w:rPr>
        <w:t xml:space="preserve"> – persist. </w:t>
      </w:r>
      <w:r w:rsidR="00B311AD">
        <w:rPr>
          <w:rFonts w:asciiTheme="majorBidi" w:hAnsiTheme="majorBidi" w:cstheme="majorBidi"/>
          <w:noProof/>
          <w:lang w:val="en-IE"/>
        </w:rPr>
        <w:t>In</w:t>
      </w:r>
      <w:r w:rsidRPr="00D4396B">
        <w:rPr>
          <w:rFonts w:asciiTheme="majorBidi" w:hAnsiTheme="majorBidi" w:cstheme="majorBidi"/>
          <w:noProof/>
          <w:lang w:val="en-IE"/>
        </w:rPr>
        <w:t xml:space="preserve"> </w:t>
      </w:r>
      <w:r w:rsidR="0016612A">
        <w:rPr>
          <w:rFonts w:asciiTheme="majorBidi" w:hAnsiTheme="majorBidi" w:cstheme="majorBidi"/>
          <w:noProof/>
          <w:lang w:val="en-IE"/>
        </w:rPr>
        <w:t>absence of</w:t>
      </w:r>
      <w:r w:rsidR="00CB04AA">
        <w:rPr>
          <w:rFonts w:asciiTheme="majorBidi" w:hAnsiTheme="majorBidi" w:cstheme="majorBidi"/>
          <w:noProof/>
          <w:lang w:val="en-IE"/>
        </w:rPr>
        <w:t xml:space="preserve"> externa</w:t>
      </w:r>
      <w:r w:rsidR="008070AA">
        <w:rPr>
          <w:rFonts w:asciiTheme="majorBidi" w:hAnsiTheme="majorBidi" w:cstheme="majorBidi"/>
          <w:noProof/>
          <w:lang w:val="en-IE"/>
        </w:rPr>
        <w:t>l intervention,</w:t>
      </w:r>
      <w:r w:rsidRPr="00D4396B" w:rsidDel="00E07829">
        <w:rPr>
          <w:rFonts w:asciiTheme="majorBidi" w:hAnsiTheme="majorBidi" w:cstheme="majorBidi"/>
          <w:noProof/>
          <w:lang w:val="en-IE"/>
        </w:rPr>
        <w:t xml:space="preserve"> </w:t>
      </w:r>
      <w:r w:rsidRPr="00D4396B">
        <w:rPr>
          <w:rFonts w:asciiTheme="majorBidi" w:hAnsiTheme="majorBidi" w:cstheme="majorBidi"/>
          <w:noProof/>
          <w:lang w:val="en-IE"/>
        </w:rPr>
        <w:t>meaningful progress</w:t>
      </w:r>
      <w:r w:rsidR="00E07829">
        <w:rPr>
          <w:rFonts w:asciiTheme="majorBidi" w:hAnsiTheme="majorBidi" w:cstheme="majorBidi"/>
          <w:noProof/>
          <w:lang w:val="en-IE"/>
        </w:rPr>
        <w:t xml:space="preserve"> is unlikely</w:t>
      </w:r>
      <w:r w:rsidR="006570AD">
        <w:rPr>
          <w:rFonts w:asciiTheme="majorBidi" w:hAnsiTheme="majorBidi" w:cstheme="majorBidi"/>
          <w:noProof/>
          <w:lang w:val="en-IE"/>
        </w:rPr>
        <w:t>;</w:t>
      </w:r>
      <w:r w:rsidRPr="00D4396B">
        <w:rPr>
          <w:rFonts w:asciiTheme="majorBidi" w:hAnsiTheme="majorBidi" w:cstheme="majorBidi"/>
          <w:noProof/>
          <w:lang w:val="en-IE"/>
        </w:rPr>
        <w:t xml:space="preserve"> these</w:t>
      </w:r>
      <w:r w:rsidR="00506B78">
        <w:rPr>
          <w:rFonts w:asciiTheme="majorBidi" w:hAnsiTheme="majorBidi" w:cstheme="majorBidi"/>
          <w:noProof/>
          <w:lang w:val="en-IE"/>
        </w:rPr>
        <w:t xml:space="preserve"> matters</w:t>
      </w:r>
      <w:r w:rsidRPr="00D4396B">
        <w:rPr>
          <w:rFonts w:asciiTheme="majorBidi" w:hAnsiTheme="majorBidi" w:cstheme="majorBidi"/>
          <w:noProof/>
          <w:lang w:val="en-IE"/>
        </w:rPr>
        <w:t xml:space="preserve"> fall under national or legal obligations </w:t>
      </w:r>
      <w:r w:rsidR="00610498">
        <w:rPr>
          <w:rFonts w:asciiTheme="majorBidi" w:hAnsiTheme="majorBidi" w:cstheme="majorBidi"/>
          <w:noProof/>
          <w:lang w:val="en-IE"/>
        </w:rPr>
        <w:t xml:space="preserve">and </w:t>
      </w:r>
      <w:r w:rsidRPr="00D4396B">
        <w:rPr>
          <w:rFonts w:asciiTheme="majorBidi" w:hAnsiTheme="majorBidi" w:cstheme="majorBidi"/>
          <w:noProof/>
          <w:lang w:val="en-IE"/>
        </w:rPr>
        <w:t>Eurojust currently has no enforcement competence to harmonise these divergences</w:t>
      </w:r>
      <w:r w:rsidR="006070E6">
        <w:rPr>
          <w:rFonts w:asciiTheme="majorBidi" w:hAnsiTheme="majorBidi" w:cstheme="majorBidi"/>
          <w:noProof/>
          <w:lang w:val="en-IE"/>
        </w:rPr>
        <w:t xml:space="preserve"> </w:t>
      </w:r>
      <w:r w:rsidR="008070AA">
        <w:rPr>
          <w:rFonts w:asciiTheme="majorBidi" w:hAnsiTheme="majorBidi" w:cstheme="majorBidi"/>
          <w:noProof/>
          <w:lang w:val="en-IE"/>
        </w:rPr>
        <w:t>which also</w:t>
      </w:r>
      <w:r w:rsidRPr="00D4396B">
        <w:rPr>
          <w:rFonts w:asciiTheme="majorBidi" w:hAnsiTheme="majorBidi" w:cstheme="majorBidi"/>
          <w:noProof/>
          <w:lang w:val="en-IE"/>
        </w:rPr>
        <w:t xml:space="preserve"> impact the Agency’s governance and operational functioning.</w:t>
      </w:r>
    </w:p>
    <w:p w14:paraId="0181CCFB" w14:textId="130C9DD4" w:rsidR="00A63B53" w:rsidRPr="00D4396B" w:rsidRDefault="08FC6AC7" w:rsidP="0092673A">
      <w:pPr>
        <w:spacing w:after="120"/>
        <w:rPr>
          <w:rFonts w:asciiTheme="majorBidi" w:hAnsiTheme="majorBidi" w:cstheme="majorBidi"/>
          <w:noProof/>
          <w:lang w:val="en-IE"/>
        </w:rPr>
      </w:pPr>
      <w:r w:rsidRPr="00D4396B">
        <w:rPr>
          <w:rFonts w:asciiTheme="majorBidi" w:hAnsiTheme="majorBidi" w:cstheme="majorBidi"/>
          <w:noProof/>
          <w:lang w:val="en-IE"/>
        </w:rPr>
        <w:t xml:space="preserve">In response to the </w:t>
      </w:r>
      <w:r w:rsidRPr="00D4396B">
        <w:rPr>
          <w:rFonts w:asciiTheme="majorBidi" w:hAnsiTheme="majorBidi" w:cstheme="majorBidi"/>
          <w:b/>
          <w:bCs/>
          <w:noProof/>
          <w:lang w:val="en-IE"/>
        </w:rPr>
        <w:t>administrative and governance issues</w:t>
      </w:r>
      <w:r w:rsidRPr="00D4396B">
        <w:rPr>
          <w:rFonts w:asciiTheme="majorBidi" w:hAnsiTheme="majorBidi" w:cstheme="majorBidi"/>
          <w:noProof/>
          <w:lang w:val="en-IE"/>
        </w:rPr>
        <w:t>, Eurojust plans to streamline decision-making</w:t>
      </w:r>
      <w:r w:rsidR="00EC1F16">
        <w:rPr>
          <w:rFonts w:asciiTheme="majorBidi" w:hAnsiTheme="majorBidi" w:cstheme="majorBidi"/>
          <w:noProof/>
          <w:lang w:val="en-IE"/>
        </w:rPr>
        <w:t xml:space="preserve"> and </w:t>
      </w:r>
      <w:r w:rsidRPr="00D4396B">
        <w:rPr>
          <w:rFonts w:asciiTheme="majorBidi" w:hAnsiTheme="majorBidi" w:cstheme="majorBidi"/>
          <w:noProof/>
          <w:lang w:val="en-IE"/>
        </w:rPr>
        <w:t>improve managerial skills and leadership.</w:t>
      </w:r>
      <w:r w:rsidR="00E74AA8">
        <w:rPr>
          <w:rStyle w:val="FootnoteReference"/>
          <w:rFonts w:asciiTheme="majorBidi" w:hAnsiTheme="majorBidi" w:cstheme="majorBidi"/>
          <w:noProof/>
          <w:lang w:val="en-IE"/>
        </w:rPr>
        <w:footnoteReference w:id="91"/>
      </w:r>
      <w:r w:rsidRPr="00D4396B">
        <w:rPr>
          <w:rFonts w:asciiTheme="majorBidi" w:hAnsiTheme="majorBidi" w:cstheme="majorBidi"/>
          <w:noProof/>
          <w:lang w:val="en-IE"/>
        </w:rPr>
        <w:t xml:space="preserve"> </w:t>
      </w:r>
      <w:r w:rsidR="00CB4C4A">
        <w:rPr>
          <w:rFonts w:asciiTheme="majorBidi" w:hAnsiTheme="majorBidi" w:cstheme="majorBidi"/>
          <w:noProof/>
          <w:lang w:val="en-IE"/>
        </w:rPr>
        <w:t>Steps will be taken</w:t>
      </w:r>
      <w:r w:rsidR="002F611C">
        <w:rPr>
          <w:rFonts w:asciiTheme="majorBidi" w:hAnsiTheme="majorBidi" w:cstheme="majorBidi"/>
          <w:noProof/>
          <w:lang w:val="en-IE"/>
        </w:rPr>
        <w:t xml:space="preserve"> </w:t>
      </w:r>
      <w:r w:rsidRPr="00D4396B">
        <w:rPr>
          <w:rFonts w:asciiTheme="majorBidi" w:hAnsiTheme="majorBidi" w:cstheme="majorBidi"/>
          <w:noProof/>
          <w:lang w:val="en-IE"/>
        </w:rPr>
        <w:t xml:space="preserve">to rationalise the functioning of Working Groups to avoid task overlap and a long-term </w:t>
      </w:r>
      <w:r w:rsidRPr="00D4396B">
        <w:rPr>
          <w:rFonts w:asciiTheme="majorBidi" w:hAnsiTheme="majorBidi" w:cstheme="majorBidi"/>
          <w:b/>
          <w:bCs/>
          <w:noProof/>
          <w:lang w:val="en-IE"/>
        </w:rPr>
        <w:t>Eurojust Vision 2035</w:t>
      </w:r>
      <w:r w:rsidRPr="00D4396B">
        <w:rPr>
          <w:rFonts w:asciiTheme="majorBidi" w:hAnsiTheme="majorBidi" w:cstheme="majorBidi"/>
          <w:noProof/>
          <w:lang w:val="en-IE"/>
        </w:rPr>
        <w:t xml:space="preserve"> </w:t>
      </w:r>
      <w:r w:rsidR="00E96395">
        <w:rPr>
          <w:rFonts w:asciiTheme="majorBidi" w:hAnsiTheme="majorBidi" w:cstheme="majorBidi"/>
          <w:noProof/>
          <w:lang w:val="en-IE"/>
        </w:rPr>
        <w:t>will be prepared</w:t>
      </w:r>
      <w:r w:rsidRPr="00D4396B">
        <w:rPr>
          <w:rFonts w:asciiTheme="majorBidi" w:hAnsiTheme="majorBidi" w:cstheme="majorBidi"/>
          <w:noProof/>
          <w:lang w:val="en-IE"/>
        </w:rPr>
        <w:t xml:space="preserve">. While these proposed measures seek to mitigate inefficiencies, the current structure inherently limits strong </w:t>
      </w:r>
      <w:r w:rsidR="71D9B10E" w:rsidRPr="00D4396B">
        <w:rPr>
          <w:rFonts w:asciiTheme="majorBidi" w:hAnsiTheme="majorBidi" w:cstheme="majorBidi"/>
          <w:noProof/>
          <w:lang w:val="en-IE"/>
        </w:rPr>
        <w:t xml:space="preserve">and more </w:t>
      </w:r>
      <w:r w:rsidRPr="00D4396B">
        <w:rPr>
          <w:rFonts w:asciiTheme="majorBidi" w:hAnsiTheme="majorBidi" w:cstheme="majorBidi"/>
          <w:noProof/>
          <w:lang w:val="en-IE"/>
        </w:rPr>
        <w:t>centralised leadership and oversight</w:t>
      </w:r>
      <w:r w:rsidR="00B00A25">
        <w:rPr>
          <w:rFonts w:asciiTheme="majorBidi" w:hAnsiTheme="majorBidi" w:cstheme="majorBidi"/>
          <w:noProof/>
          <w:lang w:val="en-IE"/>
        </w:rPr>
        <w:t xml:space="preserve"> and </w:t>
      </w:r>
      <w:r w:rsidR="00257CBB">
        <w:rPr>
          <w:rFonts w:asciiTheme="majorBidi" w:hAnsiTheme="majorBidi" w:cstheme="majorBidi"/>
          <w:noProof/>
          <w:lang w:val="en-IE"/>
        </w:rPr>
        <w:t xml:space="preserve">are </w:t>
      </w:r>
      <w:r w:rsidRPr="00D4396B">
        <w:rPr>
          <w:rFonts w:asciiTheme="majorBidi" w:hAnsiTheme="majorBidi" w:cstheme="majorBidi"/>
          <w:noProof/>
          <w:lang w:val="en-IE"/>
        </w:rPr>
        <w:t>likely</w:t>
      </w:r>
      <w:r w:rsidRPr="00D4396B" w:rsidDel="00257CBB">
        <w:rPr>
          <w:rFonts w:asciiTheme="majorBidi" w:hAnsiTheme="majorBidi" w:cstheme="majorBidi"/>
          <w:noProof/>
          <w:lang w:val="en-IE"/>
        </w:rPr>
        <w:t xml:space="preserve"> </w:t>
      </w:r>
      <w:r w:rsidRPr="00D4396B">
        <w:rPr>
          <w:rFonts w:asciiTheme="majorBidi" w:hAnsiTheme="majorBidi" w:cstheme="majorBidi"/>
          <w:noProof/>
          <w:lang w:val="en-IE"/>
        </w:rPr>
        <w:t xml:space="preserve">only </w:t>
      </w:r>
      <w:r w:rsidR="00257CBB">
        <w:rPr>
          <w:rFonts w:asciiTheme="majorBidi" w:hAnsiTheme="majorBidi" w:cstheme="majorBidi"/>
          <w:noProof/>
          <w:lang w:val="en-IE"/>
        </w:rPr>
        <w:t xml:space="preserve">to </w:t>
      </w:r>
      <w:r w:rsidR="00160AAB">
        <w:rPr>
          <w:rFonts w:asciiTheme="majorBidi" w:hAnsiTheme="majorBidi" w:cstheme="majorBidi"/>
          <w:noProof/>
          <w:lang w:val="en-IE"/>
        </w:rPr>
        <w:t xml:space="preserve">result in incremental </w:t>
      </w:r>
      <w:r w:rsidRPr="00D4396B">
        <w:rPr>
          <w:rFonts w:asciiTheme="majorBidi" w:hAnsiTheme="majorBidi" w:cstheme="majorBidi"/>
          <w:noProof/>
          <w:lang w:val="en-IE"/>
        </w:rPr>
        <w:t>improve</w:t>
      </w:r>
      <w:r w:rsidR="00160AAB">
        <w:rPr>
          <w:rFonts w:asciiTheme="majorBidi" w:hAnsiTheme="majorBidi" w:cstheme="majorBidi"/>
          <w:noProof/>
          <w:lang w:val="en-IE"/>
        </w:rPr>
        <w:t>ments</w:t>
      </w:r>
      <w:r w:rsidRPr="00D4396B">
        <w:rPr>
          <w:rFonts w:asciiTheme="majorBidi" w:hAnsiTheme="majorBidi" w:cstheme="majorBidi"/>
          <w:noProof/>
          <w:lang w:val="en-IE"/>
        </w:rPr>
        <w:t>. Th</w:t>
      </w:r>
      <w:r w:rsidR="00430D55">
        <w:rPr>
          <w:rFonts w:asciiTheme="majorBidi" w:hAnsiTheme="majorBidi" w:cstheme="majorBidi"/>
          <w:noProof/>
          <w:lang w:val="en-IE"/>
        </w:rPr>
        <w:t>ey will not address the</w:t>
      </w:r>
      <w:r w:rsidR="000D202F">
        <w:rPr>
          <w:rFonts w:asciiTheme="majorBidi" w:hAnsiTheme="majorBidi" w:cstheme="majorBidi"/>
          <w:noProof/>
          <w:lang w:val="en-IE"/>
        </w:rPr>
        <w:t xml:space="preserve"> </w:t>
      </w:r>
      <w:r w:rsidRPr="00D4396B">
        <w:rPr>
          <w:rFonts w:asciiTheme="majorBidi" w:hAnsiTheme="majorBidi" w:cstheme="majorBidi"/>
          <w:noProof/>
          <w:lang w:val="en-IE"/>
        </w:rPr>
        <w:t>blurred distinction between operational and administrative responsibilities</w:t>
      </w:r>
      <w:r w:rsidR="00430D55">
        <w:rPr>
          <w:rFonts w:asciiTheme="majorBidi" w:hAnsiTheme="majorBidi" w:cstheme="majorBidi"/>
          <w:noProof/>
          <w:lang w:val="en-IE"/>
        </w:rPr>
        <w:t>, which</w:t>
      </w:r>
      <w:r w:rsidRPr="00D4396B">
        <w:rPr>
          <w:rFonts w:asciiTheme="majorBidi" w:hAnsiTheme="majorBidi" w:cstheme="majorBidi"/>
          <w:noProof/>
          <w:lang w:val="en-IE"/>
        </w:rPr>
        <w:t xml:space="preserve"> is rooted in legacy practice</w:t>
      </w:r>
      <w:r w:rsidR="00A14A76">
        <w:rPr>
          <w:rFonts w:asciiTheme="majorBidi" w:hAnsiTheme="majorBidi" w:cstheme="majorBidi"/>
          <w:noProof/>
          <w:lang w:val="en-IE"/>
        </w:rPr>
        <w:t>s</w:t>
      </w:r>
      <w:r w:rsidRPr="00D4396B">
        <w:rPr>
          <w:rFonts w:asciiTheme="majorBidi" w:hAnsiTheme="majorBidi" w:cstheme="majorBidi"/>
          <w:noProof/>
          <w:lang w:val="en-IE"/>
        </w:rPr>
        <w:t>.</w:t>
      </w:r>
      <w:r w:rsidR="00A63B53" w:rsidRPr="00D4396B">
        <w:rPr>
          <w:rStyle w:val="FootnoteReference"/>
          <w:rFonts w:asciiTheme="majorBidi" w:hAnsiTheme="majorBidi" w:cstheme="majorBidi"/>
          <w:noProof/>
          <w:lang w:val="en-IE"/>
        </w:rPr>
        <w:footnoteReference w:id="92"/>
      </w:r>
      <w:r w:rsidRPr="00D4396B">
        <w:rPr>
          <w:rFonts w:asciiTheme="majorBidi" w:hAnsiTheme="majorBidi" w:cstheme="majorBidi"/>
          <w:noProof/>
          <w:lang w:val="en-IE"/>
        </w:rPr>
        <w:t xml:space="preserve"> </w:t>
      </w:r>
      <w:r w:rsidRPr="3E458EDF">
        <w:rPr>
          <w:rFonts w:asciiTheme="majorBidi" w:hAnsiTheme="majorBidi" w:cstheme="majorBidi"/>
          <w:noProof/>
          <w:lang w:val="en-IE"/>
        </w:rPr>
        <w:t>N</w:t>
      </w:r>
      <w:r w:rsidR="5CB4E01B" w:rsidRPr="3E458EDF">
        <w:rPr>
          <w:rFonts w:asciiTheme="majorBidi" w:hAnsiTheme="majorBidi" w:cstheme="majorBidi"/>
          <w:noProof/>
          <w:lang w:val="en-IE"/>
        </w:rPr>
        <w:t>M</w:t>
      </w:r>
      <w:r w:rsidRPr="00D4396B">
        <w:rPr>
          <w:rFonts w:asciiTheme="majorBidi" w:hAnsiTheme="majorBidi" w:cstheme="majorBidi"/>
          <w:noProof/>
          <w:lang w:val="en-IE"/>
        </w:rPr>
        <w:t xml:space="preserve">s </w:t>
      </w:r>
      <w:r w:rsidR="00200B20">
        <w:rPr>
          <w:rFonts w:asciiTheme="majorBidi" w:hAnsiTheme="majorBidi" w:cstheme="majorBidi"/>
          <w:noProof/>
          <w:lang w:val="en-IE"/>
        </w:rPr>
        <w:t xml:space="preserve">will </w:t>
      </w:r>
      <w:r w:rsidRPr="00D4396B">
        <w:rPr>
          <w:rFonts w:asciiTheme="majorBidi" w:hAnsiTheme="majorBidi" w:cstheme="majorBidi"/>
          <w:noProof/>
          <w:lang w:val="en-IE"/>
        </w:rPr>
        <w:t xml:space="preserve">retain extensive collective decision-making powers, and the </w:t>
      </w:r>
      <w:r w:rsidR="00411ABC">
        <w:rPr>
          <w:rFonts w:asciiTheme="majorBidi" w:hAnsiTheme="majorBidi" w:cstheme="majorBidi"/>
          <w:noProof/>
          <w:lang w:val="en-IE"/>
        </w:rPr>
        <w:t>EB</w:t>
      </w:r>
      <w:r w:rsidRPr="00D4396B">
        <w:rPr>
          <w:rFonts w:asciiTheme="majorBidi" w:hAnsiTheme="majorBidi" w:cstheme="majorBidi"/>
          <w:noProof/>
          <w:lang w:val="en-IE"/>
        </w:rPr>
        <w:t xml:space="preserve">’s role </w:t>
      </w:r>
      <w:r w:rsidR="00430D55">
        <w:rPr>
          <w:rFonts w:asciiTheme="majorBidi" w:hAnsiTheme="majorBidi" w:cstheme="majorBidi"/>
          <w:noProof/>
          <w:lang w:val="en-IE"/>
        </w:rPr>
        <w:t xml:space="preserve">will </w:t>
      </w:r>
      <w:r w:rsidRPr="00D4396B">
        <w:rPr>
          <w:rFonts w:asciiTheme="majorBidi" w:hAnsiTheme="majorBidi" w:cstheme="majorBidi"/>
          <w:noProof/>
          <w:lang w:val="en-IE"/>
        </w:rPr>
        <w:t xml:space="preserve">remain comparatively limited. </w:t>
      </w:r>
      <w:r w:rsidR="00430D55">
        <w:rPr>
          <w:rFonts w:asciiTheme="majorBidi" w:hAnsiTheme="majorBidi" w:cstheme="majorBidi"/>
          <w:noProof/>
          <w:lang w:val="en-IE"/>
        </w:rPr>
        <w:t>As a result, the current practi</w:t>
      </w:r>
      <w:r w:rsidR="00A41060">
        <w:rPr>
          <w:rFonts w:asciiTheme="majorBidi" w:hAnsiTheme="majorBidi" w:cstheme="majorBidi"/>
          <w:noProof/>
          <w:lang w:val="en-IE"/>
        </w:rPr>
        <w:t>c</w:t>
      </w:r>
      <w:r w:rsidR="00430D55">
        <w:rPr>
          <w:rFonts w:asciiTheme="majorBidi" w:hAnsiTheme="majorBidi" w:cstheme="majorBidi"/>
          <w:noProof/>
          <w:lang w:val="en-IE"/>
        </w:rPr>
        <w:t>es e.g.</w:t>
      </w:r>
      <w:r w:rsidRPr="00D4396B" w:rsidDel="00430D55">
        <w:rPr>
          <w:rFonts w:asciiTheme="majorBidi" w:hAnsiTheme="majorBidi" w:cstheme="majorBidi"/>
          <w:noProof/>
          <w:lang w:val="en-IE"/>
        </w:rPr>
        <w:t xml:space="preserve"> </w:t>
      </w:r>
      <w:r w:rsidRPr="00D4396B">
        <w:rPr>
          <w:rFonts w:asciiTheme="majorBidi" w:hAnsiTheme="majorBidi" w:cstheme="majorBidi"/>
          <w:noProof/>
          <w:lang w:val="en-IE"/>
        </w:rPr>
        <w:t>escalation of decisions to collective bodies, sustains lengthy deliberative processes</w:t>
      </w:r>
      <w:r w:rsidR="00546574">
        <w:rPr>
          <w:rFonts w:asciiTheme="majorBidi" w:hAnsiTheme="majorBidi" w:cstheme="majorBidi"/>
          <w:noProof/>
          <w:lang w:val="en-IE"/>
        </w:rPr>
        <w:t xml:space="preserve"> are likely to continue, diverting </w:t>
      </w:r>
      <w:r w:rsidRPr="05996519">
        <w:rPr>
          <w:rFonts w:asciiTheme="majorBidi" w:hAnsiTheme="majorBidi" w:cstheme="majorBidi"/>
          <w:noProof/>
          <w:lang w:val="en-IE"/>
        </w:rPr>
        <w:t>N</w:t>
      </w:r>
      <w:r w:rsidR="6960C788" w:rsidRPr="05996519">
        <w:rPr>
          <w:rFonts w:asciiTheme="majorBidi" w:hAnsiTheme="majorBidi" w:cstheme="majorBidi"/>
          <w:noProof/>
          <w:lang w:val="en-IE"/>
        </w:rPr>
        <w:t>M</w:t>
      </w:r>
      <w:r w:rsidRPr="00D4396B">
        <w:rPr>
          <w:rFonts w:asciiTheme="majorBidi" w:hAnsiTheme="majorBidi" w:cstheme="majorBidi"/>
          <w:noProof/>
          <w:lang w:val="en-IE"/>
        </w:rPr>
        <w:t>s’ time from operation</w:t>
      </w:r>
      <w:r w:rsidR="00595CCD">
        <w:rPr>
          <w:rFonts w:asciiTheme="majorBidi" w:hAnsiTheme="majorBidi" w:cstheme="majorBidi"/>
          <w:noProof/>
          <w:lang w:val="en-IE"/>
        </w:rPr>
        <w:t>s</w:t>
      </w:r>
      <w:r w:rsidRPr="00D4396B">
        <w:rPr>
          <w:rFonts w:asciiTheme="majorBidi" w:hAnsiTheme="majorBidi" w:cstheme="majorBidi"/>
          <w:noProof/>
          <w:lang w:val="en-IE"/>
        </w:rPr>
        <w:t>.</w:t>
      </w:r>
    </w:p>
    <w:p w14:paraId="502316D3" w14:textId="2DFE4BFD" w:rsidR="00A63B53" w:rsidRPr="00D4396B" w:rsidRDefault="00F22FFF" w:rsidP="000C3545">
      <w:pPr>
        <w:pStyle w:val="Heading3"/>
        <w:rPr>
          <w:noProof/>
          <w:lang w:val="en-IE"/>
        </w:rPr>
      </w:pPr>
      <w:bookmarkStart w:id="80" w:name="_Toc232176404"/>
      <w:r>
        <w:rPr>
          <w:noProof/>
          <w:lang w:val="en-IE"/>
        </w:rPr>
        <w:t xml:space="preserve">2.3.2. </w:t>
      </w:r>
      <w:r w:rsidR="00A63B53" w:rsidRPr="00D4396B">
        <w:rPr>
          <w:noProof/>
          <w:lang w:val="en-IE"/>
        </w:rPr>
        <w:t>External interaction and cooperation</w:t>
      </w:r>
      <w:bookmarkEnd w:id="80"/>
    </w:p>
    <w:p w14:paraId="17DF2521" w14:textId="76E4A27A" w:rsidR="009B27A5" w:rsidRDefault="00A63B53" w:rsidP="009B27A5">
      <w:pPr>
        <w:spacing w:after="120"/>
        <w:rPr>
          <w:rFonts w:asciiTheme="majorBidi" w:hAnsiTheme="majorBidi" w:cstheme="majorBidi"/>
          <w:noProof/>
          <w:lang w:val="en-IE"/>
        </w:rPr>
      </w:pPr>
      <w:r w:rsidRPr="00D4396B">
        <w:rPr>
          <w:rFonts w:asciiTheme="majorBidi" w:hAnsiTheme="majorBidi" w:cstheme="majorBidi"/>
          <w:noProof/>
          <w:lang w:val="en-IE"/>
        </w:rPr>
        <w:t>The external problems are also likely to persist without external intervention, as they stem from structural and legal factors across the EU justice architecture. While “</w:t>
      </w:r>
      <w:r w:rsidRPr="00D4396B">
        <w:rPr>
          <w:rFonts w:asciiTheme="majorBidi" w:hAnsiTheme="majorBidi" w:cstheme="majorBidi"/>
          <w:b/>
          <w:bCs/>
          <w:noProof/>
          <w:lang w:val="en-IE"/>
        </w:rPr>
        <w:t>hit/no-hit” mechanisms</w:t>
      </w:r>
      <w:r w:rsidRPr="00D4396B">
        <w:rPr>
          <w:rFonts w:asciiTheme="majorBidi" w:hAnsiTheme="majorBidi" w:cstheme="majorBidi"/>
          <w:noProof/>
          <w:lang w:val="en-IE"/>
        </w:rPr>
        <w:t xml:space="preserve"> exist between certain agencies</w:t>
      </w:r>
      <w:r w:rsidR="00157CAE" w:rsidRPr="00D4396B">
        <w:rPr>
          <w:rFonts w:asciiTheme="majorBidi" w:hAnsiTheme="majorBidi" w:cstheme="majorBidi"/>
          <w:noProof/>
          <w:lang w:val="en-IE"/>
        </w:rPr>
        <w:t xml:space="preserve"> </w:t>
      </w:r>
      <w:r w:rsidR="60A75B4B" w:rsidRPr="00D4396B">
        <w:rPr>
          <w:rFonts w:asciiTheme="majorBidi" w:hAnsiTheme="majorBidi" w:cstheme="majorBidi"/>
          <w:noProof/>
          <w:lang w:val="en-IE"/>
        </w:rPr>
        <w:t>and bodies</w:t>
      </w:r>
      <w:r w:rsidRPr="00D4396B">
        <w:rPr>
          <w:rFonts w:asciiTheme="majorBidi" w:hAnsiTheme="majorBidi" w:cstheme="majorBidi"/>
          <w:noProof/>
          <w:lang w:val="en-IE"/>
        </w:rPr>
        <w:t xml:space="preserve">, their effectiveness is constrained by technical, procedural, and </w:t>
      </w:r>
      <w:r w:rsidR="79F087BC" w:rsidRPr="00D4396B">
        <w:rPr>
          <w:rFonts w:asciiTheme="majorBidi" w:hAnsiTheme="majorBidi" w:cstheme="majorBidi"/>
          <w:noProof/>
          <w:lang w:val="en-IE"/>
        </w:rPr>
        <w:t xml:space="preserve">legal </w:t>
      </w:r>
      <w:r w:rsidR="4D1F2AC2" w:rsidRPr="00D4396B">
        <w:rPr>
          <w:rFonts w:asciiTheme="majorBidi" w:hAnsiTheme="majorBidi" w:cstheme="majorBidi"/>
          <w:noProof/>
          <w:lang w:val="en-IE"/>
        </w:rPr>
        <w:t>limitations.</w:t>
      </w:r>
      <w:r w:rsidRPr="00D4396B">
        <w:rPr>
          <w:rFonts w:asciiTheme="majorBidi" w:hAnsiTheme="majorBidi" w:cstheme="majorBidi"/>
          <w:noProof/>
          <w:lang w:val="en-IE"/>
        </w:rPr>
        <w:t xml:space="preserve"> Without significant improvement towards a more automated and interoperable system, administrative burdens will remain high and operational returns can only be improved incrementally.</w:t>
      </w:r>
    </w:p>
    <w:p w14:paraId="50AAF3E7" w14:textId="442AEB19" w:rsidR="00A63B53" w:rsidRPr="00D4396B" w:rsidRDefault="13E09673" w:rsidP="5E05A023">
      <w:pPr>
        <w:spacing w:after="120"/>
        <w:rPr>
          <w:rFonts w:asciiTheme="majorBidi" w:hAnsiTheme="majorBidi" w:cstheme="majorBidi"/>
          <w:noProof/>
          <w:lang w:val="en-IE"/>
        </w:rPr>
      </w:pPr>
      <w:r w:rsidRPr="00D4396B">
        <w:rPr>
          <w:rFonts w:asciiTheme="majorBidi" w:hAnsiTheme="majorBidi" w:cstheme="majorBidi"/>
          <w:b/>
          <w:bCs/>
          <w:noProof/>
          <w:lang w:val="en-IE"/>
        </w:rPr>
        <w:t>Constraints on data-sharing with</w:t>
      </w:r>
      <w:r w:rsidR="00F3489D">
        <w:rPr>
          <w:rFonts w:asciiTheme="majorBidi" w:hAnsiTheme="majorBidi" w:cstheme="majorBidi"/>
          <w:b/>
          <w:bCs/>
          <w:noProof/>
          <w:lang w:val="en-IE"/>
        </w:rPr>
        <w:t xml:space="preserve"> international</w:t>
      </w:r>
      <w:r w:rsidRPr="00D4396B">
        <w:rPr>
          <w:rFonts w:asciiTheme="majorBidi" w:hAnsiTheme="majorBidi" w:cstheme="majorBidi"/>
          <w:b/>
          <w:bCs/>
          <w:noProof/>
          <w:lang w:val="en-IE"/>
        </w:rPr>
        <w:t xml:space="preserve"> partners</w:t>
      </w:r>
      <w:r w:rsidRPr="00D4396B" w:rsidDel="00F300DB">
        <w:rPr>
          <w:rFonts w:asciiTheme="majorBidi" w:hAnsiTheme="majorBidi" w:cstheme="majorBidi"/>
          <w:b/>
          <w:bCs/>
          <w:noProof/>
          <w:lang w:val="en-IE"/>
        </w:rPr>
        <w:t xml:space="preserve"> </w:t>
      </w:r>
      <w:r w:rsidR="00982D97">
        <w:rPr>
          <w:rFonts w:asciiTheme="majorBidi" w:hAnsiTheme="majorBidi" w:cstheme="majorBidi"/>
          <w:b/>
          <w:bCs/>
          <w:noProof/>
          <w:lang w:val="en-IE"/>
        </w:rPr>
        <w:t xml:space="preserve">and associated delays in </w:t>
      </w:r>
      <w:r w:rsidR="000615B7">
        <w:rPr>
          <w:rFonts w:asciiTheme="majorBidi" w:hAnsiTheme="majorBidi" w:cstheme="majorBidi"/>
          <w:b/>
          <w:bCs/>
          <w:noProof/>
          <w:lang w:val="en-IE"/>
        </w:rPr>
        <w:t xml:space="preserve">cases </w:t>
      </w:r>
      <w:r w:rsidRPr="00D4396B">
        <w:rPr>
          <w:rFonts w:asciiTheme="majorBidi" w:hAnsiTheme="majorBidi" w:cstheme="majorBidi"/>
          <w:b/>
          <w:bCs/>
          <w:noProof/>
          <w:lang w:val="en-IE"/>
        </w:rPr>
        <w:t>will likely also persist in the absence of external intervention</w:t>
      </w:r>
      <w:r w:rsidRPr="00D4396B">
        <w:rPr>
          <w:rFonts w:asciiTheme="majorBidi" w:hAnsiTheme="majorBidi" w:cstheme="majorBidi"/>
          <w:noProof/>
          <w:lang w:val="en-IE"/>
        </w:rPr>
        <w:t>.</w:t>
      </w:r>
      <w:r w:rsidR="00F300DB">
        <w:rPr>
          <w:rFonts w:asciiTheme="majorBidi" w:hAnsiTheme="majorBidi" w:cstheme="majorBidi"/>
          <w:noProof/>
          <w:lang w:val="en-IE"/>
        </w:rPr>
        <w:t xml:space="preserve"> These are expected to be addressed in the context of the revised EUDPR. Where necessary, the Commission, together with Eurojust and the European Data Protection Service (EDPS)</w:t>
      </w:r>
      <w:r w:rsidR="001A26B0">
        <w:rPr>
          <w:rFonts w:asciiTheme="majorBidi" w:hAnsiTheme="majorBidi" w:cstheme="majorBidi"/>
          <w:noProof/>
          <w:lang w:val="en-IE"/>
        </w:rPr>
        <w:t>, may develop explanatory guidance to clarify the application of the new provisions.</w:t>
      </w:r>
      <w:r w:rsidRPr="00D4396B">
        <w:rPr>
          <w:rFonts w:asciiTheme="majorBidi" w:hAnsiTheme="majorBidi" w:cstheme="majorBidi"/>
          <w:noProof/>
          <w:lang w:val="en-IE"/>
        </w:rPr>
        <w:t xml:space="preserve"> </w:t>
      </w:r>
    </w:p>
    <w:p w14:paraId="786B8287" w14:textId="3699E6DD" w:rsidR="002B0C43" w:rsidRDefault="29035AA1" w:rsidP="7E8FC249">
      <w:pPr>
        <w:spacing w:after="120"/>
        <w:rPr>
          <w:rFonts w:asciiTheme="majorBidi" w:hAnsiTheme="majorBidi" w:cstheme="majorBidi"/>
          <w:noProof/>
          <w:lang w:val="en-IE"/>
        </w:rPr>
      </w:pPr>
      <w:r w:rsidRPr="7E8FC249">
        <w:rPr>
          <w:rFonts w:asciiTheme="majorBidi" w:hAnsiTheme="majorBidi" w:cstheme="majorBidi"/>
          <w:b/>
          <w:bCs/>
          <w:noProof/>
          <w:lang w:val="en-IE"/>
        </w:rPr>
        <w:t>The current c</w:t>
      </w:r>
      <w:r w:rsidR="00A63B53" w:rsidRPr="7E8FC249">
        <w:rPr>
          <w:rFonts w:asciiTheme="majorBidi" w:hAnsiTheme="majorBidi" w:cstheme="majorBidi"/>
          <w:b/>
          <w:bCs/>
          <w:noProof/>
          <w:lang w:val="en-IE"/>
        </w:rPr>
        <w:t xml:space="preserve">ooperation with Eurojust’s closest JHA partners – particularly Europol and the EPPO – will also continue to </w:t>
      </w:r>
      <w:r w:rsidR="3F17F325" w:rsidRPr="7E8FC249">
        <w:rPr>
          <w:rFonts w:asciiTheme="majorBidi" w:hAnsiTheme="majorBidi" w:cstheme="majorBidi"/>
          <w:b/>
          <w:bCs/>
          <w:noProof/>
          <w:lang w:val="en-IE"/>
        </w:rPr>
        <w:t xml:space="preserve">be </w:t>
      </w:r>
      <w:r w:rsidR="3A9E9C11" w:rsidRPr="7E8FC249">
        <w:rPr>
          <w:rFonts w:asciiTheme="majorBidi" w:hAnsiTheme="majorBidi" w:cstheme="majorBidi"/>
          <w:b/>
          <w:bCs/>
          <w:noProof/>
          <w:lang w:val="en-IE"/>
        </w:rPr>
        <w:t>underused</w:t>
      </w:r>
      <w:r w:rsidR="3F17F325" w:rsidRPr="7E8FC249">
        <w:rPr>
          <w:rFonts w:asciiTheme="majorBidi" w:hAnsiTheme="majorBidi" w:cstheme="majorBidi"/>
          <w:b/>
          <w:bCs/>
          <w:noProof/>
          <w:lang w:val="en-IE"/>
        </w:rPr>
        <w:t xml:space="preserve"> </w:t>
      </w:r>
      <w:r w:rsidR="00A63B53" w:rsidRPr="7E8FC249">
        <w:rPr>
          <w:rFonts w:asciiTheme="majorBidi" w:hAnsiTheme="majorBidi" w:cstheme="majorBidi"/>
          <w:b/>
          <w:bCs/>
          <w:noProof/>
          <w:lang w:val="en-IE"/>
        </w:rPr>
        <w:t>without external intervention.</w:t>
      </w:r>
      <w:r w:rsidR="00A63B53" w:rsidRPr="7E8FC249">
        <w:rPr>
          <w:rFonts w:asciiTheme="majorBidi" w:hAnsiTheme="majorBidi" w:cstheme="majorBidi"/>
          <w:noProof/>
          <w:lang w:val="en-IE"/>
        </w:rPr>
        <w:t xml:space="preserve"> Cooperation with Europol is unlikely to improve fundamentally without mutually binding obligations to </w:t>
      </w:r>
      <w:r w:rsidR="06AA1BAB" w:rsidRPr="7E8FC249">
        <w:rPr>
          <w:rFonts w:asciiTheme="majorBidi" w:hAnsiTheme="majorBidi" w:cstheme="majorBidi"/>
          <w:noProof/>
          <w:lang w:val="en-IE"/>
        </w:rPr>
        <w:t xml:space="preserve">better </w:t>
      </w:r>
      <w:r w:rsidR="00A63B53" w:rsidRPr="7E8FC249">
        <w:rPr>
          <w:rFonts w:asciiTheme="majorBidi" w:hAnsiTheme="majorBidi" w:cstheme="majorBidi"/>
          <w:noProof/>
          <w:lang w:val="en-IE"/>
        </w:rPr>
        <w:t xml:space="preserve">share information or otherwise cooperate, </w:t>
      </w:r>
      <w:r w:rsidR="74FB25D9" w:rsidRPr="7E8FC249">
        <w:rPr>
          <w:rFonts w:asciiTheme="majorBidi" w:hAnsiTheme="majorBidi" w:cstheme="majorBidi"/>
          <w:noProof/>
          <w:lang w:val="en-IE"/>
        </w:rPr>
        <w:t>and</w:t>
      </w:r>
      <w:r w:rsidR="00A63B53" w:rsidRPr="7E8FC249">
        <w:rPr>
          <w:rFonts w:asciiTheme="majorBidi" w:hAnsiTheme="majorBidi" w:cstheme="majorBidi"/>
          <w:noProof/>
          <w:lang w:val="en-IE"/>
        </w:rPr>
        <w:t xml:space="preserve"> without a revised and modernised working arrangement. Eurojust’s </w:t>
      </w:r>
      <w:r w:rsidR="00067261" w:rsidRPr="7E8FC249">
        <w:rPr>
          <w:rFonts w:asciiTheme="majorBidi" w:hAnsiTheme="majorBidi" w:cstheme="majorBidi"/>
          <w:noProof/>
          <w:lang w:val="en-IE"/>
        </w:rPr>
        <w:t xml:space="preserve">planned actions </w:t>
      </w:r>
      <w:r w:rsidR="007C4A9B" w:rsidRPr="7E8FC249">
        <w:rPr>
          <w:rFonts w:asciiTheme="majorBidi" w:hAnsiTheme="majorBidi" w:cstheme="majorBidi"/>
          <w:noProof/>
          <w:lang w:val="en-IE"/>
        </w:rPr>
        <w:t>e.g. to</w:t>
      </w:r>
      <w:r w:rsidR="00A63B53" w:rsidRPr="7E8FC249">
        <w:rPr>
          <w:rFonts w:asciiTheme="majorBidi" w:hAnsiTheme="majorBidi" w:cstheme="majorBidi"/>
          <w:noProof/>
          <w:lang w:val="en-IE"/>
        </w:rPr>
        <w:t xml:space="preserve"> e</w:t>
      </w:r>
      <w:r w:rsidR="00A63B53" w:rsidRPr="7E8FC249">
        <w:rPr>
          <w:rFonts w:asciiTheme="majorBidi" w:hAnsiTheme="majorBidi" w:cstheme="majorBidi"/>
          <w:noProof/>
        </w:rPr>
        <w:t>stablish a single point of contact at Eurojust for all non-case related information coming from Europol, and</w:t>
      </w:r>
      <w:r w:rsidR="007C4A9B" w:rsidRPr="7E8FC249">
        <w:rPr>
          <w:rFonts w:asciiTheme="majorBidi" w:hAnsiTheme="majorBidi" w:cstheme="majorBidi"/>
          <w:noProof/>
        </w:rPr>
        <w:t xml:space="preserve"> to</w:t>
      </w:r>
      <w:r w:rsidR="00A63B53" w:rsidRPr="7E8FC249">
        <w:rPr>
          <w:rFonts w:asciiTheme="majorBidi" w:hAnsiTheme="majorBidi" w:cstheme="majorBidi"/>
          <w:noProof/>
        </w:rPr>
        <w:t xml:space="preserve"> enhanc</w:t>
      </w:r>
      <w:r w:rsidR="007C4A9B" w:rsidRPr="7E8FC249">
        <w:rPr>
          <w:rFonts w:asciiTheme="majorBidi" w:hAnsiTheme="majorBidi" w:cstheme="majorBidi"/>
          <w:noProof/>
        </w:rPr>
        <w:t>e</w:t>
      </w:r>
      <w:r w:rsidR="00A63B53" w:rsidRPr="7E8FC249">
        <w:rPr>
          <w:rFonts w:asciiTheme="majorBidi" w:hAnsiTheme="majorBidi" w:cstheme="majorBidi"/>
          <w:noProof/>
        </w:rPr>
        <w:t xml:space="preserve"> joint initiatives such as the Joint Operational Platform</w:t>
      </w:r>
      <w:r w:rsidR="277FFAA1" w:rsidRPr="7E8FC249">
        <w:rPr>
          <w:rFonts w:asciiTheme="majorBidi" w:hAnsiTheme="majorBidi" w:cstheme="majorBidi"/>
          <w:noProof/>
        </w:rPr>
        <w:t xml:space="preserve"> (JOP)</w:t>
      </w:r>
      <w:r w:rsidR="00A63B53" w:rsidRPr="7E8FC249">
        <w:rPr>
          <w:rFonts w:asciiTheme="majorBidi" w:hAnsiTheme="majorBidi" w:cstheme="majorBidi"/>
          <w:noProof/>
        </w:rPr>
        <w:t>,</w:t>
      </w:r>
      <w:r w:rsidR="007C4A9B" w:rsidRPr="7E8FC249">
        <w:rPr>
          <w:rFonts w:asciiTheme="majorBidi" w:hAnsiTheme="majorBidi" w:cstheme="majorBidi"/>
          <w:noProof/>
        </w:rPr>
        <w:t xml:space="preserve"> should improve</w:t>
      </w:r>
      <w:r w:rsidR="00A63B53" w:rsidRPr="7E8FC249">
        <w:rPr>
          <w:rFonts w:asciiTheme="majorBidi" w:hAnsiTheme="majorBidi" w:cstheme="majorBidi"/>
          <w:noProof/>
        </w:rPr>
        <w:t xml:space="preserve"> cooperation. However, they are unlikely to bring about a true law enforcement-judicial continuum at EU-level as foreseen in the Treaties. </w:t>
      </w:r>
      <w:r w:rsidR="00A63B53" w:rsidRPr="7E8FC249">
        <w:rPr>
          <w:rFonts w:asciiTheme="majorBidi" w:hAnsiTheme="majorBidi" w:cstheme="majorBidi"/>
          <w:noProof/>
          <w:lang w:val="en-IE"/>
        </w:rPr>
        <w:t xml:space="preserve">In the absence of clearer institutionalised operational sequencing, intelligence products may continue to feed into judicial coordination </w:t>
      </w:r>
      <w:r w:rsidR="0051209E">
        <w:rPr>
          <w:rFonts w:asciiTheme="majorBidi" w:hAnsiTheme="majorBidi" w:cstheme="majorBidi"/>
          <w:noProof/>
          <w:lang w:val="en-IE"/>
        </w:rPr>
        <w:t>only</w:t>
      </w:r>
      <w:r w:rsidR="00A63B53" w:rsidRPr="7E8FC249">
        <w:rPr>
          <w:rFonts w:asciiTheme="majorBidi" w:hAnsiTheme="majorBidi" w:cstheme="majorBidi"/>
          <w:noProof/>
          <w:lang w:val="en-IE"/>
        </w:rPr>
        <w:t xml:space="preserve"> at a late stage.</w:t>
      </w:r>
    </w:p>
    <w:p w14:paraId="5FDFE814" w14:textId="660F98CB" w:rsidR="00A63B53" w:rsidRPr="00D4396B" w:rsidRDefault="00A63B53" w:rsidP="002B0C43">
      <w:pPr>
        <w:spacing w:after="120"/>
        <w:rPr>
          <w:rFonts w:asciiTheme="majorBidi" w:hAnsiTheme="majorBidi" w:cstheme="majorBidi"/>
          <w:noProof/>
        </w:rPr>
      </w:pPr>
      <w:r w:rsidRPr="00D4396B">
        <w:rPr>
          <w:rFonts w:asciiTheme="majorBidi" w:hAnsiTheme="majorBidi" w:cstheme="majorBidi"/>
          <w:noProof/>
        </w:rPr>
        <w:t>Likewise, cooperation with the EPPO is challenging due</w:t>
      </w:r>
      <w:r w:rsidR="006F0399">
        <w:rPr>
          <w:rFonts w:asciiTheme="majorBidi" w:hAnsiTheme="majorBidi" w:cstheme="majorBidi"/>
          <w:noProof/>
        </w:rPr>
        <w:t>s</w:t>
      </w:r>
      <w:r w:rsidRPr="00D4396B">
        <w:rPr>
          <w:rFonts w:asciiTheme="majorBidi" w:hAnsiTheme="majorBidi" w:cstheme="majorBidi"/>
          <w:noProof/>
        </w:rPr>
        <w:t xml:space="preserve"> to </w:t>
      </w:r>
      <w:r w:rsidR="00DF75BC">
        <w:rPr>
          <w:rFonts w:asciiTheme="majorBidi" w:hAnsiTheme="majorBidi" w:cstheme="majorBidi"/>
          <w:noProof/>
        </w:rPr>
        <w:t xml:space="preserve">the high confidentiality of the information it processes for </w:t>
      </w:r>
      <w:r w:rsidR="004A6DFA">
        <w:rPr>
          <w:rFonts w:asciiTheme="majorBidi" w:hAnsiTheme="majorBidi" w:cstheme="majorBidi"/>
          <w:noProof/>
        </w:rPr>
        <w:t xml:space="preserve">the </w:t>
      </w:r>
      <w:r w:rsidR="00485E21">
        <w:rPr>
          <w:rFonts w:asciiTheme="majorBidi" w:hAnsiTheme="majorBidi" w:cstheme="majorBidi"/>
          <w:noProof/>
        </w:rPr>
        <w:t>purpose</w:t>
      </w:r>
      <w:r w:rsidR="004A6DFA">
        <w:rPr>
          <w:rFonts w:asciiTheme="majorBidi" w:hAnsiTheme="majorBidi" w:cstheme="majorBidi"/>
          <w:noProof/>
        </w:rPr>
        <w:t xml:space="preserve"> of investigation and prosecution</w:t>
      </w:r>
      <w:r w:rsidR="00A6282F">
        <w:rPr>
          <w:rFonts w:asciiTheme="majorBidi" w:hAnsiTheme="majorBidi" w:cstheme="majorBidi"/>
          <w:noProof/>
        </w:rPr>
        <w:t>, which</w:t>
      </w:r>
      <w:r w:rsidRPr="00D4396B">
        <w:rPr>
          <w:rFonts w:asciiTheme="majorBidi" w:hAnsiTheme="majorBidi" w:cstheme="majorBidi"/>
          <w:noProof/>
        </w:rPr>
        <w:t xml:space="preserve"> may restrict flexible information exchange and operational collaboration with Eurojust.  </w:t>
      </w:r>
      <w:r w:rsidRPr="00D4396B">
        <w:rPr>
          <w:rFonts w:asciiTheme="majorBidi" w:hAnsiTheme="majorBidi" w:cstheme="majorBidi"/>
          <w:noProof/>
          <w:lang w:val="en-IE"/>
        </w:rPr>
        <w:t xml:space="preserve">The structural constraints facing </w:t>
      </w:r>
      <w:r w:rsidRPr="00D4396B">
        <w:rPr>
          <w:rFonts w:asciiTheme="majorBidi" w:eastAsia="Times New Roman" w:hAnsiTheme="majorBidi" w:cstheme="majorBidi"/>
          <w:b/>
          <w:bCs/>
          <w:noProof/>
          <w:lang w:val="en-IE"/>
        </w:rPr>
        <w:t>Eurojust</w:t>
      </w:r>
      <w:r w:rsidRPr="00D4396B">
        <w:rPr>
          <w:rFonts w:asciiTheme="majorBidi" w:hAnsiTheme="majorBidi" w:cstheme="majorBidi"/>
          <w:b/>
          <w:bCs/>
          <w:noProof/>
          <w:lang w:val="en-IE"/>
        </w:rPr>
        <w:t xml:space="preserve"> and its cooperation with other actors</w:t>
      </w:r>
      <w:r w:rsidR="00645E23">
        <w:rPr>
          <w:rFonts w:asciiTheme="majorBidi" w:hAnsiTheme="majorBidi" w:cstheme="majorBidi"/>
          <w:b/>
          <w:bCs/>
          <w:noProof/>
          <w:lang w:val="en-IE"/>
        </w:rPr>
        <w:t>, including</w:t>
      </w:r>
      <w:r w:rsidRPr="00D4396B">
        <w:rPr>
          <w:rFonts w:asciiTheme="majorBidi" w:hAnsiTheme="majorBidi" w:cstheme="majorBidi"/>
          <w:b/>
          <w:bCs/>
          <w:noProof/>
          <w:lang w:val="en-IE"/>
        </w:rPr>
        <w:t xml:space="preserve"> in the JHA domain </w:t>
      </w:r>
      <w:r w:rsidR="008866A9" w:rsidRPr="00D4396B">
        <w:rPr>
          <w:rFonts w:asciiTheme="majorBidi" w:hAnsiTheme="majorBidi" w:cstheme="majorBidi"/>
          <w:b/>
          <w:bCs/>
          <w:noProof/>
          <w:lang w:val="en-IE"/>
        </w:rPr>
        <w:t>have al</w:t>
      </w:r>
      <w:r w:rsidR="7508570A" w:rsidRPr="00D4396B">
        <w:rPr>
          <w:rFonts w:asciiTheme="majorBidi" w:hAnsiTheme="majorBidi" w:cstheme="majorBidi"/>
          <w:b/>
          <w:bCs/>
          <w:noProof/>
          <w:lang w:val="en-IE"/>
        </w:rPr>
        <w:t>so</w:t>
      </w:r>
      <w:r w:rsidR="008866A9" w:rsidRPr="00D4396B">
        <w:rPr>
          <w:rFonts w:asciiTheme="majorBidi" w:hAnsiTheme="majorBidi" w:cstheme="majorBidi"/>
          <w:b/>
          <w:bCs/>
          <w:noProof/>
          <w:lang w:val="en-IE"/>
        </w:rPr>
        <w:t xml:space="preserve"> emerged in the </w:t>
      </w:r>
      <w:r w:rsidR="004D6832">
        <w:rPr>
          <w:rFonts w:asciiTheme="majorBidi" w:hAnsiTheme="majorBidi" w:cstheme="majorBidi"/>
          <w:b/>
          <w:bCs/>
          <w:noProof/>
          <w:lang w:val="en-IE"/>
        </w:rPr>
        <w:t>parallel</w:t>
      </w:r>
      <w:r w:rsidR="004D6832" w:rsidRPr="00D4396B">
        <w:rPr>
          <w:rFonts w:asciiTheme="majorBidi" w:hAnsiTheme="majorBidi" w:cstheme="majorBidi"/>
          <w:b/>
          <w:bCs/>
          <w:noProof/>
          <w:lang w:val="en-IE"/>
        </w:rPr>
        <w:t xml:space="preserve"> </w:t>
      </w:r>
      <w:r w:rsidR="009F6D11" w:rsidRPr="00D4396B">
        <w:rPr>
          <w:rFonts w:asciiTheme="majorBidi" w:hAnsiTheme="majorBidi" w:cstheme="majorBidi"/>
          <w:b/>
          <w:bCs/>
          <w:noProof/>
          <w:lang w:val="en-IE"/>
        </w:rPr>
        <w:t xml:space="preserve">review of the EU’s </w:t>
      </w:r>
      <w:r w:rsidR="00C12019">
        <w:rPr>
          <w:rFonts w:asciiTheme="majorBidi" w:hAnsiTheme="majorBidi" w:cstheme="majorBidi"/>
          <w:b/>
          <w:bCs/>
          <w:noProof/>
          <w:lang w:val="en-IE"/>
        </w:rPr>
        <w:t>anti-fraud architecture (</w:t>
      </w:r>
      <w:r w:rsidRPr="00D4396B">
        <w:rPr>
          <w:rFonts w:asciiTheme="majorBidi" w:eastAsia="Times New Roman" w:hAnsiTheme="majorBidi" w:cstheme="majorBidi"/>
          <w:b/>
          <w:bCs/>
          <w:noProof/>
          <w:lang w:val="en-IE"/>
        </w:rPr>
        <w:t>AFA</w:t>
      </w:r>
      <w:r w:rsidR="00C12019">
        <w:rPr>
          <w:rFonts w:asciiTheme="majorBidi" w:eastAsia="Times New Roman" w:hAnsiTheme="majorBidi" w:cstheme="majorBidi"/>
          <w:b/>
          <w:bCs/>
          <w:noProof/>
          <w:lang w:val="en-IE"/>
        </w:rPr>
        <w:t>)</w:t>
      </w:r>
      <w:r w:rsidRPr="00D4396B">
        <w:rPr>
          <w:rFonts w:asciiTheme="majorBidi" w:hAnsiTheme="majorBidi" w:cstheme="majorBidi"/>
          <w:noProof/>
          <w:lang w:val="en-IE"/>
        </w:rPr>
        <w:t xml:space="preserve">. Without legislative fixes to streamline inter-agency collaboration and enhance data sharing, the </w:t>
      </w:r>
      <w:r w:rsidRPr="00D4396B">
        <w:rPr>
          <w:rFonts w:asciiTheme="majorBidi" w:eastAsia="Times New Roman" w:hAnsiTheme="majorBidi" w:cstheme="majorBidi"/>
          <w:noProof/>
          <w:lang w:val="en-IE"/>
        </w:rPr>
        <w:t>AFA</w:t>
      </w:r>
      <w:r w:rsidR="009F6D11" w:rsidRPr="00D4396B">
        <w:rPr>
          <w:rFonts w:asciiTheme="majorBidi" w:eastAsia="Times New Roman" w:hAnsiTheme="majorBidi" w:cstheme="majorBidi"/>
          <w:noProof/>
          <w:lang w:val="en-IE"/>
        </w:rPr>
        <w:t xml:space="preserve"> review</w:t>
      </w:r>
      <w:r w:rsidRPr="00D4396B">
        <w:rPr>
          <w:rFonts w:asciiTheme="majorBidi" w:eastAsia="Times New Roman" w:hAnsiTheme="majorBidi" w:cstheme="majorBidi"/>
          <w:noProof/>
          <w:lang w:val="en-IE"/>
        </w:rPr>
        <w:t>’s</w:t>
      </w:r>
      <w:r w:rsidRPr="00D4396B">
        <w:rPr>
          <w:rFonts w:asciiTheme="majorBidi" w:hAnsiTheme="majorBidi" w:cstheme="majorBidi"/>
          <w:noProof/>
          <w:lang w:val="en-IE"/>
        </w:rPr>
        <w:t xml:space="preserve"> goal of strengthening </w:t>
      </w:r>
      <w:r w:rsidR="004566D2">
        <w:rPr>
          <w:rFonts w:asciiTheme="majorBidi" w:hAnsiTheme="majorBidi" w:cstheme="majorBidi"/>
          <w:noProof/>
          <w:lang w:val="en-IE"/>
        </w:rPr>
        <w:t xml:space="preserve">the fight against </w:t>
      </w:r>
      <w:r w:rsidRPr="00D4396B">
        <w:rPr>
          <w:rFonts w:asciiTheme="majorBidi" w:hAnsiTheme="majorBidi" w:cstheme="majorBidi"/>
          <w:noProof/>
          <w:lang w:val="en-IE"/>
        </w:rPr>
        <w:t>cross-border fraud risks being undermined by persisting gaps.</w:t>
      </w:r>
    </w:p>
    <w:p w14:paraId="2BD72B72" w14:textId="0E250112" w:rsidR="00542849" w:rsidRDefault="00A63B53" w:rsidP="7E8FC249">
      <w:pPr>
        <w:widowControl w:val="0"/>
        <w:adjustRightInd w:val="0"/>
        <w:spacing w:after="120"/>
        <w:textAlignment w:val="baseline"/>
        <w:rPr>
          <w:rFonts w:asciiTheme="majorBidi" w:hAnsiTheme="majorBidi" w:cstheme="majorBidi"/>
          <w:noProof/>
        </w:rPr>
      </w:pPr>
      <w:r w:rsidRPr="7E8FC249">
        <w:rPr>
          <w:rFonts w:asciiTheme="majorBidi" w:hAnsiTheme="majorBidi" w:cstheme="majorBidi"/>
          <w:b/>
          <w:bCs/>
          <w:noProof/>
          <w:lang w:val="en-IE"/>
        </w:rPr>
        <w:t>On the international dimension</w:t>
      </w:r>
      <w:r w:rsidRPr="7E8FC249">
        <w:rPr>
          <w:rFonts w:asciiTheme="majorBidi" w:hAnsiTheme="majorBidi" w:cstheme="majorBidi"/>
          <w:noProof/>
          <w:lang w:val="en-IE"/>
        </w:rPr>
        <w:t xml:space="preserve">, Eurojust proposes to introduce a </w:t>
      </w:r>
      <w:r w:rsidRPr="7E8FC249">
        <w:rPr>
          <w:rFonts w:asciiTheme="majorBidi" w:hAnsiTheme="majorBidi" w:cstheme="majorBidi"/>
          <w:noProof/>
        </w:rPr>
        <w:t xml:space="preserve">monitoring tool for the implementation of the Eurojust strategy on cooperation with international partners, and to investigate </w:t>
      </w:r>
      <w:r w:rsidR="00191A37" w:rsidRPr="7E8FC249">
        <w:rPr>
          <w:rFonts w:asciiTheme="majorBidi" w:hAnsiTheme="majorBidi" w:cstheme="majorBidi"/>
          <w:noProof/>
        </w:rPr>
        <w:t>further</w:t>
      </w:r>
      <w:r w:rsidRPr="7E8FC249">
        <w:rPr>
          <w:rFonts w:asciiTheme="majorBidi" w:hAnsiTheme="majorBidi" w:cstheme="majorBidi"/>
          <w:noProof/>
        </w:rPr>
        <w:t xml:space="preserve"> </w:t>
      </w:r>
      <w:r w:rsidR="27F96D48" w:rsidRPr="291EF9C3">
        <w:rPr>
          <w:rFonts w:asciiTheme="majorBidi" w:hAnsiTheme="majorBidi" w:cstheme="majorBidi"/>
          <w:noProof/>
        </w:rPr>
        <w:t xml:space="preserve">any need to </w:t>
      </w:r>
      <w:r w:rsidR="00191A37" w:rsidRPr="7E8FC249">
        <w:rPr>
          <w:rFonts w:asciiTheme="majorBidi" w:hAnsiTheme="majorBidi" w:cstheme="majorBidi"/>
          <w:noProof/>
        </w:rPr>
        <w:t xml:space="preserve">use </w:t>
      </w:r>
      <w:r w:rsidRPr="7E8FC249">
        <w:rPr>
          <w:rFonts w:asciiTheme="majorBidi" w:hAnsiTheme="majorBidi" w:cstheme="majorBidi"/>
          <w:noProof/>
        </w:rPr>
        <w:t>L</w:t>
      </w:r>
      <w:r w:rsidR="530D007C" w:rsidRPr="7E8FC249">
        <w:rPr>
          <w:rFonts w:asciiTheme="majorBidi" w:hAnsiTheme="majorBidi" w:cstheme="majorBidi"/>
          <w:noProof/>
        </w:rPr>
        <w:t>M</w:t>
      </w:r>
      <w:r w:rsidRPr="7E8FC249">
        <w:rPr>
          <w:rFonts w:asciiTheme="majorBidi" w:hAnsiTheme="majorBidi" w:cstheme="majorBidi"/>
          <w:noProof/>
        </w:rPr>
        <w:t xml:space="preserve">s. </w:t>
      </w:r>
      <w:r w:rsidR="00801A98">
        <w:rPr>
          <w:rFonts w:asciiTheme="majorBidi" w:hAnsiTheme="majorBidi" w:cstheme="majorBidi"/>
          <w:noProof/>
        </w:rPr>
        <w:t xml:space="preserve">While useful for </w:t>
      </w:r>
      <w:r w:rsidR="00F9390A">
        <w:rPr>
          <w:rFonts w:asciiTheme="majorBidi" w:hAnsiTheme="majorBidi" w:cstheme="majorBidi"/>
          <w:noProof/>
        </w:rPr>
        <w:t xml:space="preserve">performance evaluation purposes, this </w:t>
      </w:r>
      <w:r w:rsidR="002F6759">
        <w:rPr>
          <w:rFonts w:asciiTheme="majorBidi" w:hAnsiTheme="majorBidi" w:cstheme="majorBidi"/>
          <w:noProof/>
        </w:rPr>
        <w:t>alone</w:t>
      </w:r>
      <w:r w:rsidR="00F9390A">
        <w:rPr>
          <w:rFonts w:asciiTheme="majorBidi" w:hAnsiTheme="majorBidi" w:cstheme="majorBidi"/>
          <w:noProof/>
        </w:rPr>
        <w:t xml:space="preserve"> does not address </w:t>
      </w:r>
      <w:r w:rsidR="00A2199D">
        <w:rPr>
          <w:rFonts w:asciiTheme="majorBidi" w:hAnsiTheme="majorBidi" w:cstheme="majorBidi"/>
          <w:noProof/>
        </w:rPr>
        <w:t>cooper</w:t>
      </w:r>
      <w:r w:rsidR="008B3887">
        <w:rPr>
          <w:rFonts w:asciiTheme="majorBidi" w:hAnsiTheme="majorBidi" w:cstheme="majorBidi"/>
          <w:noProof/>
        </w:rPr>
        <w:t>ation gaps.</w:t>
      </w:r>
      <w:r w:rsidR="00A2199D">
        <w:rPr>
          <w:rFonts w:asciiTheme="majorBidi" w:hAnsiTheme="majorBidi" w:cstheme="majorBidi"/>
          <w:noProof/>
        </w:rPr>
        <w:t xml:space="preserve"> </w:t>
      </w:r>
      <w:r w:rsidR="004D133D">
        <w:rPr>
          <w:rFonts w:asciiTheme="majorBidi" w:hAnsiTheme="majorBidi" w:cstheme="majorBidi"/>
          <w:noProof/>
        </w:rPr>
        <w:t xml:space="preserve">New international agreements </w:t>
      </w:r>
      <w:r w:rsidR="00486B60">
        <w:rPr>
          <w:rFonts w:asciiTheme="majorBidi" w:hAnsiTheme="majorBidi" w:cstheme="majorBidi"/>
          <w:noProof/>
        </w:rPr>
        <w:t>will be concluded, but always at a slow pace.</w:t>
      </w:r>
    </w:p>
    <w:p w14:paraId="17A23530" w14:textId="46AAE629" w:rsidR="00A63B53" w:rsidRPr="00D4396B" w:rsidRDefault="0092673A" w:rsidP="00781830">
      <w:pPr>
        <w:pStyle w:val="Heading1"/>
        <w:rPr>
          <w:noProof/>
        </w:rPr>
      </w:pPr>
      <w:bookmarkStart w:id="81" w:name="_Toc369703952"/>
      <w:bookmarkStart w:id="82" w:name="_Toc216564274"/>
      <w:bookmarkStart w:id="83" w:name="_Toc221260313"/>
      <w:bookmarkStart w:id="84" w:name="_Toc224109560"/>
      <w:bookmarkStart w:id="85" w:name="_Toc232176405"/>
      <w:r w:rsidRPr="00D4396B">
        <w:rPr>
          <w:noProof/>
        </w:rPr>
        <w:t>3.</w:t>
      </w:r>
      <w:r w:rsidRPr="00D4396B">
        <w:rPr>
          <w:noProof/>
        </w:rPr>
        <w:tab/>
      </w:r>
      <w:r w:rsidR="00A63B53" w:rsidRPr="00D4396B">
        <w:rPr>
          <w:noProof/>
        </w:rPr>
        <w:t xml:space="preserve">Why should the EU </w:t>
      </w:r>
      <w:r w:rsidR="00A63B53" w:rsidRPr="005E5DA3">
        <w:rPr>
          <w:noProof/>
        </w:rPr>
        <w:t>act?</w:t>
      </w:r>
      <w:bookmarkEnd w:id="81"/>
      <w:bookmarkEnd w:id="82"/>
      <w:bookmarkEnd w:id="83"/>
      <w:bookmarkEnd w:id="84"/>
      <w:bookmarkEnd w:id="85"/>
    </w:p>
    <w:p w14:paraId="44DF2B88" w14:textId="7687662D" w:rsidR="00A63B53" w:rsidRPr="00D4396B" w:rsidRDefault="0092673A" w:rsidP="000C3545">
      <w:pPr>
        <w:pStyle w:val="Heading2"/>
        <w:rPr>
          <w:noProof/>
        </w:rPr>
      </w:pPr>
      <w:bookmarkStart w:id="86" w:name="_Toc2135306691"/>
      <w:bookmarkStart w:id="87" w:name="_Toc1378888299"/>
      <w:bookmarkStart w:id="88" w:name="_Toc1970682753"/>
      <w:bookmarkStart w:id="89" w:name="_Toc1852739861"/>
      <w:bookmarkStart w:id="90" w:name="_Toc446062796"/>
      <w:bookmarkStart w:id="91" w:name="_Toc224109561"/>
      <w:bookmarkStart w:id="92" w:name="_Toc232176406"/>
      <w:r w:rsidRPr="00D4396B">
        <w:rPr>
          <w:noProof/>
        </w:rPr>
        <w:t>3.1.</w:t>
      </w:r>
      <w:r w:rsidRPr="00D4396B">
        <w:rPr>
          <w:noProof/>
        </w:rPr>
        <w:tab/>
      </w:r>
      <w:r w:rsidR="00A63B53" w:rsidRPr="00765DAA">
        <w:rPr>
          <w:noProof/>
        </w:rPr>
        <w:t>Legal</w:t>
      </w:r>
      <w:r w:rsidR="00A63B53" w:rsidRPr="00D4396B">
        <w:rPr>
          <w:noProof/>
        </w:rPr>
        <w:t xml:space="preserve"> basis</w:t>
      </w:r>
      <w:bookmarkEnd w:id="86"/>
      <w:bookmarkEnd w:id="87"/>
      <w:bookmarkEnd w:id="88"/>
      <w:bookmarkEnd w:id="89"/>
      <w:bookmarkEnd w:id="90"/>
      <w:bookmarkEnd w:id="91"/>
      <w:bookmarkEnd w:id="92"/>
    </w:p>
    <w:p w14:paraId="78A825E4" w14:textId="2746A41E" w:rsidR="00A63B53" w:rsidRDefault="00A63B53" w:rsidP="33F2DA6F">
      <w:pPr>
        <w:spacing w:after="120"/>
        <w:rPr>
          <w:rFonts w:eastAsia="Times New Roman"/>
          <w:noProof/>
        </w:rPr>
      </w:pPr>
      <w:r w:rsidRPr="00D4396B">
        <w:rPr>
          <w:rFonts w:asciiTheme="majorBidi" w:eastAsia="Times New Roman" w:hAnsiTheme="majorBidi" w:cstheme="majorBidi"/>
          <w:noProof/>
        </w:rPr>
        <w:t xml:space="preserve">The legal basis of the initiative is </w:t>
      </w:r>
      <w:r w:rsidRPr="00D4396B">
        <w:rPr>
          <w:rFonts w:asciiTheme="majorBidi" w:eastAsia="Times New Roman" w:hAnsiTheme="majorBidi" w:cstheme="majorBidi"/>
          <w:b/>
          <w:bCs/>
          <w:noProof/>
        </w:rPr>
        <w:t>Article 85 TFEU</w:t>
      </w:r>
      <w:r w:rsidR="5BABFDA0" w:rsidRPr="00D4396B">
        <w:rPr>
          <w:rFonts w:eastAsia="Times New Roman"/>
          <w:noProof/>
        </w:rPr>
        <w:t>, which</w:t>
      </w:r>
      <w:r w:rsidR="3716F3D7" w:rsidRPr="00D4396B">
        <w:rPr>
          <w:rFonts w:eastAsia="Times New Roman"/>
          <w:noProof/>
        </w:rPr>
        <w:t xml:space="preserve"> stipulates that Eurojust’s mission is to </w:t>
      </w:r>
      <w:r w:rsidR="3716F3D7" w:rsidRPr="00D4396B">
        <w:rPr>
          <w:rFonts w:eastAsia="Times New Roman"/>
          <w:b/>
          <w:bCs/>
          <w:noProof/>
        </w:rPr>
        <w:t>support and strengthen coordination and cooperation</w:t>
      </w:r>
      <w:r w:rsidR="3716F3D7" w:rsidRPr="00D4396B">
        <w:rPr>
          <w:rFonts w:eastAsia="Times New Roman"/>
          <w:noProof/>
        </w:rPr>
        <w:t xml:space="preserve"> between national investigating and prosecuting authorities in relation to serious crime affecting two or more Member States or requiring prosecution on a common basis, relying on operations conducted and information supplied by the Member States’ authorities and Europol.</w:t>
      </w:r>
      <w:r w:rsidRPr="00D4396B">
        <w:rPr>
          <w:rFonts w:asciiTheme="majorBidi" w:eastAsia="Times New Roman" w:hAnsiTheme="majorBidi" w:cstheme="majorBidi"/>
          <w:noProof/>
        </w:rPr>
        <w:t xml:space="preserve"> </w:t>
      </w:r>
      <w:r w:rsidR="66A70895" w:rsidRPr="00D4396B">
        <w:rPr>
          <w:rFonts w:eastAsia="Times New Roman"/>
          <w:noProof/>
        </w:rPr>
        <w:t>It sets out that Eurojust shall be governed by a regulation adopted under the</w:t>
      </w:r>
      <w:r w:rsidR="66A70895" w:rsidRPr="00D4396B">
        <w:rPr>
          <w:rFonts w:eastAsia="Times New Roman"/>
          <w:b/>
          <w:bCs/>
          <w:noProof/>
        </w:rPr>
        <w:t xml:space="preserve"> ordinary legislative procedure</w:t>
      </w:r>
      <w:r w:rsidR="66A70895" w:rsidRPr="00D4396B">
        <w:rPr>
          <w:rFonts w:eastAsia="Times New Roman"/>
          <w:noProof/>
        </w:rPr>
        <w:t>.</w:t>
      </w:r>
    </w:p>
    <w:p w14:paraId="765A194D" w14:textId="77777777" w:rsidR="00390347" w:rsidRDefault="00390347" w:rsidP="33F2DA6F">
      <w:pPr>
        <w:spacing w:after="120"/>
        <w:rPr>
          <w:rFonts w:eastAsia="Times New Roman"/>
          <w:noProof/>
        </w:rPr>
      </w:pPr>
    </w:p>
    <w:p w14:paraId="2D1FD061" w14:textId="77777777" w:rsidR="00390347" w:rsidRPr="00D4396B" w:rsidRDefault="00390347" w:rsidP="33F2DA6F">
      <w:pPr>
        <w:spacing w:after="120"/>
        <w:rPr>
          <w:rFonts w:eastAsia="Times New Roman"/>
          <w:noProof/>
        </w:rPr>
      </w:pPr>
    </w:p>
    <w:p w14:paraId="3622816A" w14:textId="24A315AE" w:rsidR="00A63B53" w:rsidRPr="00D4396B" w:rsidRDefault="0092673A" w:rsidP="000C3545">
      <w:pPr>
        <w:pStyle w:val="Heading2"/>
        <w:rPr>
          <w:noProof/>
        </w:rPr>
      </w:pPr>
      <w:bookmarkStart w:id="93" w:name="_Toc1127530690"/>
      <w:bookmarkStart w:id="94" w:name="_Toc1231681488"/>
      <w:bookmarkStart w:id="95" w:name="_Toc310658484"/>
      <w:bookmarkStart w:id="96" w:name="_Toc686915886"/>
      <w:bookmarkStart w:id="97" w:name="_Toc1775811227"/>
      <w:bookmarkStart w:id="98" w:name="_Toc224109562"/>
      <w:bookmarkStart w:id="99" w:name="_Toc232176407"/>
      <w:r w:rsidRPr="00D4396B">
        <w:rPr>
          <w:noProof/>
        </w:rPr>
        <w:t>3.2.</w:t>
      </w:r>
      <w:r w:rsidRPr="00D4396B">
        <w:rPr>
          <w:noProof/>
        </w:rPr>
        <w:tab/>
      </w:r>
      <w:r w:rsidR="00A63B53" w:rsidRPr="00D4396B">
        <w:rPr>
          <w:noProof/>
        </w:rPr>
        <w:t>Subsidiarity: Necessity of EU action</w:t>
      </w:r>
      <w:bookmarkEnd w:id="93"/>
      <w:bookmarkEnd w:id="94"/>
      <w:bookmarkEnd w:id="95"/>
      <w:bookmarkEnd w:id="96"/>
      <w:bookmarkEnd w:id="97"/>
      <w:bookmarkEnd w:id="98"/>
      <w:bookmarkEnd w:id="99"/>
    </w:p>
    <w:p w14:paraId="6E1227AE" w14:textId="0034534D" w:rsidR="00A63B53" w:rsidRPr="00D4396B" w:rsidRDefault="00A63B53" w:rsidP="0092673A">
      <w:pPr>
        <w:spacing w:after="120"/>
        <w:rPr>
          <w:rFonts w:asciiTheme="majorBidi" w:eastAsia="Times New Roman" w:hAnsiTheme="majorBidi" w:cstheme="majorBidi"/>
          <w:b/>
          <w:bCs/>
          <w:noProof/>
        </w:rPr>
      </w:pPr>
      <w:r w:rsidRPr="00D4396B">
        <w:rPr>
          <w:rFonts w:asciiTheme="majorBidi" w:eastAsia="Times New Roman" w:hAnsiTheme="majorBidi" w:cstheme="majorBidi"/>
          <w:b/>
          <w:bCs/>
          <w:noProof/>
        </w:rPr>
        <w:t>Eurojust’s functions (coordination, cooperation facilitation, and operational support) are transnational by nature</w:t>
      </w:r>
      <w:r w:rsidRPr="00D4396B">
        <w:rPr>
          <w:rFonts w:asciiTheme="majorBidi" w:eastAsia="Times New Roman" w:hAnsiTheme="majorBidi" w:cstheme="majorBidi"/>
          <w:noProof/>
        </w:rPr>
        <w:t xml:space="preserve"> and cannot be performed effectively by any single Member State.</w:t>
      </w:r>
      <w:r w:rsidRPr="00D4396B">
        <w:rPr>
          <w:rFonts w:eastAsia="Times New Roman"/>
          <w:noProof/>
        </w:rPr>
        <w:t xml:space="preserve"> </w:t>
      </w:r>
      <w:r w:rsidR="46C90306" w:rsidRPr="00D4396B">
        <w:rPr>
          <w:rFonts w:eastAsia="Times New Roman"/>
          <w:noProof/>
        </w:rPr>
        <w:t>Its EU-level structure enables it to adopt a</w:t>
      </w:r>
      <w:r w:rsidR="00F41E20">
        <w:rPr>
          <w:rFonts w:eastAsia="Times New Roman"/>
          <w:noProof/>
        </w:rPr>
        <w:t xml:space="preserve">n </w:t>
      </w:r>
      <w:r w:rsidR="381DB43E" w:rsidRPr="00D4396B">
        <w:rPr>
          <w:rFonts w:eastAsia="Times New Roman"/>
          <w:noProof/>
        </w:rPr>
        <w:t>EU-level</w:t>
      </w:r>
      <w:r w:rsidR="46C90306" w:rsidRPr="00D4396B">
        <w:rPr>
          <w:rFonts w:eastAsia="Times New Roman"/>
          <w:noProof/>
        </w:rPr>
        <w:t xml:space="preserve"> perspective across jurisdictions, facilitate multilateral cooperation in parallel, and ensure that no Member State is placed at a disadvantage. </w:t>
      </w:r>
      <w:r w:rsidR="00BA22BF">
        <w:rPr>
          <w:rFonts w:eastAsia="Times New Roman"/>
          <w:noProof/>
        </w:rPr>
        <w:t>S</w:t>
      </w:r>
      <w:r w:rsidR="46C90306" w:rsidRPr="00D4396B">
        <w:rPr>
          <w:rFonts w:eastAsia="Times New Roman"/>
          <w:noProof/>
        </w:rPr>
        <w:t>cale and complexity of cross-border crime investigations render EU-level coordination indispensable.</w:t>
      </w:r>
      <w:r w:rsidRPr="00D4396B" w:rsidDel="00BA22BF">
        <w:rPr>
          <w:rFonts w:asciiTheme="majorBidi" w:eastAsia="Times New Roman" w:hAnsiTheme="majorBidi" w:cstheme="majorBidi"/>
          <w:noProof/>
        </w:rPr>
        <w:t xml:space="preserve"> </w:t>
      </w:r>
      <w:r w:rsidR="0038309C">
        <w:rPr>
          <w:rFonts w:asciiTheme="majorBidi" w:eastAsia="Times New Roman" w:hAnsiTheme="majorBidi" w:cstheme="majorBidi"/>
          <w:noProof/>
        </w:rPr>
        <w:t>Eurojust is</w:t>
      </w:r>
      <w:r w:rsidRPr="00D4396B">
        <w:rPr>
          <w:rFonts w:asciiTheme="majorBidi" w:eastAsia="Times New Roman" w:hAnsiTheme="majorBidi" w:cstheme="majorBidi"/>
          <w:noProof/>
        </w:rPr>
        <w:t xml:space="preserve"> acting strictly where </w:t>
      </w:r>
      <w:r w:rsidRPr="00D4396B">
        <w:rPr>
          <w:rFonts w:asciiTheme="majorBidi" w:eastAsia="Times New Roman" w:hAnsiTheme="majorBidi" w:cstheme="majorBidi"/>
          <w:b/>
          <w:bCs/>
          <w:noProof/>
        </w:rPr>
        <w:t>EU-level action delivers superior results.</w:t>
      </w:r>
    </w:p>
    <w:p w14:paraId="498928D5" w14:textId="7022E54A" w:rsidR="00A63B53" w:rsidRPr="00D4396B" w:rsidRDefault="30D22388" w:rsidP="0092673A">
      <w:pPr>
        <w:spacing w:after="120"/>
        <w:rPr>
          <w:rFonts w:asciiTheme="majorBidi" w:eastAsia="Times New Roman" w:hAnsiTheme="majorBidi" w:cstheme="majorBidi"/>
          <w:noProof/>
        </w:rPr>
      </w:pPr>
      <w:r w:rsidRPr="009C746B">
        <w:rPr>
          <w:rFonts w:eastAsia="Times New Roman"/>
          <w:noProof/>
        </w:rPr>
        <w:t>Under the EU legal order,</w:t>
      </w:r>
      <w:r w:rsidRPr="00D4396B">
        <w:rPr>
          <w:rFonts w:eastAsia="Times New Roman"/>
          <w:b/>
          <w:bCs/>
          <w:noProof/>
        </w:rPr>
        <w:t xml:space="preserve"> criminal law and criminal procedure remain </w:t>
      </w:r>
      <w:r w:rsidR="49BD26EA" w:rsidRPr="00D4396B">
        <w:rPr>
          <w:rFonts w:eastAsia="Times New Roman"/>
          <w:b/>
          <w:bCs/>
          <w:noProof/>
        </w:rPr>
        <w:t>to</w:t>
      </w:r>
      <w:r w:rsidRPr="00D4396B">
        <w:rPr>
          <w:rFonts w:eastAsia="Times New Roman"/>
          <w:b/>
          <w:bCs/>
          <w:noProof/>
        </w:rPr>
        <w:t xml:space="preserve"> a </w:t>
      </w:r>
      <w:r w:rsidR="49BD26EA" w:rsidRPr="00D4396B">
        <w:rPr>
          <w:rFonts w:eastAsia="Times New Roman"/>
          <w:b/>
          <w:bCs/>
          <w:noProof/>
        </w:rPr>
        <w:t>large extent</w:t>
      </w:r>
      <w:r w:rsidRPr="00D4396B">
        <w:rPr>
          <w:rFonts w:eastAsia="Times New Roman"/>
          <w:b/>
          <w:bCs/>
          <w:noProof/>
        </w:rPr>
        <w:t xml:space="preserve"> </w:t>
      </w:r>
      <w:r w:rsidR="06563A30" w:rsidRPr="00D4396B">
        <w:rPr>
          <w:rFonts w:eastAsia="Times New Roman"/>
          <w:b/>
          <w:bCs/>
          <w:noProof/>
        </w:rPr>
        <w:t>within</w:t>
      </w:r>
      <w:r w:rsidRPr="00D4396B">
        <w:rPr>
          <w:rFonts w:eastAsia="Times New Roman"/>
          <w:b/>
          <w:bCs/>
          <w:noProof/>
        </w:rPr>
        <w:t xml:space="preserve"> national competence.</w:t>
      </w:r>
      <w:r w:rsidR="00A63B53" w:rsidRPr="00D4396B">
        <w:rPr>
          <w:rFonts w:asciiTheme="majorBidi" w:eastAsia="Times New Roman" w:hAnsiTheme="majorBidi" w:cstheme="majorBidi"/>
          <w:noProof/>
        </w:rPr>
        <w:t xml:space="preserve"> Member States are primarily responsible for conducting investigations and criminal prosecutions for which they have jurisdiction.</w:t>
      </w:r>
    </w:p>
    <w:p w14:paraId="35124842" w14:textId="75984FD8" w:rsidR="00D4396B" w:rsidRPr="00D4396B" w:rsidRDefault="04C18F4B" w:rsidP="00D4396B">
      <w:pPr>
        <w:spacing w:after="120"/>
        <w:rPr>
          <w:noProof/>
        </w:rPr>
      </w:pPr>
      <w:r w:rsidRPr="00D4396B">
        <w:rPr>
          <w:rFonts w:eastAsia="Times New Roman"/>
          <w:noProof/>
        </w:rPr>
        <w:t>The</w:t>
      </w:r>
      <w:r w:rsidRPr="00D4396B">
        <w:rPr>
          <w:rFonts w:eastAsia="Times New Roman"/>
          <w:b/>
          <w:bCs/>
          <w:noProof/>
        </w:rPr>
        <w:t xml:space="preserve"> transnational nature of serious cross-border crime </w:t>
      </w:r>
      <w:r w:rsidRPr="00D4396B">
        <w:rPr>
          <w:rFonts w:eastAsia="Times New Roman"/>
          <w:noProof/>
        </w:rPr>
        <w:t xml:space="preserve">demands EU-level cooperation, as </w:t>
      </w:r>
      <w:r w:rsidRPr="00D4396B">
        <w:rPr>
          <w:rFonts w:eastAsia="Times New Roman"/>
          <w:b/>
          <w:bCs/>
          <w:noProof/>
        </w:rPr>
        <w:t>national measures alone are insufficient</w:t>
      </w:r>
      <w:r w:rsidRPr="00D4396B">
        <w:rPr>
          <w:rFonts w:eastAsia="Times New Roman"/>
          <w:noProof/>
        </w:rPr>
        <w:t>. Member States thus coordinate judicial responses, share procedural solutions, and pool EU resources.</w:t>
      </w:r>
    </w:p>
    <w:p w14:paraId="798C8F75" w14:textId="05D6C34F" w:rsidR="00A63B53" w:rsidRPr="00D4396B" w:rsidRDefault="001864AB" w:rsidP="00E028A0">
      <w:pPr>
        <w:spacing w:after="120"/>
        <w:rPr>
          <w:rFonts w:asciiTheme="majorBidi" w:eastAsia="Times New Roman" w:hAnsiTheme="majorBidi" w:cstheme="majorBidi"/>
          <w:noProof/>
        </w:rPr>
      </w:pPr>
      <w:r w:rsidRPr="00D4396B">
        <w:rPr>
          <w:rFonts w:asciiTheme="majorBidi" w:eastAsia="Times New Roman" w:hAnsiTheme="majorBidi" w:cstheme="majorBidi"/>
          <w:noProof/>
        </w:rPr>
        <w:t>Evolving criminal threats, fuelled by digital transformation, demand effective EU-level support for national judicial authorities. Given Member States’ varied approaches to combating crime, their judicial authorities can strategically leverage Eurojust’s assistance and select joint initiatives tailored to their needs.</w:t>
      </w:r>
    </w:p>
    <w:p w14:paraId="7A116D67" w14:textId="14FBEB06" w:rsidR="00D32458" w:rsidRDefault="2C294EA2" w:rsidP="00D32458">
      <w:pPr>
        <w:widowControl w:val="0"/>
        <w:spacing w:after="120"/>
        <w:rPr>
          <w:rFonts w:asciiTheme="majorBidi" w:eastAsia="Times New Roman" w:hAnsiTheme="majorBidi" w:cstheme="majorBidi"/>
          <w:noProof/>
        </w:rPr>
      </w:pPr>
      <w:r w:rsidRPr="00D4396B">
        <w:rPr>
          <w:rFonts w:asciiTheme="majorBidi" w:eastAsia="Times New Roman" w:hAnsiTheme="majorBidi" w:cstheme="majorBidi"/>
          <w:noProof/>
        </w:rPr>
        <w:t>To counter these evolving criminal threats</w:t>
      </w:r>
      <w:r w:rsidR="46B42E4C" w:rsidRPr="3AF71E73">
        <w:rPr>
          <w:rFonts w:asciiTheme="majorBidi" w:eastAsia="Times New Roman" w:hAnsiTheme="majorBidi" w:cstheme="majorBidi"/>
          <w:noProof/>
        </w:rPr>
        <w:t xml:space="preserve"> and keep pace </w:t>
      </w:r>
      <w:r w:rsidR="46B42E4C" w:rsidRPr="6AEC2AFE">
        <w:rPr>
          <w:rFonts w:asciiTheme="majorBidi" w:eastAsia="Times New Roman" w:hAnsiTheme="majorBidi" w:cstheme="majorBidi"/>
          <w:noProof/>
        </w:rPr>
        <w:t>with law enforcement needs</w:t>
      </w:r>
      <w:r w:rsidRPr="00D4396B">
        <w:rPr>
          <w:rFonts w:asciiTheme="majorBidi" w:eastAsia="Times New Roman" w:hAnsiTheme="majorBidi" w:cstheme="majorBidi"/>
          <w:noProof/>
        </w:rPr>
        <w:t xml:space="preserve">, the </w:t>
      </w:r>
      <w:r w:rsidRPr="00D4396B">
        <w:rPr>
          <w:rFonts w:asciiTheme="majorBidi" w:eastAsia="Times New Roman" w:hAnsiTheme="majorBidi" w:cstheme="majorBidi"/>
          <w:b/>
          <w:noProof/>
        </w:rPr>
        <w:t>EU must strengthen support for Member States in tackling serious and cross-border crime</w:t>
      </w:r>
      <w:r w:rsidRPr="00D4396B">
        <w:rPr>
          <w:rFonts w:asciiTheme="majorBidi" w:eastAsia="Times New Roman" w:hAnsiTheme="majorBidi" w:cstheme="majorBidi"/>
          <w:noProof/>
        </w:rPr>
        <w:t>.</w:t>
      </w:r>
    </w:p>
    <w:p w14:paraId="24E50753" w14:textId="6765827A" w:rsidR="00A63B53" w:rsidRPr="00D4396B" w:rsidRDefault="0092673A" w:rsidP="000C3545">
      <w:pPr>
        <w:pStyle w:val="Heading2"/>
        <w:rPr>
          <w:noProof/>
        </w:rPr>
      </w:pPr>
      <w:bookmarkStart w:id="100" w:name="_Toc1468183826"/>
      <w:bookmarkStart w:id="101" w:name="_Toc204599351"/>
      <w:bookmarkStart w:id="102" w:name="_Toc1047549517"/>
      <w:bookmarkStart w:id="103" w:name="_Toc1932675292"/>
      <w:bookmarkStart w:id="104" w:name="_Toc1823528530"/>
      <w:bookmarkStart w:id="105" w:name="_Toc224109563"/>
      <w:bookmarkStart w:id="106" w:name="_Toc232176408"/>
      <w:r w:rsidRPr="00D4396B">
        <w:rPr>
          <w:noProof/>
        </w:rPr>
        <w:t>3.3.</w:t>
      </w:r>
      <w:r w:rsidRPr="00D4396B">
        <w:rPr>
          <w:noProof/>
        </w:rPr>
        <w:tab/>
      </w:r>
      <w:r w:rsidR="00A63B53" w:rsidRPr="00D4396B">
        <w:rPr>
          <w:noProof/>
        </w:rPr>
        <w:t>Subsidiarity: Added value of EU action</w:t>
      </w:r>
      <w:bookmarkEnd w:id="100"/>
      <w:bookmarkEnd w:id="101"/>
      <w:bookmarkEnd w:id="102"/>
      <w:bookmarkEnd w:id="103"/>
      <w:bookmarkEnd w:id="104"/>
      <w:bookmarkEnd w:id="105"/>
      <w:bookmarkEnd w:id="106"/>
    </w:p>
    <w:p w14:paraId="0156C0EA" w14:textId="12857551" w:rsidR="00A63B53" w:rsidRPr="00D4396B" w:rsidRDefault="00072CB9" w:rsidP="0092673A">
      <w:pPr>
        <w:spacing w:after="120"/>
        <w:rPr>
          <w:rFonts w:asciiTheme="majorBidi" w:hAnsiTheme="majorBidi" w:cstheme="majorBidi"/>
          <w:noProof/>
        </w:rPr>
      </w:pPr>
      <w:r>
        <w:rPr>
          <w:rFonts w:asciiTheme="majorBidi" w:eastAsia="Times New Roman" w:hAnsiTheme="majorBidi" w:cstheme="majorBidi"/>
          <w:noProof/>
        </w:rPr>
        <w:t>The problems outlined above</w:t>
      </w:r>
      <w:r w:rsidR="00A63B53" w:rsidRPr="00D4396B">
        <w:rPr>
          <w:rFonts w:asciiTheme="majorBidi" w:eastAsia="Times New Roman" w:hAnsiTheme="majorBidi" w:cstheme="majorBidi"/>
          <w:noProof/>
        </w:rPr>
        <w:t xml:space="preserve"> call for </w:t>
      </w:r>
      <w:r w:rsidR="00A63B53" w:rsidRPr="00D4396B">
        <w:rPr>
          <w:rFonts w:asciiTheme="majorBidi" w:eastAsia="Times New Roman" w:hAnsiTheme="majorBidi" w:cstheme="majorBidi"/>
          <w:b/>
          <w:bCs/>
          <w:noProof/>
        </w:rPr>
        <w:t>EU-level support</w:t>
      </w:r>
      <w:r w:rsidR="00A63B53" w:rsidRPr="00D4396B">
        <w:rPr>
          <w:rFonts w:asciiTheme="majorBidi" w:eastAsia="Times New Roman" w:hAnsiTheme="majorBidi" w:cstheme="majorBidi"/>
          <w:noProof/>
        </w:rPr>
        <w:t xml:space="preserve"> for Member States to </w:t>
      </w:r>
      <w:r w:rsidR="703BA2C2" w:rsidRPr="00D4396B">
        <w:rPr>
          <w:rFonts w:asciiTheme="majorBidi" w:eastAsia="Times New Roman" w:hAnsiTheme="majorBidi" w:cstheme="majorBidi"/>
          <w:noProof/>
        </w:rPr>
        <w:t>be dealt with</w:t>
      </w:r>
      <w:r w:rsidR="00A63B53" w:rsidRPr="00D4396B">
        <w:rPr>
          <w:rFonts w:asciiTheme="majorBidi" w:eastAsia="Times New Roman" w:hAnsiTheme="majorBidi" w:cstheme="majorBidi"/>
          <w:noProof/>
        </w:rPr>
        <w:t xml:space="preserve"> effectively.</w:t>
      </w:r>
    </w:p>
    <w:p w14:paraId="7833889A" w14:textId="2485D864" w:rsidR="00A63B53" w:rsidRPr="00D4396B" w:rsidRDefault="00A63B53" w:rsidP="0092673A">
      <w:pPr>
        <w:spacing w:after="120"/>
        <w:rPr>
          <w:rFonts w:asciiTheme="majorBidi" w:hAnsiTheme="majorBidi" w:cstheme="majorBidi"/>
          <w:noProof/>
        </w:rPr>
      </w:pPr>
      <w:r w:rsidRPr="00D4396B">
        <w:rPr>
          <w:rFonts w:asciiTheme="majorBidi" w:eastAsia="Times New Roman" w:hAnsiTheme="majorBidi" w:cstheme="majorBidi"/>
          <w:noProof/>
        </w:rPr>
        <w:t xml:space="preserve">As the EU agency for </w:t>
      </w:r>
      <w:r w:rsidRPr="00D4396B">
        <w:rPr>
          <w:rFonts w:asciiTheme="majorBidi" w:eastAsia="Times New Roman" w:hAnsiTheme="majorBidi" w:cstheme="majorBidi"/>
          <w:noProof/>
          <w:color w:val="000000" w:themeColor="text1"/>
        </w:rPr>
        <w:t xml:space="preserve">supporting and strengthening coordination and cooperation between national authorities in the field of criminal justice, </w:t>
      </w:r>
      <w:r w:rsidRPr="00D4396B">
        <w:rPr>
          <w:rFonts w:asciiTheme="majorBidi" w:eastAsia="Times New Roman" w:hAnsiTheme="majorBidi" w:cstheme="majorBidi"/>
          <w:b/>
          <w:bCs/>
          <w:noProof/>
        </w:rPr>
        <w:t>Eurojust is well positioned to provide this EU-level support</w:t>
      </w:r>
      <w:r w:rsidRPr="00D4396B">
        <w:rPr>
          <w:rFonts w:asciiTheme="majorBidi" w:eastAsia="Times New Roman" w:hAnsiTheme="majorBidi" w:cstheme="majorBidi"/>
          <w:noProof/>
        </w:rPr>
        <w:t>.</w:t>
      </w:r>
    </w:p>
    <w:p w14:paraId="6C0C739B" w14:textId="31E198B6" w:rsidR="00A63B53" w:rsidRPr="00D4396B" w:rsidRDefault="00A63B53" w:rsidP="0092673A">
      <w:pPr>
        <w:spacing w:after="120"/>
        <w:rPr>
          <w:rFonts w:asciiTheme="majorBidi" w:hAnsiTheme="majorBidi" w:cstheme="majorBidi"/>
          <w:noProof/>
        </w:rPr>
      </w:pPr>
      <w:r w:rsidRPr="00D4396B">
        <w:rPr>
          <w:rFonts w:asciiTheme="majorBidi" w:eastAsia="Times New Roman" w:hAnsiTheme="majorBidi" w:cstheme="majorBidi"/>
          <w:noProof/>
        </w:rPr>
        <w:t xml:space="preserve">The recent support study for the </w:t>
      </w:r>
      <w:r w:rsidRPr="00D4396B">
        <w:rPr>
          <w:rFonts w:asciiTheme="majorBidi" w:eastAsia="Times New Roman" w:hAnsiTheme="majorBidi" w:cstheme="majorBidi"/>
          <w:b/>
          <w:bCs/>
          <w:noProof/>
        </w:rPr>
        <w:t xml:space="preserve">evaluation of the implementation and impact of the </w:t>
      </w:r>
      <w:r w:rsidRPr="1220A2D3">
        <w:rPr>
          <w:rFonts w:asciiTheme="majorBidi" w:eastAsia="Times New Roman" w:hAnsiTheme="majorBidi" w:cstheme="majorBidi"/>
          <w:b/>
          <w:bCs/>
          <w:noProof/>
        </w:rPr>
        <w:t>E</w:t>
      </w:r>
      <w:r w:rsidR="538E4DFE" w:rsidRPr="1220A2D3">
        <w:rPr>
          <w:rFonts w:asciiTheme="majorBidi" w:eastAsia="Times New Roman" w:hAnsiTheme="majorBidi" w:cstheme="majorBidi"/>
          <w:b/>
          <w:bCs/>
          <w:noProof/>
        </w:rPr>
        <w:t>JR</w:t>
      </w:r>
      <w:r w:rsidRPr="00D4396B">
        <w:rPr>
          <w:rFonts w:asciiTheme="majorBidi" w:eastAsia="Times New Roman" w:hAnsiTheme="majorBidi" w:cstheme="majorBidi"/>
          <w:b/>
          <w:bCs/>
          <w:noProof/>
        </w:rPr>
        <w:t xml:space="preserve"> </w:t>
      </w:r>
      <w:r w:rsidRPr="00D4396B">
        <w:rPr>
          <w:rFonts w:asciiTheme="majorBidi" w:eastAsia="Times New Roman" w:hAnsiTheme="majorBidi" w:cstheme="majorBidi"/>
          <w:noProof/>
        </w:rPr>
        <w:t>highlighted very high satisfaction scores regarding support for Member States: for 2020-2023, the average level of satisfaction of Consultative Forum participants on logistical support and content set by Eurojust was above the 80% target, i.e. 3.2 out of 4 (self-reported on a scale of 1-4 following the meeting).</w:t>
      </w:r>
    </w:p>
    <w:p w14:paraId="34BBE9D6" w14:textId="22628010" w:rsidR="00A63B53" w:rsidRPr="00D4396B" w:rsidRDefault="08FC6AC7" w:rsidP="0092673A">
      <w:pPr>
        <w:spacing w:after="120"/>
        <w:rPr>
          <w:rFonts w:asciiTheme="majorBidi" w:hAnsiTheme="majorBidi" w:cstheme="majorBidi"/>
          <w:noProof/>
        </w:rPr>
      </w:pPr>
      <w:r w:rsidRPr="00D4396B">
        <w:rPr>
          <w:rFonts w:asciiTheme="majorBidi" w:eastAsia="Times New Roman" w:hAnsiTheme="majorBidi" w:cstheme="majorBidi"/>
          <w:b/>
          <w:bCs/>
          <w:noProof/>
        </w:rPr>
        <w:t>Action by Eurojust does not replace that of national authorities but enhances it</w:t>
      </w:r>
      <w:r w:rsidRPr="00D4396B">
        <w:rPr>
          <w:rFonts w:asciiTheme="majorBidi" w:eastAsia="Times New Roman" w:hAnsiTheme="majorBidi" w:cstheme="majorBidi"/>
          <w:noProof/>
        </w:rPr>
        <w:t>. EU-level action and Eurojust</w:t>
      </w:r>
      <w:r w:rsidR="34BE25EB" w:rsidRPr="00D4396B">
        <w:rPr>
          <w:rFonts w:asciiTheme="majorBidi" w:eastAsia="Times New Roman" w:hAnsiTheme="majorBidi" w:cstheme="majorBidi"/>
          <w:noProof/>
        </w:rPr>
        <w:t>’s services</w:t>
      </w:r>
      <w:r w:rsidRPr="00D4396B">
        <w:rPr>
          <w:rFonts w:asciiTheme="majorBidi" w:eastAsia="Times New Roman" w:hAnsiTheme="majorBidi" w:cstheme="majorBidi"/>
          <w:noProof/>
        </w:rPr>
        <w:t xml:space="preserve"> support and reinforce the work of </w:t>
      </w:r>
      <w:r w:rsidR="17C947CB" w:rsidRPr="00D4396B">
        <w:rPr>
          <w:rFonts w:asciiTheme="majorBidi" w:eastAsia="Times New Roman" w:hAnsiTheme="majorBidi" w:cstheme="majorBidi"/>
          <w:noProof/>
        </w:rPr>
        <w:t>national investigating and prosecuting authorities</w:t>
      </w:r>
      <w:r w:rsidRPr="00D4396B">
        <w:rPr>
          <w:rFonts w:asciiTheme="majorBidi" w:eastAsia="Times New Roman" w:hAnsiTheme="majorBidi" w:cstheme="majorBidi"/>
          <w:noProof/>
        </w:rPr>
        <w:t xml:space="preserve"> (</w:t>
      </w:r>
      <w:r w:rsidR="17C947CB" w:rsidRPr="00D4396B">
        <w:rPr>
          <w:rFonts w:asciiTheme="majorBidi" w:eastAsia="Times New Roman" w:hAnsiTheme="majorBidi" w:cstheme="majorBidi"/>
          <w:noProof/>
        </w:rPr>
        <w:t xml:space="preserve">such as </w:t>
      </w:r>
      <w:r w:rsidRPr="00D4396B">
        <w:rPr>
          <w:rFonts w:asciiTheme="majorBidi" w:eastAsia="Times New Roman" w:hAnsiTheme="majorBidi" w:cstheme="majorBidi"/>
          <w:noProof/>
        </w:rPr>
        <w:t xml:space="preserve">public </w:t>
      </w:r>
      <w:r w:rsidR="44CB61E2" w:rsidRPr="5BE5A78A">
        <w:rPr>
          <w:rFonts w:asciiTheme="majorBidi" w:eastAsia="Times New Roman" w:hAnsiTheme="majorBidi" w:cstheme="majorBidi"/>
          <w:noProof/>
        </w:rPr>
        <w:t>prosecutors'</w:t>
      </w:r>
      <w:r w:rsidRPr="00D4396B">
        <w:rPr>
          <w:rFonts w:asciiTheme="majorBidi" w:eastAsia="Times New Roman" w:hAnsiTheme="majorBidi" w:cstheme="majorBidi"/>
          <w:noProof/>
        </w:rPr>
        <w:t xml:space="preserve"> offices and, depending on national systems, investigation judges), helping them </w:t>
      </w:r>
      <w:r w:rsidR="1533D78B" w:rsidRPr="00D4396B">
        <w:rPr>
          <w:rFonts w:asciiTheme="majorBidi" w:eastAsia="Times New Roman" w:hAnsiTheme="majorBidi" w:cstheme="majorBidi"/>
          <w:noProof/>
        </w:rPr>
        <w:t>in cross-border criminal investigations and prosecutions</w:t>
      </w:r>
      <w:r w:rsidRPr="00D4396B">
        <w:rPr>
          <w:rFonts w:asciiTheme="majorBidi" w:eastAsia="Times New Roman" w:hAnsiTheme="majorBidi" w:cstheme="majorBidi"/>
          <w:noProof/>
        </w:rPr>
        <w:t>. Differences in the legal systems and traditions of the Member States, as acknowledged by the Treaties</w:t>
      </w:r>
      <w:r w:rsidR="20265A93" w:rsidRPr="00D4396B">
        <w:rPr>
          <w:rFonts w:asciiTheme="majorBidi" w:eastAsia="Times New Roman" w:hAnsiTheme="majorBidi" w:cstheme="majorBidi"/>
          <w:noProof/>
        </w:rPr>
        <w:t>,</w:t>
      </w:r>
      <w:r w:rsidR="00A63B53" w:rsidRPr="00D4396B">
        <w:rPr>
          <w:rStyle w:val="FootnoteReference"/>
          <w:rFonts w:asciiTheme="majorBidi" w:eastAsia="Times New Roman" w:hAnsiTheme="majorBidi" w:cstheme="majorBidi"/>
          <w:noProof/>
        </w:rPr>
        <w:footnoteReference w:id="93"/>
      </w:r>
      <w:r w:rsidRPr="00D4396B">
        <w:rPr>
          <w:rFonts w:asciiTheme="majorBidi" w:eastAsia="Times New Roman" w:hAnsiTheme="majorBidi" w:cstheme="majorBidi"/>
          <w:noProof/>
        </w:rPr>
        <w:t xml:space="preserve"> are unaffected by this EU-level support.</w:t>
      </w:r>
    </w:p>
    <w:p w14:paraId="1B649E27" w14:textId="0D719152" w:rsidR="00A63B53" w:rsidRPr="00D4396B" w:rsidRDefault="00A63B53" w:rsidP="0092673A">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There are </w:t>
      </w:r>
      <w:r w:rsidRPr="00D4396B">
        <w:rPr>
          <w:rFonts w:asciiTheme="majorBidi" w:eastAsia="Times New Roman" w:hAnsiTheme="majorBidi" w:cstheme="majorBidi"/>
          <w:b/>
          <w:bCs/>
          <w:noProof/>
        </w:rPr>
        <w:t>clear economies of scale and efficiency gains</w:t>
      </w:r>
      <w:r w:rsidRPr="00D4396B">
        <w:rPr>
          <w:rFonts w:asciiTheme="majorBidi" w:eastAsia="Times New Roman" w:hAnsiTheme="majorBidi" w:cstheme="majorBidi"/>
          <w:noProof/>
        </w:rPr>
        <w:t xml:space="preserve"> from having a</w:t>
      </w:r>
      <w:r w:rsidR="001B15AE">
        <w:rPr>
          <w:rFonts w:asciiTheme="majorBidi" w:eastAsia="Times New Roman" w:hAnsiTheme="majorBidi" w:cstheme="majorBidi"/>
          <w:noProof/>
        </w:rPr>
        <w:t xml:space="preserve"> </w:t>
      </w:r>
      <w:r w:rsidR="003924D3">
        <w:rPr>
          <w:rFonts w:asciiTheme="majorBidi" w:eastAsia="Times New Roman" w:hAnsiTheme="majorBidi" w:cstheme="majorBidi"/>
          <w:noProof/>
        </w:rPr>
        <w:t>structurally improved and more efficient</w:t>
      </w:r>
      <w:r w:rsidRPr="00D4396B">
        <w:rPr>
          <w:rFonts w:asciiTheme="majorBidi" w:eastAsia="Times New Roman" w:hAnsiTheme="majorBidi" w:cstheme="majorBidi"/>
          <w:noProof/>
        </w:rPr>
        <w:t xml:space="preserve"> executive agency at EU level rather than relying solely on individual national systems or bilateral cooperation</w:t>
      </w:r>
      <w:r w:rsidR="0002513C">
        <w:rPr>
          <w:rFonts w:asciiTheme="majorBidi" w:eastAsia="Times New Roman" w:hAnsiTheme="majorBidi" w:cstheme="majorBidi"/>
          <w:noProof/>
        </w:rPr>
        <w:t>.</w:t>
      </w:r>
      <w:r w:rsidR="00D4396B" w:rsidRPr="00D4396B">
        <w:rPr>
          <w:rFonts w:asciiTheme="majorBidi" w:eastAsia="Times New Roman" w:hAnsiTheme="majorBidi" w:cstheme="majorBidi"/>
          <w:noProof/>
        </w:rPr>
        <w:t xml:space="preserve"> </w:t>
      </w:r>
    </w:p>
    <w:p w14:paraId="0BB2088B" w14:textId="5676CCAF" w:rsidR="6C99A084" w:rsidRPr="00D4396B" w:rsidRDefault="6C99A084" w:rsidP="23439060">
      <w:pPr>
        <w:spacing w:after="120"/>
        <w:rPr>
          <w:rFonts w:asciiTheme="majorBidi" w:hAnsiTheme="majorBidi" w:cstheme="majorBidi"/>
          <w:noProof/>
        </w:rPr>
      </w:pPr>
      <w:r w:rsidRPr="00D4396B">
        <w:rPr>
          <w:rFonts w:asciiTheme="majorBidi" w:eastAsia="Times New Roman" w:hAnsiTheme="majorBidi" w:cstheme="majorBidi"/>
          <w:noProof/>
        </w:rPr>
        <w:t>In addition,</w:t>
      </w:r>
      <w:r w:rsidRPr="00D4396B">
        <w:rPr>
          <w:rFonts w:asciiTheme="majorBidi" w:eastAsia="Times New Roman" w:hAnsiTheme="majorBidi" w:cstheme="majorBidi"/>
          <w:b/>
          <w:bCs/>
          <w:noProof/>
        </w:rPr>
        <w:t xml:space="preserve"> Eurojust contributes to the functioning of the internal market and the EU as a whole. </w:t>
      </w:r>
      <w:r w:rsidRPr="00D4396B">
        <w:rPr>
          <w:rFonts w:asciiTheme="majorBidi" w:eastAsia="Times New Roman" w:hAnsiTheme="majorBidi" w:cstheme="majorBidi"/>
          <w:noProof/>
        </w:rPr>
        <w:t xml:space="preserve">By strengthening trust, ensuring consistent enforcement of criminal law, and reducing the risk of cross-border criminal exploitation of jurisdictional fragmentation, Eurojust contributes to the Union’s internal security and helps underpin the internal market and general rule of law foundations on </w:t>
      </w:r>
      <w:r w:rsidR="6845DBD8" w:rsidRPr="00D4396B">
        <w:rPr>
          <w:rFonts w:asciiTheme="majorBidi" w:eastAsia="Times New Roman" w:hAnsiTheme="majorBidi" w:cstheme="majorBidi"/>
          <w:noProof/>
        </w:rPr>
        <w:t>which</w:t>
      </w:r>
      <w:r w:rsidRPr="00D4396B">
        <w:rPr>
          <w:rFonts w:asciiTheme="majorBidi" w:eastAsia="Times New Roman" w:hAnsiTheme="majorBidi" w:cstheme="majorBidi"/>
          <w:noProof/>
        </w:rPr>
        <w:t xml:space="preserve"> European integration depends</w:t>
      </w:r>
      <w:r w:rsidR="00C61DD0">
        <w:rPr>
          <w:rStyle w:val="FootnoteReference"/>
          <w:rFonts w:asciiTheme="majorBidi" w:eastAsia="Times New Roman" w:hAnsiTheme="majorBidi" w:cstheme="majorBidi"/>
          <w:noProof/>
        </w:rPr>
        <w:footnoteReference w:id="94"/>
      </w:r>
      <w:r w:rsidRPr="00D4396B">
        <w:rPr>
          <w:rFonts w:asciiTheme="majorBidi" w:eastAsia="Times New Roman" w:hAnsiTheme="majorBidi" w:cstheme="majorBidi"/>
          <w:noProof/>
        </w:rPr>
        <w:t xml:space="preserve">. </w:t>
      </w:r>
    </w:p>
    <w:p w14:paraId="6FE8BA18" w14:textId="33BFEBCD" w:rsidR="00A63B53" w:rsidRPr="00D4396B" w:rsidRDefault="00A63B53" w:rsidP="0092673A">
      <w:pPr>
        <w:spacing w:after="120"/>
        <w:rPr>
          <w:rFonts w:asciiTheme="majorBidi" w:eastAsia="Times New Roman" w:hAnsiTheme="majorBidi" w:cstheme="majorBidi"/>
          <w:noProof/>
        </w:rPr>
      </w:pPr>
      <w:r w:rsidRPr="00D4396B">
        <w:rPr>
          <w:rFonts w:asciiTheme="majorBidi" w:eastAsia="Times New Roman" w:hAnsiTheme="majorBidi" w:cstheme="majorBidi"/>
          <w:noProof/>
        </w:rPr>
        <w:t>Overall, Eurojust provides</w:t>
      </w:r>
      <w:r w:rsidRPr="00D4396B">
        <w:rPr>
          <w:rFonts w:asciiTheme="majorBidi" w:eastAsia="Times New Roman" w:hAnsiTheme="majorBidi" w:cstheme="majorBidi"/>
          <w:b/>
          <w:noProof/>
        </w:rPr>
        <w:t xml:space="preserve"> </w:t>
      </w:r>
      <w:r w:rsidR="058729DB" w:rsidRPr="00D4396B">
        <w:rPr>
          <w:rFonts w:asciiTheme="majorBidi" w:eastAsia="Times New Roman" w:hAnsiTheme="majorBidi" w:cstheme="majorBidi"/>
          <w:b/>
          <w:bCs/>
          <w:noProof/>
        </w:rPr>
        <w:t>clear</w:t>
      </w:r>
      <w:r w:rsidRPr="00D4396B">
        <w:rPr>
          <w:rFonts w:asciiTheme="majorBidi" w:eastAsia="Times New Roman" w:hAnsiTheme="majorBidi" w:cstheme="majorBidi"/>
          <w:b/>
          <w:bCs/>
          <w:noProof/>
        </w:rPr>
        <w:t xml:space="preserve"> EU-level added value</w:t>
      </w:r>
      <w:r w:rsidR="00D4396B" w:rsidRPr="00D4396B">
        <w:rPr>
          <w:rFonts w:asciiTheme="majorBidi" w:eastAsia="Times New Roman" w:hAnsiTheme="majorBidi" w:cstheme="majorBidi"/>
          <w:b/>
          <w:bCs/>
          <w:noProof/>
        </w:rPr>
        <w:t xml:space="preserve"> </w:t>
      </w:r>
      <w:r w:rsidR="3F82C87D" w:rsidRPr="00D4396B">
        <w:rPr>
          <w:rFonts w:asciiTheme="majorBidi" w:eastAsia="Times New Roman" w:hAnsiTheme="majorBidi" w:cstheme="majorBidi"/>
          <w:noProof/>
        </w:rPr>
        <w:t xml:space="preserve">by combating cross-border crime </w:t>
      </w:r>
      <w:r w:rsidR="4C6A0D73" w:rsidRPr="00D4396B">
        <w:rPr>
          <w:rFonts w:asciiTheme="majorBidi" w:eastAsia="Times New Roman" w:hAnsiTheme="majorBidi" w:cstheme="majorBidi"/>
          <w:noProof/>
        </w:rPr>
        <w:t xml:space="preserve">and </w:t>
      </w:r>
      <w:r w:rsidR="3F82C87D" w:rsidRPr="00D4396B">
        <w:rPr>
          <w:rFonts w:asciiTheme="majorBidi" w:eastAsia="Times New Roman" w:hAnsiTheme="majorBidi" w:cstheme="majorBidi"/>
          <w:noProof/>
        </w:rPr>
        <w:t>thereby reinforcing the rule of law and mutual trust that sustain the single market and free movement.</w:t>
      </w:r>
      <w:r w:rsidR="00D4396B" w:rsidRPr="00D4396B">
        <w:rPr>
          <w:rFonts w:asciiTheme="majorBidi" w:eastAsia="Times New Roman" w:hAnsiTheme="majorBidi" w:cstheme="majorBidi"/>
          <w:noProof/>
        </w:rPr>
        <w:t xml:space="preserve"> </w:t>
      </w:r>
      <w:r w:rsidRPr="00D4396B">
        <w:rPr>
          <w:rFonts w:asciiTheme="majorBidi" w:eastAsia="Times New Roman" w:hAnsiTheme="majorBidi" w:cstheme="majorBidi"/>
          <w:noProof/>
        </w:rPr>
        <w:t xml:space="preserve">Without Eurojust (or a similar EU-level mechanism), national efforts, despite the presence of bilateral cooperation and the efficiency of </w:t>
      </w:r>
      <w:r w:rsidR="00083FF0" w:rsidRPr="00D4396B">
        <w:rPr>
          <w:rFonts w:asciiTheme="majorBidi" w:eastAsia="Times New Roman" w:hAnsiTheme="majorBidi" w:cstheme="majorBidi"/>
          <w:noProof/>
        </w:rPr>
        <w:t xml:space="preserve">EU </w:t>
      </w:r>
      <w:r w:rsidR="00874BC3" w:rsidRPr="00D4396B">
        <w:rPr>
          <w:rFonts w:asciiTheme="majorBidi" w:eastAsia="Times New Roman" w:hAnsiTheme="majorBidi" w:cstheme="majorBidi"/>
          <w:noProof/>
        </w:rPr>
        <w:t xml:space="preserve">judicial cooperation instruments </w:t>
      </w:r>
      <w:r w:rsidRPr="00D4396B">
        <w:rPr>
          <w:rFonts w:asciiTheme="majorBidi" w:eastAsia="Times New Roman" w:hAnsiTheme="majorBidi" w:cstheme="majorBidi"/>
          <w:noProof/>
        </w:rPr>
        <w:t>(</w:t>
      </w:r>
      <w:r w:rsidR="00874BC3" w:rsidRPr="00D4396B">
        <w:rPr>
          <w:rFonts w:asciiTheme="majorBidi" w:eastAsia="Times New Roman" w:hAnsiTheme="majorBidi" w:cstheme="majorBidi"/>
          <w:noProof/>
        </w:rPr>
        <w:t xml:space="preserve">such as the </w:t>
      </w:r>
      <w:r w:rsidRPr="00D4396B" w:rsidDel="006C00C0">
        <w:rPr>
          <w:rFonts w:asciiTheme="majorBidi" w:eastAsia="Times New Roman" w:hAnsiTheme="majorBidi" w:cstheme="majorBidi"/>
          <w:noProof/>
        </w:rPr>
        <w:t>EAW,</w:t>
      </w:r>
      <w:r w:rsidRPr="00D4396B">
        <w:rPr>
          <w:rFonts w:asciiTheme="majorBidi" w:eastAsia="Times New Roman" w:hAnsiTheme="majorBidi" w:cstheme="majorBidi"/>
          <w:noProof/>
        </w:rPr>
        <w:t xml:space="preserve"> EIO, etc.), would struggle to </w:t>
      </w:r>
      <w:r w:rsidR="3FCC58A9" w:rsidRPr="00D4396B">
        <w:rPr>
          <w:rFonts w:asciiTheme="majorBidi" w:eastAsia="Times New Roman" w:hAnsiTheme="majorBidi" w:cstheme="majorBidi"/>
          <w:noProof/>
        </w:rPr>
        <w:t>address</w:t>
      </w:r>
      <w:r w:rsidR="00D4396B" w:rsidRPr="00D4396B">
        <w:rPr>
          <w:rFonts w:asciiTheme="majorBidi" w:eastAsia="Times New Roman" w:hAnsiTheme="majorBidi" w:cstheme="majorBidi"/>
          <w:noProof/>
        </w:rPr>
        <w:t xml:space="preserve"> </w:t>
      </w:r>
      <w:r w:rsidRPr="00D4396B">
        <w:rPr>
          <w:rFonts w:asciiTheme="majorBidi" w:eastAsia="Times New Roman" w:hAnsiTheme="majorBidi" w:cstheme="majorBidi"/>
          <w:noProof/>
        </w:rPr>
        <w:t>the scale, complexity and transnational nature of serious organised crime.</w:t>
      </w:r>
      <w:bookmarkStart w:id="107" w:name="_Toc1061834140"/>
      <w:bookmarkStart w:id="108" w:name="_Toc1523187824"/>
      <w:bookmarkStart w:id="109" w:name="_Toc221260314"/>
    </w:p>
    <w:p w14:paraId="4E38230E" w14:textId="77777777" w:rsidR="00A63B53" w:rsidRPr="00D4396B" w:rsidRDefault="00A63B53" w:rsidP="000C3545">
      <w:pPr>
        <w:spacing w:after="0"/>
        <w:rPr>
          <w:rFonts w:asciiTheme="majorBidi" w:eastAsia="Times New Roman" w:hAnsiTheme="majorBidi" w:cstheme="majorBidi"/>
          <w:noProof/>
        </w:rPr>
      </w:pPr>
    </w:p>
    <w:p w14:paraId="5AA59F22" w14:textId="1C6E5268" w:rsidR="00A63B53" w:rsidRPr="00D4396B" w:rsidRDefault="0092673A" w:rsidP="00781830">
      <w:pPr>
        <w:pStyle w:val="Heading1"/>
        <w:rPr>
          <w:noProof/>
        </w:rPr>
      </w:pPr>
      <w:bookmarkStart w:id="110" w:name="_Toc224109564"/>
      <w:bookmarkStart w:id="111" w:name="_Toc232176409"/>
      <w:r w:rsidRPr="00D4396B">
        <w:rPr>
          <w:noProof/>
        </w:rPr>
        <w:t>4.</w:t>
      </w:r>
      <w:r w:rsidRPr="00D4396B">
        <w:rPr>
          <w:noProof/>
        </w:rPr>
        <w:tab/>
      </w:r>
      <w:r w:rsidR="00A63B53" w:rsidRPr="00D4396B">
        <w:rPr>
          <w:noProof/>
        </w:rPr>
        <w:t>Objectives: What is to be achieved?</w:t>
      </w:r>
      <w:bookmarkEnd w:id="107"/>
      <w:bookmarkEnd w:id="108"/>
      <w:bookmarkEnd w:id="109"/>
      <w:bookmarkEnd w:id="110"/>
      <w:bookmarkEnd w:id="111"/>
    </w:p>
    <w:p w14:paraId="319260B4" w14:textId="2901E16B" w:rsidR="00A63B53" w:rsidRPr="00D4396B" w:rsidRDefault="00A63B53" w:rsidP="000C3545">
      <w:pPr>
        <w:pStyle w:val="Heading2"/>
        <w:rPr>
          <w:noProof/>
        </w:rPr>
      </w:pPr>
      <w:bookmarkStart w:id="112" w:name="_Toc1102876151"/>
      <w:bookmarkStart w:id="113" w:name="_Toc124983694"/>
      <w:bookmarkStart w:id="114" w:name="_Toc2127367546"/>
      <w:bookmarkStart w:id="115" w:name="_Toc1592683750"/>
      <w:bookmarkStart w:id="116" w:name="_Toc877576862"/>
      <w:bookmarkStart w:id="117" w:name="_Toc224109565"/>
      <w:bookmarkStart w:id="118" w:name="_Toc232176410"/>
      <w:r w:rsidRPr="00D4396B">
        <w:rPr>
          <w:noProof/>
        </w:rPr>
        <w:t>4.1.</w:t>
      </w:r>
      <w:r w:rsidRPr="00D4396B">
        <w:rPr>
          <w:noProof/>
        </w:rPr>
        <w:tab/>
        <w:t>General objective</w:t>
      </w:r>
      <w:bookmarkEnd w:id="112"/>
      <w:bookmarkEnd w:id="113"/>
      <w:bookmarkEnd w:id="114"/>
      <w:bookmarkEnd w:id="115"/>
      <w:bookmarkEnd w:id="116"/>
      <w:bookmarkEnd w:id="117"/>
      <w:bookmarkEnd w:id="118"/>
    </w:p>
    <w:p w14:paraId="57949808" w14:textId="4DE2F0D8" w:rsidR="00A63B53" w:rsidRDefault="00A63B53" w:rsidP="0092673A">
      <w:pPr>
        <w:spacing w:after="120"/>
        <w:rPr>
          <w:rFonts w:asciiTheme="majorBidi" w:eastAsia="Times New Roman" w:hAnsiTheme="majorBidi" w:cstheme="majorBidi"/>
          <w:b/>
          <w:bCs/>
          <w:noProof/>
        </w:rPr>
      </w:pPr>
      <w:r w:rsidRPr="00D4396B">
        <w:rPr>
          <w:rFonts w:asciiTheme="majorBidi" w:eastAsia="Times New Roman" w:hAnsiTheme="majorBidi" w:cstheme="majorBidi"/>
          <w:noProof/>
        </w:rPr>
        <w:t xml:space="preserve">The revision of Eurojust seeks to </w:t>
      </w:r>
      <w:r w:rsidR="54DAD367" w:rsidRPr="00D4396B">
        <w:rPr>
          <w:rFonts w:asciiTheme="majorBidi" w:eastAsia="Times New Roman" w:hAnsiTheme="majorBidi" w:cstheme="majorBidi"/>
          <w:noProof/>
        </w:rPr>
        <w:t>better</w:t>
      </w:r>
      <w:r w:rsidRPr="00D4396B">
        <w:rPr>
          <w:rFonts w:asciiTheme="majorBidi" w:eastAsia="Times New Roman" w:hAnsiTheme="majorBidi" w:cstheme="majorBidi"/>
          <w:noProof/>
        </w:rPr>
        <w:t xml:space="preserve"> attain the </w:t>
      </w:r>
      <w:r w:rsidRPr="00D4396B">
        <w:rPr>
          <w:rFonts w:asciiTheme="majorBidi" w:eastAsia="Times New Roman" w:hAnsiTheme="majorBidi" w:cstheme="majorBidi"/>
          <w:b/>
          <w:bCs/>
          <w:noProof/>
        </w:rPr>
        <w:t>goals set out in the Treaties:</w:t>
      </w:r>
    </w:p>
    <w:p w14:paraId="2F5F71D3" w14:textId="24C0FD73" w:rsidR="001E4846" w:rsidRPr="001E4846" w:rsidRDefault="001E4846" w:rsidP="000F169A">
      <w:pPr>
        <w:pStyle w:val="ListParagraph"/>
        <w:numPr>
          <w:ilvl w:val="0"/>
          <w:numId w:val="17"/>
        </w:numPr>
        <w:spacing w:after="120"/>
        <w:ind w:left="567" w:hanging="567"/>
        <w:contextualSpacing w:val="0"/>
        <w:rPr>
          <w:rFonts w:asciiTheme="majorBidi" w:hAnsiTheme="majorBidi" w:cstheme="majorBidi"/>
          <w:b/>
          <w:bCs/>
          <w:noProof/>
        </w:rPr>
      </w:pPr>
      <w:r w:rsidRPr="001E4846">
        <w:rPr>
          <w:rFonts w:asciiTheme="majorBidi" w:hAnsiTheme="majorBidi" w:cstheme="majorBidi"/>
          <w:noProof/>
        </w:rPr>
        <w:t xml:space="preserve">for Eurojust to </w:t>
      </w:r>
      <w:r w:rsidRPr="001E4846">
        <w:rPr>
          <w:rFonts w:asciiTheme="majorBidi" w:hAnsiTheme="majorBidi" w:cstheme="majorBidi"/>
          <w:b/>
          <w:bCs/>
          <w:noProof/>
        </w:rPr>
        <w:t xml:space="preserve">support and strengthen coordination and cooperation between national investigating and prosecuting authorities </w:t>
      </w:r>
      <w:r w:rsidRPr="001E4846">
        <w:rPr>
          <w:rFonts w:asciiTheme="majorBidi" w:hAnsiTheme="majorBidi" w:cstheme="majorBidi"/>
          <w:noProof/>
        </w:rPr>
        <w:t>in relation to serious crime affecting two or more Member States or requiring a prosecution on common bases, on the basis of operations conducted and information supplied by the Member States' authorities and by Europol;</w:t>
      </w:r>
      <w:r w:rsidRPr="001E4846">
        <w:rPr>
          <w:rFonts w:asciiTheme="majorBidi" w:hAnsiTheme="majorBidi"/>
          <w:noProof/>
          <w:vertAlign w:val="superscript"/>
        </w:rPr>
        <w:footnoteReference w:id="95"/>
      </w:r>
    </w:p>
    <w:p w14:paraId="070FD8D8" w14:textId="5C12CA0B" w:rsidR="001E4846" w:rsidRPr="001E4846" w:rsidRDefault="001E4846" w:rsidP="000F169A">
      <w:pPr>
        <w:pStyle w:val="ListParagraph"/>
        <w:numPr>
          <w:ilvl w:val="0"/>
          <w:numId w:val="17"/>
        </w:numPr>
        <w:spacing w:after="120"/>
        <w:ind w:left="567" w:hanging="567"/>
        <w:contextualSpacing w:val="0"/>
        <w:rPr>
          <w:rFonts w:asciiTheme="majorBidi" w:hAnsiTheme="majorBidi" w:cstheme="majorBidi"/>
          <w:b/>
          <w:bCs/>
          <w:noProof/>
        </w:rPr>
      </w:pPr>
      <w:r w:rsidRPr="001E4846">
        <w:rPr>
          <w:rFonts w:asciiTheme="majorBidi" w:hAnsiTheme="majorBidi" w:cstheme="majorBidi"/>
          <w:noProof/>
        </w:rPr>
        <w:t xml:space="preserve">to ensure a </w:t>
      </w:r>
      <w:r w:rsidRPr="001E4846">
        <w:rPr>
          <w:rFonts w:asciiTheme="majorBidi" w:hAnsiTheme="majorBidi" w:cstheme="majorBidi"/>
          <w:b/>
          <w:bCs/>
          <w:noProof/>
        </w:rPr>
        <w:t>high level of security</w:t>
      </w:r>
      <w:r w:rsidRPr="001E4846">
        <w:rPr>
          <w:rFonts w:asciiTheme="majorBidi" w:hAnsiTheme="majorBidi" w:cstheme="majorBidi"/>
          <w:noProof/>
        </w:rPr>
        <w:t xml:space="preserve"> through measures aimed at preventing and combating crime by fostering coordination and cooperation between competent national authorities of Member States</w:t>
      </w:r>
      <w:r w:rsidR="001462DF">
        <w:rPr>
          <w:rFonts w:asciiTheme="majorBidi" w:hAnsiTheme="majorBidi" w:cstheme="majorBidi"/>
          <w:noProof/>
        </w:rPr>
        <w:t>.</w:t>
      </w:r>
      <w:r w:rsidRPr="001E4846">
        <w:rPr>
          <w:rFonts w:asciiTheme="majorBidi" w:hAnsiTheme="majorBidi" w:cstheme="majorBidi"/>
          <w:noProof/>
          <w:vertAlign w:val="superscript"/>
        </w:rPr>
        <w:t>.</w:t>
      </w:r>
      <w:r w:rsidRPr="001E4846">
        <w:rPr>
          <w:rFonts w:asciiTheme="majorBidi" w:hAnsiTheme="majorBidi"/>
          <w:noProof/>
          <w:vertAlign w:val="superscript"/>
        </w:rPr>
        <w:footnoteReference w:id="96"/>
      </w:r>
    </w:p>
    <w:p w14:paraId="1BABBBAA" w14:textId="5CF56235" w:rsidR="00A63B53" w:rsidRPr="00D4396B" w:rsidRDefault="00A63B53" w:rsidP="0092673A">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This general objective but also converges with the existing framework of </w:t>
      </w:r>
      <w:r w:rsidRPr="00D4396B">
        <w:rPr>
          <w:rFonts w:asciiTheme="majorBidi" w:eastAsia="Times New Roman" w:hAnsiTheme="majorBidi" w:cstheme="majorBidi"/>
          <w:b/>
          <w:bCs/>
          <w:noProof/>
        </w:rPr>
        <w:t>European public policies, strategies and roadmaps in the area of criminal justice and the fight against serious, cross-border and organised crime</w:t>
      </w:r>
      <w:r w:rsidRPr="00D4396B">
        <w:rPr>
          <w:rFonts w:asciiTheme="majorBidi" w:eastAsia="Times New Roman" w:hAnsiTheme="majorBidi" w:cstheme="majorBidi"/>
          <w:noProof/>
        </w:rPr>
        <w:t>.</w:t>
      </w:r>
    </w:p>
    <w:p w14:paraId="2CCBA159" w14:textId="4C7E572A" w:rsidR="00A63B53" w:rsidRPr="00D4396B" w:rsidRDefault="00A63B53" w:rsidP="000C3545">
      <w:pPr>
        <w:pStyle w:val="Heading2"/>
        <w:rPr>
          <w:noProof/>
          <w:lang w:val="en-IE"/>
        </w:rPr>
      </w:pPr>
      <w:bookmarkStart w:id="119" w:name="_Toc1070691880"/>
      <w:bookmarkStart w:id="120" w:name="_Toc871742064"/>
      <w:bookmarkStart w:id="121" w:name="_Toc1967152667"/>
      <w:bookmarkStart w:id="122" w:name="_Toc788852112"/>
      <w:bookmarkStart w:id="123" w:name="_Toc63235611"/>
      <w:bookmarkStart w:id="124" w:name="_Toc224109566"/>
      <w:bookmarkStart w:id="125" w:name="_Toc232176411"/>
      <w:r w:rsidRPr="00D4396B">
        <w:rPr>
          <w:noProof/>
          <w:lang w:val="en-IE"/>
        </w:rPr>
        <w:t>4.2.</w:t>
      </w:r>
      <w:r w:rsidRPr="00D4396B">
        <w:rPr>
          <w:noProof/>
        </w:rPr>
        <w:tab/>
      </w:r>
      <w:r w:rsidRPr="00D4396B">
        <w:rPr>
          <w:noProof/>
          <w:lang w:val="en-IE"/>
        </w:rPr>
        <w:t>Specific objectives</w:t>
      </w:r>
      <w:bookmarkEnd w:id="119"/>
      <w:bookmarkEnd w:id="120"/>
      <w:bookmarkEnd w:id="121"/>
      <w:bookmarkEnd w:id="122"/>
      <w:bookmarkEnd w:id="123"/>
      <w:bookmarkEnd w:id="124"/>
      <w:bookmarkEnd w:id="125"/>
    </w:p>
    <w:p w14:paraId="1AF991E6" w14:textId="4133AAA6" w:rsidR="00A63B53" w:rsidRPr="00D4396B" w:rsidRDefault="00301FDA" w:rsidP="0092673A">
      <w:pPr>
        <w:pStyle w:val="NormalWeb"/>
        <w:spacing w:before="0" w:beforeAutospacing="0" w:after="120" w:afterAutospacing="0"/>
        <w:jc w:val="both"/>
        <w:rPr>
          <w:rFonts w:asciiTheme="majorBidi" w:hAnsiTheme="majorBidi" w:cstheme="majorBidi"/>
          <w:noProof/>
          <w:color w:val="000000"/>
        </w:rPr>
      </w:pPr>
      <w:r>
        <w:rPr>
          <w:rFonts w:asciiTheme="majorBidi" w:hAnsiTheme="majorBidi" w:cstheme="majorBidi"/>
          <w:noProof/>
          <w:color w:val="000000" w:themeColor="text1"/>
        </w:rPr>
        <w:t>T</w:t>
      </w:r>
      <w:r w:rsidR="00A63B53" w:rsidRPr="00D4396B">
        <w:rPr>
          <w:rFonts w:asciiTheme="majorBidi" w:hAnsiTheme="majorBidi" w:cstheme="majorBidi"/>
          <w:noProof/>
          <w:color w:val="000000" w:themeColor="text1"/>
        </w:rPr>
        <w:t xml:space="preserve">he general objective is </w:t>
      </w:r>
      <w:r>
        <w:rPr>
          <w:rFonts w:asciiTheme="majorBidi" w:hAnsiTheme="majorBidi" w:cstheme="majorBidi"/>
          <w:noProof/>
          <w:color w:val="000000" w:themeColor="text1"/>
        </w:rPr>
        <w:t>articulated</w:t>
      </w:r>
      <w:r w:rsidRPr="00D4396B">
        <w:rPr>
          <w:rFonts w:asciiTheme="majorBidi" w:hAnsiTheme="majorBidi" w:cstheme="majorBidi"/>
          <w:noProof/>
          <w:color w:val="000000" w:themeColor="text1"/>
        </w:rPr>
        <w:t xml:space="preserve"> </w:t>
      </w:r>
      <w:r w:rsidR="00A63B53" w:rsidRPr="00D4396B">
        <w:rPr>
          <w:rFonts w:asciiTheme="majorBidi" w:hAnsiTheme="majorBidi" w:cstheme="majorBidi"/>
          <w:noProof/>
          <w:color w:val="000000" w:themeColor="text1"/>
        </w:rPr>
        <w:t>into two interrelated specific objectives</w:t>
      </w:r>
      <w:r w:rsidR="007F7D2C">
        <w:rPr>
          <w:rFonts w:asciiTheme="majorBidi" w:hAnsiTheme="majorBidi" w:cstheme="majorBidi"/>
          <w:noProof/>
          <w:color w:val="000000" w:themeColor="text1"/>
        </w:rPr>
        <w:t>,</w:t>
      </w:r>
      <w:r w:rsidR="007F7D2C" w:rsidRPr="00D4396B">
        <w:rPr>
          <w:rFonts w:asciiTheme="majorBidi" w:hAnsiTheme="majorBidi" w:cstheme="majorBidi"/>
          <w:noProof/>
          <w:color w:val="000000" w:themeColor="text1"/>
        </w:rPr>
        <w:t xml:space="preserve"> </w:t>
      </w:r>
      <w:r w:rsidR="007F7D2C">
        <w:rPr>
          <w:rFonts w:asciiTheme="majorBidi" w:hAnsiTheme="majorBidi" w:cstheme="majorBidi"/>
          <w:noProof/>
          <w:color w:val="000000" w:themeColor="text1"/>
        </w:rPr>
        <w:t>addressing the</w:t>
      </w:r>
      <w:r w:rsidR="00A63B53" w:rsidRPr="00D4396B">
        <w:rPr>
          <w:rFonts w:asciiTheme="majorBidi" w:hAnsiTheme="majorBidi" w:cstheme="majorBidi"/>
          <w:noProof/>
          <w:color w:val="000000" w:themeColor="text1"/>
        </w:rPr>
        <w:t xml:space="preserve"> structural and functional limitations that currently hinder Eurojust’s capacity to </w:t>
      </w:r>
      <w:r w:rsidR="00FD2882">
        <w:rPr>
          <w:rFonts w:asciiTheme="majorBidi" w:hAnsiTheme="majorBidi" w:cstheme="majorBidi"/>
          <w:noProof/>
          <w:color w:val="000000" w:themeColor="text1"/>
        </w:rPr>
        <w:t xml:space="preserve">maximise </w:t>
      </w:r>
      <w:r w:rsidR="008B58F2">
        <w:rPr>
          <w:rFonts w:asciiTheme="majorBidi" w:hAnsiTheme="majorBidi" w:cstheme="majorBidi"/>
          <w:noProof/>
          <w:color w:val="000000" w:themeColor="text1"/>
        </w:rPr>
        <w:t>quantity and quality of its output.</w:t>
      </w:r>
    </w:p>
    <w:p w14:paraId="735EF1BA" w14:textId="353C1709" w:rsidR="00A63B53" w:rsidRPr="00D4396B" w:rsidRDefault="00A63B53" w:rsidP="0092673A">
      <w:pPr>
        <w:pStyle w:val="NormalWeb"/>
        <w:spacing w:before="0" w:beforeAutospacing="0" w:after="120" w:afterAutospacing="0"/>
        <w:jc w:val="both"/>
        <w:rPr>
          <w:rFonts w:asciiTheme="majorBidi" w:hAnsiTheme="majorBidi" w:cstheme="majorBidi"/>
          <w:noProof/>
          <w:color w:val="000000"/>
        </w:rPr>
      </w:pPr>
      <w:r w:rsidRPr="00D4396B">
        <w:rPr>
          <w:rFonts w:asciiTheme="majorBidi" w:hAnsiTheme="majorBidi" w:cstheme="majorBidi"/>
          <w:noProof/>
          <w:color w:val="000000" w:themeColor="text1"/>
        </w:rPr>
        <w:t xml:space="preserve">The first objective </w:t>
      </w:r>
      <w:r w:rsidR="467358FF" w:rsidRPr="129A2EFD">
        <w:rPr>
          <w:rFonts w:asciiTheme="majorBidi" w:hAnsiTheme="majorBidi" w:cstheme="majorBidi"/>
          <w:noProof/>
          <w:color w:val="000000" w:themeColor="text1"/>
        </w:rPr>
        <w:t xml:space="preserve">seeks to </w:t>
      </w:r>
      <w:r w:rsidR="467358FF" w:rsidRPr="41D76D72">
        <w:rPr>
          <w:rFonts w:asciiTheme="majorBidi" w:hAnsiTheme="majorBidi" w:cstheme="majorBidi"/>
          <w:noProof/>
          <w:color w:val="000000" w:themeColor="text1"/>
        </w:rPr>
        <w:t>remove</w:t>
      </w:r>
      <w:r w:rsidRPr="00D4396B">
        <w:rPr>
          <w:rFonts w:asciiTheme="majorBidi" w:hAnsiTheme="majorBidi" w:cstheme="majorBidi"/>
          <w:noProof/>
          <w:color w:val="000000" w:themeColor="text1"/>
        </w:rPr>
        <w:t> </w:t>
      </w:r>
      <w:r w:rsidRPr="00D4396B">
        <w:rPr>
          <w:rFonts w:asciiTheme="majorBidi" w:hAnsiTheme="majorBidi" w:cstheme="majorBidi"/>
          <w:b/>
          <w:bCs/>
          <w:noProof/>
          <w:color w:val="000000" w:themeColor="text1"/>
        </w:rPr>
        <w:t>internal structural and operational constraints</w:t>
      </w:r>
      <w:r w:rsidRPr="00D4396B">
        <w:rPr>
          <w:rFonts w:asciiTheme="majorBidi" w:hAnsiTheme="majorBidi" w:cstheme="majorBidi"/>
          <w:noProof/>
          <w:color w:val="000000" w:themeColor="text1"/>
        </w:rPr>
        <w:t>, while the second addresses </w:t>
      </w:r>
      <w:r w:rsidRPr="00D4396B">
        <w:rPr>
          <w:rFonts w:asciiTheme="majorBidi" w:hAnsiTheme="majorBidi" w:cstheme="majorBidi"/>
          <w:b/>
          <w:bCs/>
          <w:noProof/>
          <w:color w:val="000000" w:themeColor="text1"/>
        </w:rPr>
        <w:t>cooperation challenges</w:t>
      </w:r>
      <w:r w:rsidRPr="00D4396B">
        <w:rPr>
          <w:rFonts w:asciiTheme="majorBidi" w:hAnsiTheme="majorBidi" w:cstheme="majorBidi"/>
          <w:noProof/>
          <w:color w:val="000000" w:themeColor="text1"/>
        </w:rPr>
        <w:t>, focusing on Eurojust’s interaction with EU bodies, agencies, and international partners. These two objectives are mutually reinforcing and derive directly from the general objective</w:t>
      </w:r>
      <w:r w:rsidR="008F05FC">
        <w:rPr>
          <w:rFonts w:asciiTheme="majorBidi" w:hAnsiTheme="majorBidi" w:cstheme="majorBidi"/>
          <w:noProof/>
          <w:color w:val="000000" w:themeColor="text1"/>
        </w:rPr>
        <w:t>, p</w:t>
      </w:r>
      <w:r w:rsidR="00181F27">
        <w:rPr>
          <w:rFonts w:asciiTheme="majorBidi" w:hAnsiTheme="majorBidi" w:cstheme="majorBidi"/>
          <w:noProof/>
          <w:color w:val="000000" w:themeColor="text1"/>
        </w:rPr>
        <w:t>roviding</w:t>
      </w:r>
      <w:r w:rsidRPr="00D4396B">
        <w:rPr>
          <w:rFonts w:asciiTheme="majorBidi" w:hAnsiTheme="majorBidi" w:cstheme="majorBidi"/>
          <w:noProof/>
          <w:color w:val="000000" w:themeColor="text1"/>
        </w:rPr>
        <w:t xml:space="preserve"> a structured</w:t>
      </w:r>
      <w:r w:rsidR="009E3704">
        <w:rPr>
          <w:rFonts w:asciiTheme="majorBidi" w:hAnsiTheme="majorBidi" w:cstheme="majorBidi"/>
          <w:noProof/>
          <w:color w:val="000000" w:themeColor="text1"/>
        </w:rPr>
        <w:t xml:space="preserve"> and balanced</w:t>
      </w:r>
      <w:r w:rsidRPr="00D4396B">
        <w:rPr>
          <w:rFonts w:asciiTheme="majorBidi" w:hAnsiTheme="majorBidi" w:cstheme="majorBidi"/>
          <w:noProof/>
          <w:color w:val="000000" w:themeColor="text1"/>
        </w:rPr>
        <w:t xml:space="preserve"> response to the problems identified.</w:t>
      </w:r>
    </w:p>
    <w:p w14:paraId="5BBDB55F" w14:textId="1B768F6D" w:rsidR="00FA7236" w:rsidRPr="00072919" w:rsidRDefault="00A63B53" w:rsidP="000F169A">
      <w:pPr>
        <w:pStyle w:val="ListParagraph"/>
        <w:numPr>
          <w:ilvl w:val="0"/>
          <w:numId w:val="6"/>
        </w:numPr>
        <w:spacing w:after="120"/>
        <w:ind w:left="567" w:hanging="567"/>
        <w:contextualSpacing w:val="0"/>
        <w:rPr>
          <w:rFonts w:asciiTheme="majorBidi" w:eastAsia="Times New Roman" w:hAnsiTheme="majorBidi" w:cstheme="majorBidi"/>
          <w:noProof/>
          <w:color w:val="000000"/>
          <w:u w:val="single"/>
          <w:lang w:eastAsia="en-GB"/>
        </w:rPr>
      </w:pPr>
      <w:r w:rsidRPr="00D4396B">
        <w:rPr>
          <w:rFonts w:asciiTheme="majorBidi" w:eastAsia="Times New Roman" w:hAnsiTheme="majorBidi" w:cstheme="majorBidi"/>
          <w:noProof/>
          <w:color w:val="000000" w:themeColor="text1"/>
          <w:u w:val="single"/>
          <w:lang w:eastAsia="en-GB"/>
        </w:rPr>
        <w:t xml:space="preserve">Specific Objective 1 – </w:t>
      </w:r>
      <w:r w:rsidR="00A624AE">
        <w:rPr>
          <w:rFonts w:asciiTheme="majorBidi" w:eastAsia="Times New Roman" w:hAnsiTheme="majorBidi" w:cstheme="majorBidi"/>
          <w:noProof/>
          <w:color w:val="000000" w:themeColor="text1"/>
          <w:u w:val="single"/>
          <w:lang w:eastAsia="en-GB"/>
        </w:rPr>
        <w:t>To make Eurojust</w:t>
      </w:r>
      <w:r w:rsidR="00C11427">
        <w:rPr>
          <w:rFonts w:asciiTheme="majorBidi" w:eastAsia="Times New Roman" w:hAnsiTheme="majorBidi" w:cstheme="majorBidi"/>
          <w:noProof/>
          <w:color w:val="000000" w:themeColor="text1"/>
          <w:u w:val="single"/>
          <w:lang w:eastAsia="en-GB"/>
        </w:rPr>
        <w:t xml:space="preserve">’s </w:t>
      </w:r>
      <w:r w:rsidR="007F4B52">
        <w:rPr>
          <w:rFonts w:asciiTheme="majorBidi" w:eastAsia="Times New Roman" w:hAnsiTheme="majorBidi" w:cstheme="majorBidi"/>
          <w:noProof/>
          <w:color w:val="000000" w:themeColor="text1"/>
          <w:u w:val="single"/>
          <w:lang w:eastAsia="en-GB"/>
        </w:rPr>
        <w:t>support and</w:t>
      </w:r>
      <w:r w:rsidR="00C11427">
        <w:rPr>
          <w:rFonts w:asciiTheme="majorBidi" w:eastAsia="Times New Roman" w:hAnsiTheme="majorBidi" w:cstheme="majorBidi"/>
          <w:noProof/>
          <w:color w:val="000000" w:themeColor="text1"/>
          <w:u w:val="single"/>
          <w:lang w:eastAsia="en-GB"/>
        </w:rPr>
        <w:t xml:space="preserve"> coordination</w:t>
      </w:r>
      <w:r w:rsidR="007F4B52">
        <w:rPr>
          <w:rFonts w:asciiTheme="majorBidi" w:eastAsia="Times New Roman" w:hAnsiTheme="majorBidi" w:cstheme="majorBidi"/>
          <w:noProof/>
          <w:color w:val="000000" w:themeColor="text1"/>
          <w:u w:val="single"/>
          <w:lang w:eastAsia="en-GB"/>
        </w:rPr>
        <w:t xml:space="preserve"> action</w:t>
      </w:r>
      <w:r w:rsidR="00C11427">
        <w:rPr>
          <w:rFonts w:asciiTheme="majorBidi" w:eastAsia="Times New Roman" w:hAnsiTheme="majorBidi" w:cstheme="majorBidi"/>
          <w:noProof/>
          <w:color w:val="000000" w:themeColor="text1"/>
          <w:u w:val="single"/>
          <w:lang w:eastAsia="en-GB"/>
        </w:rPr>
        <w:t xml:space="preserve"> </w:t>
      </w:r>
      <w:r w:rsidR="00164338">
        <w:rPr>
          <w:rFonts w:asciiTheme="majorBidi" w:eastAsia="Times New Roman" w:hAnsiTheme="majorBidi" w:cstheme="majorBidi"/>
          <w:noProof/>
          <w:color w:val="000000" w:themeColor="text1"/>
          <w:u w:val="single"/>
          <w:lang w:eastAsia="en-GB"/>
        </w:rPr>
        <w:t xml:space="preserve">more efficient, </w:t>
      </w:r>
      <w:r w:rsidR="00716633">
        <w:rPr>
          <w:rFonts w:asciiTheme="majorBidi" w:eastAsia="Times New Roman" w:hAnsiTheme="majorBidi" w:cstheme="majorBidi"/>
          <w:noProof/>
          <w:color w:val="000000" w:themeColor="text1"/>
          <w:u w:val="single"/>
          <w:lang w:eastAsia="en-GB"/>
        </w:rPr>
        <w:t xml:space="preserve">timely, and strategically focused </w:t>
      </w:r>
      <w:r w:rsidR="005B0CB0">
        <w:rPr>
          <w:rFonts w:asciiTheme="majorBidi" w:eastAsia="Times New Roman" w:hAnsiTheme="majorBidi" w:cstheme="majorBidi"/>
          <w:noProof/>
          <w:color w:val="000000" w:themeColor="text1"/>
          <w:u w:val="single"/>
          <w:lang w:eastAsia="en-GB"/>
        </w:rPr>
        <w:t xml:space="preserve">across the full </w:t>
      </w:r>
      <w:r w:rsidR="002E3356">
        <w:rPr>
          <w:rFonts w:asciiTheme="majorBidi" w:eastAsia="Times New Roman" w:hAnsiTheme="majorBidi" w:cstheme="majorBidi"/>
          <w:noProof/>
          <w:color w:val="000000" w:themeColor="text1"/>
          <w:u w:val="single"/>
          <w:lang w:eastAsia="en-GB"/>
        </w:rPr>
        <w:t>lifecycle</w:t>
      </w:r>
      <w:r w:rsidR="007E6F77">
        <w:rPr>
          <w:rFonts w:asciiTheme="majorBidi" w:eastAsia="Times New Roman" w:hAnsiTheme="majorBidi" w:cstheme="majorBidi"/>
          <w:noProof/>
          <w:color w:val="000000" w:themeColor="text1"/>
          <w:u w:val="single"/>
          <w:lang w:eastAsia="en-GB"/>
        </w:rPr>
        <w:t xml:space="preserve"> of serious cross-border criminal cases</w:t>
      </w:r>
      <w:r w:rsidR="0044051F">
        <w:rPr>
          <w:rFonts w:asciiTheme="majorBidi" w:eastAsia="Times New Roman" w:hAnsiTheme="majorBidi" w:cstheme="majorBidi"/>
          <w:noProof/>
          <w:color w:val="000000" w:themeColor="text1"/>
          <w:u w:val="single"/>
          <w:lang w:eastAsia="en-GB"/>
        </w:rPr>
        <w:t>.</w:t>
      </w:r>
      <w:r w:rsidR="00CE2F4D" w:rsidRPr="00D4396B">
        <w:rPr>
          <w:rFonts w:asciiTheme="majorBidi" w:eastAsia="Times New Roman" w:hAnsiTheme="majorBidi" w:cstheme="majorBidi"/>
          <w:noProof/>
          <w:color w:val="000000" w:themeColor="text1"/>
          <w:u w:val="single"/>
          <w:lang w:eastAsia="en-GB"/>
        </w:rPr>
        <w:t xml:space="preserve"> </w:t>
      </w:r>
    </w:p>
    <w:p w14:paraId="3A0DEE7F" w14:textId="77777777" w:rsidR="00B51599" w:rsidRPr="00B51599" w:rsidRDefault="00B51599" w:rsidP="00B51599">
      <w:pPr>
        <w:pStyle w:val="NormalWeb"/>
        <w:spacing w:before="0" w:beforeAutospacing="0" w:after="120" w:afterAutospacing="0"/>
        <w:jc w:val="both"/>
        <w:rPr>
          <w:rFonts w:asciiTheme="majorBidi" w:hAnsiTheme="majorBidi" w:cstheme="majorBidi"/>
          <w:noProof/>
          <w:color w:val="000000" w:themeColor="text1"/>
        </w:rPr>
      </w:pPr>
      <w:r w:rsidRPr="00B51599">
        <w:rPr>
          <w:rFonts w:asciiTheme="majorBidi" w:hAnsiTheme="majorBidi" w:cstheme="majorBidi"/>
          <w:noProof/>
          <w:color w:val="000000" w:themeColor="text1"/>
        </w:rPr>
        <w:t>This first specific objective aims to make Eurojust’s internal procedures and decision-making processes more streamlined, so that fewer resources are absorbed by administrative work and more capacity can be redirected towards operational casework. Over the implementation period, this should translate into a measurable reduction in the share of time that National Members and operational staff spend on administrative tasks, as well as faster and clearer internal decision-making.</w:t>
      </w:r>
    </w:p>
    <w:p w14:paraId="43834432" w14:textId="41CA512F" w:rsidR="00B51599" w:rsidRPr="00B51599" w:rsidRDefault="00B51599" w:rsidP="00B51599">
      <w:pPr>
        <w:pStyle w:val="NormalWeb"/>
        <w:spacing w:before="0" w:beforeAutospacing="0" w:after="120" w:afterAutospacing="0"/>
        <w:jc w:val="both"/>
        <w:rPr>
          <w:rFonts w:asciiTheme="majorBidi" w:hAnsiTheme="majorBidi" w:cstheme="majorBidi"/>
          <w:noProof/>
          <w:color w:val="000000" w:themeColor="text1"/>
        </w:rPr>
      </w:pPr>
      <w:r w:rsidRPr="00B51599">
        <w:rPr>
          <w:rFonts w:asciiTheme="majorBidi" w:hAnsiTheme="majorBidi" w:cstheme="majorBidi"/>
          <w:noProof/>
          <w:color w:val="000000" w:themeColor="text1"/>
        </w:rPr>
        <w:t xml:space="preserve">The objective also aims to focus Eurojust’s operational support on cases where EU-level judicial coordination brings the greatest added value. This should be reflected in an increase in own-initiative cases opened by Eurojust, earlier involvement in complex cross-border investigations, and a reduction in </w:t>
      </w:r>
      <w:r w:rsidR="00526265">
        <w:rPr>
          <w:rFonts w:asciiTheme="majorBidi" w:hAnsiTheme="majorBidi" w:cstheme="majorBidi"/>
          <w:noProof/>
          <w:color w:val="000000" w:themeColor="text1"/>
        </w:rPr>
        <w:t>bilateral and</w:t>
      </w:r>
      <w:r w:rsidR="00526265" w:rsidRPr="00B51599">
        <w:rPr>
          <w:rFonts w:asciiTheme="majorBidi" w:hAnsiTheme="majorBidi" w:cstheme="majorBidi"/>
          <w:noProof/>
          <w:color w:val="000000" w:themeColor="text1"/>
        </w:rPr>
        <w:t xml:space="preserve"> </w:t>
      </w:r>
      <w:r w:rsidRPr="00B51599">
        <w:rPr>
          <w:rFonts w:asciiTheme="majorBidi" w:hAnsiTheme="majorBidi" w:cstheme="majorBidi"/>
          <w:noProof/>
          <w:color w:val="000000" w:themeColor="text1"/>
        </w:rPr>
        <w:t>low</w:t>
      </w:r>
      <w:r w:rsidR="00526265">
        <w:rPr>
          <w:rFonts w:asciiTheme="majorBidi" w:hAnsiTheme="majorBidi" w:cstheme="majorBidi"/>
          <w:noProof/>
          <w:color w:val="000000" w:themeColor="text1"/>
        </w:rPr>
        <w:t>er</w:t>
      </w:r>
      <w:r w:rsidRPr="00B51599">
        <w:rPr>
          <w:rFonts w:asciiTheme="majorBidi" w:hAnsiTheme="majorBidi" w:cstheme="majorBidi"/>
          <w:noProof/>
          <w:color w:val="000000" w:themeColor="text1"/>
        </w:rPr>
        <w:t xml:space="preserve">-complexity cases handled directly by Eurojust where they can be effectively redirected to other </w:t>
      </w:r>
      <w:r w:rsidR="00FA7236" w:rsidRPr="00FA7236">
        <w:rPr>
          <w:rFonts w:asciiTheme="majorBidi" w:hAnsiTheme="majorBidi" w:cstheme="majorBidi"/>
          <w:noProof/>
          <w:color w:val="000000" w:themeColor="text1"/>
        </w:rPr>
        <w:t>cooperation channels</w:t>
      </w:r>
      <w:r w:rsidRPr="00B51599">
        <w:rPr>
          <w:rFonts w:asciiTheme="majorBidi" w:hAnsiTheme="majorBidi" w:cstheme="majorBidi"/>
          <w:noProof/>
          <w:color w:val="000000" w:themeColor="text1"/>
        </w:rPr>
        <w:t>.</w:t>
      </w:r>
    </w:p>
    <w:p w14:paraId="1DDC05A3" w14:textId="2E69158D" w:rsidR="00FA7236" w:rsidRPr="00FA7236" w:rsidRDefault="00FA7236" w:rsidP="384F7AB1">
      <w:pPr>
        <w:pStyle w:val="NormalWeb"/>
        <w:spacing w:before="0" w:beforeAutospacing="0" w:after="120" w:afterAutospacing="0"/>
        <w:jc w:val="both"/>
        <w:rPr>
          <w:rFonts w:asciiTheme="majorBidi" w:hAnsiTheme="majorBidi" w:cstheme="majorBidi"/>
          <w:noProof/>
          <w:color w:val="000000" w:themeColor="text1"/>
        </w:rPr>
      </w:pPr>
      <w:r w:rsidRPr="384F7AB1">
        <w:rPr>
          <w:rFonts w:asciiTheme="majorBidi" w:hAnsiTheme="majorBidi" w:cstheme="majorBidi"/>
          <w:noProof/>
          <w:color w:val="000000" w:themeColor="text1"/>
        </w:rPr>
        <w:t xml:space="preserve">Finally, the objective is to keep Eurojust’s support and coordination fit for purpose in light of </w:t>
      </w:r>
      <w:r w:rsidR="16381482" w:rsidRPr="384F7AB1">
        <w:rPr>
          <w:rFonts w:asciiTheme="majorBidi" w:hAnsiTheme="majorBidi" w:cstheme="majorBidi"/>
          <w:noProof/>
          <w:color w:val="000000" w:themeColor="text1"/>
        </w:rPr>
        <w:t>evolving</w:t>
      </w:r>
      <w:r w:rsidRPr="384F7AB1">
        <w:rPr>
          <w:rFonts w:asciiTheme="majorBidi" w:hAnsiTheme="majorBidi" w:cstheme="majorBidi"/>
          <w:noProof/>
          <w:color w:val="000000" w:themeColor="text1"/>
        </w:rPr>
        <w:t xml:space="preserve"> forms of serious cross-border crime and new areas of judicial cooperation. This requires Eurojust to be able to support national authorities and judicial practitioners across the full lifecycle of serious cross-border criminal cases, from investigation through prosecution and trial, including by collecting, structuring and analysing judicial data to identify links between cases and support judicial follow-up.</w:t>
      </w:r>
    </w:p>
    <w:p w14:paraId="74BE0643" w14:textId="099957B0" w:rsidR="00461EE2" w:rsidRPr="00D4396B" w:rsidRDefault="00D95153" w:rsidP="384F7AB1">
      <w:pPr>
        <w:pStyle w:val="NormalWeb"/>
        <w:spacing w:before="0" w:beforeAutospacing="0" w:after="120" w:afterAutospacing="0"/>
        <w:jc w:val="both"/>
        <w:rPr>
          <w:rFonts w:asciiTheme="majorBidi" w:hAnsiTheme="majorBidi" w:cstheme="majorBidi"/>
          <w:noProof/>
          <w:color w:val="000000"/>
        </w:rPr>
      </w:pPr>
      <w:r w:rsidRPr="384F7AB1">
        <w:rPr>
          <w:b/>
          <w:bCs/>
          <w:i/>
          <w:iCs/>
          <w:noProof/>
          <w:u w:val="single"/>
        </w:rPr>
        <w:t>Success indicators for SO1:</w:t>
      </w:r>
      <w:r>
        <w:rPr>
          <w:noProof/>
        </w:rPr>
        <w:t xml:space="preserve"> </w:t>
      </w:r>
      <w:r w:rsidR="00461EE2">
        <w:rPr>
          <w:noProof/>
        </w:rPr>
        <w:t xml:space="preserve">Indicators of success for this objective would be a reduction in the </w:t>
      </w:r>
      <w:r w:rsidR="00461EE2" w:rsidRPr="00A14861">
        <w:rPr>
          <w:noProof/>
        </w:rPr>
        <w:t>share of time spent by National Members on administrative tasks</w:t>
      </w:r>
      <w:r w:rsidR="00461EE2">
        <w:rPr>
          <w:noProof/>
        </w:rPr>
        <w:t xml:space="preserve">, an </w:t>
      </w:r>
      <w:r w:rsidR="00461EE2" w:rsidRPr="00A14861">
        <w:rPr>
          <w:noProof/>
        </w:rPr>
        <w:t>increase in the number of own-initiative cases</w:t>
      </w:r>
      <w:r w:rsidR="00461EE2">
        <w:rPr>
          <w:noProof/>
        </w:rPr>
        <w:t xml:space="preserve">, and a </w:t>
      </w:r>
      <w:r w:rsidR="00461EE2" w:rsidRPr="00A14861">
        <w:rPr>
          <w:noProof/>
        </w:rPr>
        <w:t xml:space="preserve">reduction in the share of </w:t>
      </w:r>
      <w:r w:rsidR="00E96CC5">
        <w:rPr>
          <w:noProof/>
        </w:rPr>
        <w:t>bilateral and lower-complexity</w:t>
      </w:r>
      <w:r w:rsidR="00E96CC5" w:rsidRPr="00A14861">
        <w:rPr>
          <w:noProof/>
        </w:rPr>
        <w:t xml:space="preserve"> </w:t>
      </w:r>
      <w:r w:rsidR="00461EE2" w:rsidRPr="00A14861">
        <w:rPr>
          <w:noProof/>
        </w:rPr>
        <w:t>cases handled by Eurojust</w:t>
      </w:r>
      <w:r w:rsidR="00B10CFD">
        <w:rPr>
          <w:noProof/>
        </w:rPr>
        <w:t xml:space="preserve"> (see </w:t>
      </w:r>
      <w:r w:rsidR="003B1509">
        <w:rPr>
          <w:noProof/>
        </w:rPr>
        <w:t>chapter 9 for</w:t>
      </w:r>
      <w:r w:rsidR="00B10CFD">
        <w:rPr>
          <w:noProof/>
        </w:rPr>
        <w:t xml:space="preserve"> </w:t>
      </w:r>
      <w:r w:rsidR="34019DAD">
        <w:rPr>
          <w:noProof/>
        </w:rPr>
        <w:t>further</w:t>
      </w:r>
      <w:r w:rsidR="00B10CFD">
        <w:rPr>
          <w:noProof/>
        </w:rPr>
        <w:t xml:space="preserve"> details </w:t>
      </w:r>
      <w:r w:rsidR="006502E1">
        <w:rPr>
          <w:noProof/>
        </w:rPr>
        <w:t xml:space="preserve">on </w:t>
      </w:r>
      <w:r w:rsidR="003B1509">
        <w:rPr>
          <w:noProof/>
        </w:rPr>
        <w:t>these success</w:t>
      </w:r>
      <w:r w:rsidR="006502E1">
        <w:rPr>
          <w:noProof/>
        </w:rPr>
        <w:t xml:space="preserve"> indicators </w:t>
      </w:r>
      <w:r w:rsidR="003B1509">
        <w:rPr>
          <w:noProof/>
        </w:rPr>
        <w:t xml:space="preserve">and targets </w:t>
      </w:r>
      <w:r w:rsidR="006502E1">
        <w:rPr>
          <w:noProof/>
        </w:rPr>
        <w:t>proposed</w:t>
      </w:r>
      <w:r w:rsidR="00B10CFD">
        <w:rPr>
          <w:noProof/>
        </w:rPr>
        <w:t>)</w:t>
      </w:r>
      <w:r w:rsidR="006502E1">
        <w:rPr>
          <w:noProof/>
        </w:rPr>
        <w:t>.</w:t>
      </w:r>
    </w:p>
    <w:p w14:paraId="0E74DEB0" w14:textId="511CD748" w:rsidR="00A63B53" w:rsidRPr="00D4396B" w:rsidRDefault="00A63B53" w:rsidP="000F169A">
      <w:pPr>
        <w:pStyle w:val="ListParagraph"/>
        <w:numPr>
          <w:ilvl w:val="0"/>
          <w:numId w:val="5"/>
        </w:numPr>
        <w:tabs>
          <w:tab w:val="left" w:pos="0"/>
        </w:tabs>
        <w:spacing w:after="120"/>
        <w:ind w:left="567" w:hanging="567"/>
        <w:contextualSpacing w:val="0"/>
        <w:rPr>
          <w:rFonts w:asciiTheme="majorBidi" w:hAnsiTheme="majorBidi" w:cstheme="majorBidi"/>
          <w:noProof/>
          <w:u w:val="single"/>
          <w:lang w:val="en-IE"/>
        </w:rPr>
      </w:pPr>
      <w:r w:rsidRPr="00D4396B">
        <w:rPr>
          <w:rFonts w:asciiTheme="majorBidi" w:hAnsiTheme="majorBidi" w:cstheme="majorBidi"/>
          <w:noProof/>
          <w:u w:val="single"/>
          <w:lang w:val="en-IE"/>
        </w:rPr>
        <w:t xml:space="preserve">Specific Objective 2 – </w:t>
      </w:r>
      <w:r w:rsidR="000A4CFB">
        <w:rPr>
          <w:rFonts w:asciiTheme="majorBidi" w:hAnsiTheme="majorBidi" w:cstheme="majorBidi"/>
          <w:noProof/>
          <w:u w:val="single"/>
          <w:lang w:val="en-IE"/>
        </w:rPr>
        <w:t>To</w:t>
      </w:r>
      <w:r w:rsidR="00BE60A2">
        <w:rPr>
          <w:rFonts w:asciiTheme="majorBidi" w:hAnsiTheme="majorBidi" w:cstheme="majorBidi"/>
          <w:noProof/>
          <w:u w:val="single"/>
          <w:lang w:val="en-IE"/>
        </w:rPr>
        <w:t xml:space="preserve"> achieve more institutionalised cooperation and more </w:t>
      </w:r>
      <w:r w:rsidR="009C7732">
        <w:rPr>
          <w:rFonts w:asciiTheme="majorBidi" w:hAnsiTheme="majorBidi" w:cstheme="majorBidi"/>
          <w:noProof/>
          <w:u w:val="single"/>
          <w:lang w:val="en-IE"/>
        </w:rPr>
        <w:t>timely information exchanges between Eurojust and EU and international pa</w:t>
      </w:r>
      <w:r w:rsidR="00975AA1">
        <w:rPr>
          <w:rFonts w:asciiTheme="majorBidi" w:hAnsiTheme="majorBidi" w:cstheme="majorBidi"/>
          <w:noProof/>
          <w:u w:val="single"/>
          <w:lang w:val="en-IE"/>
        </w:rPr>
        <w:t>rtners.</w:t>
      </w:r>
    </w:p>
    <w:p w14:paraId="6CCF1DC3" w14:textId="5C070405" w:rsidR="00F26A85" w:rsidRPr="00F26A85" w:rsidRDefault="00F26A85" w:rsidP="384F7AB1">
      <w:pPr>
        <w:pStyle w:val="NormalWeb"/>
        <w:spacing w:before="0" w:beforeAutospacing="0" w:after="120" w:afterAutospacing="0"/>
        <w:jc w:val="both"/>
        <w:rPr>
          <w:rFonts w:asciiTheme="majorBidi" w:hAnsiTheme="majorBidi" w:cstheme="majorBidi"/>
          <w:noProof/>
          <w:color w:val="000000" w:themeColor="text1"/>
          <w:lang w:val="en-GB"/>
        </w:rPr>
      </w:pPr>
      <w:r w:rsidRPr="384F7AB1">
        <w:rPr>
          <w:rFonts w:asciiTheme="majorBidi" w:hAnsiTheme="majorBidi" w:cstheme="majorBidi"/>
          <w:noProof/>
          <w:color w:val="000000" w:themeColor="text1"/>
          <w:lang w:val="en-GB"/>
        </w:rPr>
        <w:t xml:space="preserve">This specific objective aims to make cooperation between Eurojust and EU and international partners more structured, </w:t>
      </w:r>
      <w:r w:rsidR="37FFE8D3" w:rsidRPr="384F7AB1">
        <w:rPr>
          <w:rFonts w:asciiTheme="majorBidi" w:hAnsiTheme="majorBidi" w:cstheme="majorBidi"/>
          <w:noProof/>
          <w:color w:val="000000" w:themeColor="text1"/>
          <w:lang w:val="en-GB"/>
        </w:rPr>
        <w:t>efficient</w:t>
      </w:r>
      <w:r w:rsidRPr="384F7AB1">
        <w:rPr>
          <w:rFonts w:asciiTheme="majorBidi" w:hAnsiTheme="majorBidi" w:cstheme="majorBidi"/>
          <w:noProof/>
          <w:color w:val="000000" w:themeColor="text1"/>
          <w:lang w:val="en-GB"/>
        </w:rPr>
        <w:t xml:space="preserve"> and timely. Over the implementation period, this should translate into a measurable increase in operational information exchanges with partners, meaningful interactions with third-country authorities, and Eurojust cases involving third countries. It should also reduce </w:t>
      </w:r>
      <w:r w:rsidR="00141984" w:rsidRPr="384F7AB1">
        <w:rPr>
          <w:rFonts w:asciiTheme="majorBidi" w:hAnsiTheme="majorBidi" w:cstheme="majorBidi"/>
          <w:noProof/>
          <w:color w:val="000000" w:themeColor="text1"/>
          <w:lang w:val="en-GB"/>
        </w:rPr>
        <w:t>delays</w:t>
      </w:r>
      <w:r w:rsidRPr="384F7AB1">
        <w:rPr>
          <w:rFonts w:asciiTheme="majorBidi" w:hAnsiTheme="majorBidi" w:cstheme="majorBidi"/>
          <w:noProof/>
          <w:color w:val="000000" w:themeColor="text1"/>
          <w:lang w:val="en-GB"/>
        </w:rPr>
        <w:t xml:space="preserve"> between requests for information, replies and operational follow-up, ensuring that relevant information reaches Eurojust and its partners early enough to identify links between cases and opportunities for cross-border investigation or prosecution.</w:t>
      </w:r>
    </w:p>
    <w:p w14:paraId="0B32ED61" w14:textId="6C0A8E5D" w:rsidR="00A63B53" w:rsidRDefault="00F26A85" w:rsidP="0092673A">
      <w:pPr>
        <w:pStyle w:val="NormalWeb"/>
        <w:spacing w:before="0" w:beforeAutospacing="0" w:after="120" w:afterAutospacing="0"/>
        <w:jc w:val="both"/>
        <w:rPr>
          <w:rFonts w:asciiTheme="majorBidi" w:hAnsiTheme="majorBidi" w:cstheme="majorBidi"/>
          <w:noProof/>
          <w:color w:val="000000" w:themeColor="text1"/>
        </w:rPr>
      </w:pPr>
      <w:r w:rsidRPr="00F26A85">
        <w:rPr>
          <w:rFonts w:asciiTheme="majorBidi" w:hAnsiTheme="majorBidi" w:cstheme="majorBidi"/>
          <w:noProof/>
          <w:color w:val="000000" w:themeColor="text1"/>
          <w:lang w:val="en-GB"/>
        </w:rPr>
        <w:t>To this end, the objective seeks to ensure that Eurojust has stable, well-defined and responsive cooperation channels with EU bodies, offices and agencies, international partners and third-country authorities, including through liaison officers and established cooperation frameworks. These channels should support more predictable exchanges, clearer responsibilities and more consistent operational follow-up in cases involving several jurisdictions.</w:t>
      </w:r>
    </w:p>
    <w:p w14:paraId="43FEE69E" w14:textId="5CF23364" w:rsidR="007F4B94" w:rsidRPr="001617D1" w:rsidRDefault="00D95153" w:rsidP="0092673A">
      <w:pPr>
        <w:pStyle w:val="NormalWeb"/>
        <w:spacing w:before="0" w:beforeAutospacing="0" w:after="120" w:afterAutospacing="0"/>
        <w:jc w:val="both"/>
        <w:rPr>
          <w:rFonts w:asciiTheme="majorBidi" w:hAnsiTheme="majorBidi" w:cstheme="majorBidi"/>
          <w:noProof/>
          <w:color w:val="000000" w:themeColor="text1"/>
          <w:lang w:val="en-GB"/>
        </w:rPr>
      </w:pPr>
      <w:r w:rsidRPr="5CB6B945">
        <w:rPr>
          <w:b/>
          <w:bCs/>
          <w:i/>
          <w:iCs/>
          <w:noProof/>
          <w:u w:val="single"/>
        </w:rPr>
        <w:t>Success indicators for SO2:</w:t>
      </w:r>
      <w:r>
        <w:rPr>
          <w:noProof/>
        </w:rPr>
        <w:t xml:space="preserve"> </w:t>
      </w:r>
      <w:r w:rsidR="00B94086">
        <w:rPr>
          <w:noProof/>
        </w:rPr>
        <w:t>While improvements in cooperation with third countries are difficult to assess on the basis of quantitative data alone, as they depend on a range of external factors and political contingencies, one indicator of stronger cooperation with partners would be a higher number of follow-ups to system “hits”, pointing to more effective, timely and operational information exchanges. A follow-up to a “hit” means that, once relevant information has been identified in a partner’s database, that information is extracted and transmitted to the requester</w:t>
      </w:r>
      <w:r w:rsidR="006D6D0D">
        <w:rPr>
          <w:noProof/>
        </w:rPr>
        <w:t xml:space="preserve"> (cf</w:t>
      </w:r>
      <w:r w:rsidR="00E9124B">
        <w:rPr>
          <w:noProof/>
        </w:rPr>
        <w:t xml:space="preserve"> chapter 9 </w:t>
      </w:r>
      <w:r w:rsidR="003911A5">
        <w:rPr>
          <w:noProof/>
        </w:rPr>
        <w:t>on</w:t>
      </w:r>
      <w:r w:rsidR="00E9124B">
        <w:rPr>
          <w:noProof/>
        </w:rPr>
        <w:t xml:space="preserve"> </w:t>
      </w:r>
      <w:r w:rsidR="006D6D0D">
        <w:rPr>
          <w:noProof/>
        </w:rPr>
        <w:t>fu</w:t>
      </w:r>
      <w:r w:rsidR="00D3173E">
        <w:rPr>
          <w:noProof/>
        </w:rPr>
        <w:t>r</w:t>
      </w:r>
      <w:r w:rsidR="006D6D0D">
        <w:rPr>
          <w:noProof/>
        </w:rPr>
        <w:t>ther</w:t>
      </w:r>
      <w:r w:rsidR="00E9124B">
        <w:rPr>
          <w:noProof/>
        </w:rPr>
        <w:t xml:space="preserve"> </w:t>
      </w:r>
      <w:r w:rsidR="006D6D0D">
        <w:rPr>
          <w:noProof/>
        </w:rPr>
        <w:t>indicator</w:t>
      </w:r>
      <w:r w:rsidR="003911A5">
        <w:rPr>
          <w:noProof/>
        </w:rPr>
        <w:t xml:space="preserve"> details/</w:t>
      </w:r>
      <w:r w:rsidR="006D6D0D">
        <w:rPr>
          <w:noProof/>
        </w:rPr>
        <w:t>target</w:t>
      </w:r>
      <w:r w:rsidR="003911A5">
        <w:rPr>
          <w:noProof/>
        </w:rPr>
        <w:t>)</w:t>
      </w:r>
      <w:r w:rsidR="00B94086">
        <w:rPr>
          <w:noProof/>
        </w:rPr>
        <w:t>.</w:t>
      </w:r>
      <w:r w:rsidR="00E9124B">
        <w:rPr>
          <w:noProof/>
        </w:rPr>
        <w:t xml:space="preserve"> </w:t>
      </w:r>
    </w:p>
    <w:p w14:paraId="354C0644" w14:textId="6E9AEDB3" w:rsidR="00A63B53" w:rsidRPr="00D4396B" w:rsidRDefault="00A63B53" w:rsidP="00213B91">
      <w:pPr>
        <w:pStyle w:val="Heading1"/>
        <w:rPr>
          <w:noProof/>
        </w:rPr>
      </w:pPr>
      <w:bookmarkStart w:id="126" w:name="_Toc979134624"/>
      <w:bookmarkStart w:id="127" w:name="_Toc164227013"/>
      <w:bookmarkStart w:id="128" w:name="_Toc221260315"/>
      <w:bookmarkStart w:id="129" w:name="_Toc224109567"/>
      <w:bookmarkStart w:id="130" w:name="_Toc232176412"/>
      <w:r w:rsidRPr="00D4396B">
        <w:rPr>
          <w:noProof/>
        </w:rPr>
        <w:t>5.</w:t>
      </w:r>
      <w:r w:rsidRPr="00D4396B">
        <w:rPr>
          <w:noProof/>
        </w:rPr>
        <w:tab/>
        <w:t>What are the available policy options?</w:t>
      </w:r>
      <w:bookmarkEnd w:id="126"/>
      <w:bookmarkEnd w:id="127"/>
      <w:bookmarkEnd w:id="128"/>
      <w:bookmarkEnd w:id="129"/>
      <w:bookmarkEnd w:id="130"/>
    </w:p>
    <w:p w14:paraId="40993492" w14:textId="77777777" w:rsidR="00A63B53" w:rsidRDefault="00A63B53" w:rsidP="0092673A">
      <w:pPr>
        <w:spacing w:after="120"/>
        <w:rPr>
          <w:rFonts w:asciiTheme="majorBidi" w:eastAsia="Times New Roman" w:hAnsiTheme="majorBidi" w:cstheme="majorBidi"/>
          <w:noProof/>
        </w:rPr>
      </w:pPr>
      <w:r w:rsidRPr="00D4396B">
        <w:rPr>
          <w:rFonts w:asciiTheme="majorBidi" w:eastAsia="Times New Roman" w:hAnsiTheme="majorBidi" w:cstheme="majorBidi"/>
          <w:noProof/>
        </w:rPr>
        <w:t>This chapter sets out the available policy options, which include the baseline as well as several options requiring regulatory or non-regulatory interventions. A number of policy options, which were discarded at an early stage, are also described.</w:t>
      </w:r>
    </w:p>
    <w:p w14:paraId="263FD3C6" w14:textId="77777777" w:rsidR="00390347" w:rsidRPr="00D4396B" w:rsidRDefault="00390347" w:rsidP="0092673A">
      <w:pPr>
        <w:spacing w:after="120"/>
        <w:rPr>
          <w:rFonts w:asciiTheme="majorBidi" w:eastAsia="Times New Roman" w:hAnsiTheme="majorBidi" w:cstheme="majorBidi"/>
          <w:noProof/>
        </w:rPr>
      </w:pPr>
    </w:p>
    <w:p w14:paraId="3F01A4CE" w14:textId="4B8E6547" w:rsidR="00A63B53" w:rsidRPr="00D4396B" w:rsidRDefault="00A63B53" w:rsidP="000C3545">
      <w:pPr>
        <w:pStyle w:val="Heading2"/>
        <w:rPr>
          <w:noProof/>
        </w:rPr>
      </w:pPr>
      <w:bookmarkStart w:id="131" w:name="_Toc2083835246"/>
      <w:bookmarkStart w:id="132" w:name="_Toc98858948"/>
      <w:bookmarkStart w:id="133" w:name="_Toc1945478018"/>
      <w:bookmarkStart w:id="134" w:name="_Toc1606663437"/>
      <w:bookmarkStart w:id="135" w:name="_Toc2103816392"/>
      <w:bookmarkStart w:id="136" w:name="_Toc224109568"/>
      <w:bookmarkStart w:id="137" w:name="_Toc232176413"/>
      <w:r w:rsidRPr="00D4396B">
        <w:rPr>
          <w:noProof/>
        </w:rPr>
        <w:t>5.1.</w:t>
      </w:r>
      <w:r w:rsidR="00213B91">
        <w:rPr>
          <w:noProof/>
        </w:rPr>
        <w:tab/>
      </w:r>
      <w:r w:rsidRPr="00D4396B">
        <w:rPr>
          <w:noProof/>
        </w:rPr>
        <w:t>What is the baseline from which the options are assessed?</w:t>
      </w:r>
      <w:bookmarkEnd w:id="131"/>
      <w:bookmarkEnd w:id="132"/>
      <w:bookmarkEnd w:id="133"/>
      <w:bookmarkEnd w:id="134"/>
      <w:bookmarkEnd w:id="135"/>
      <w:bookmarkEnd w:id="136"/>
      <w:bookmarkEnd w:id="137"/>
    </w:p>
    <w:p w14:paraId="3D1C5392" w14:textId="62110C42" w:rsidR="00A63B53" w:rsidRPr="00D4396B" w:rsidRDefault="00A63B53" w:rsidP="0092673A">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The baseline scenario </w:t>
      </w:r>
      <w:r w:rsidR="009C1804" w:rsidRPr="00D4396B">
        <w:rPr>
          <w:rFonts w:asciiTheme="majorBidi" w:eastAsia="Times New Roman" w:hAnsiTheme="majorBidi" w:cstheme="majorBidi"/>
          <w:noProof/>
        </w:rPr>
        <w:t xml:space="preserve">projects </w:t>
      </w:r>
      <w:r w:rsidRPr="00D4396B">
        <w:rPr>
          <w:rFonts w:asciiTheme="majorBidi" w:eastAsia="Times New Roman" w:hAnsiTheme="majorBidi" w:cstheme="majorBidi"/>
          <w:noProof/>
        </w:rPr>
        <w:t>how the situation is expected to evolve</w:t>
      </w:r>
      <w:r w:rsidRPr="00D4396B">
        <w:rPr>
          <w:rFonts w:asciiTheme="majorBidi" w:eastAsia="Times New Roman" w:hAnsiTheme="majorBidi" w:cstheme="majorBidi"/>
          <w:b/>
          <w:bCs/>
          <w:noProof/>
        </w:rPr>
        <w:t xml:space="preserve"> </w:t>
      </w:r>
      <w:r w:rsidR="001373A5" w:rsidRPr="00D4396B">
        <w:rPr>
          <w:rFonts w:asciiTheme="majorBidi" w:eastAsia="Times New Roman" w:hAnsiTheme="majorBidi" w:cstheme="majorBidi"/>
          <w:b/>
          <w:bCs/>
          <w:noProof/>
        </w:rPr>
        <w:t>from</w:t>
      </w:r>
      <w:r w:rsidRPr="00D4396B">
        <w:rPr>
          <w:rFonts w:asciiTheme="majorBidi" w:eastAsia="Times New Roman" w:hAnsiTheme="majorBidi" w:cstheme="majorBidi"/>
          <w:b/>
          <w:bCs/>
          <w:noProof/>
        </w:rPr>
        <w:t xml:space="preserve"> 2026</w:t>
      </w:r>
      <w:r w:rsidR="001373A5" w:rsidRPr="00D4396B">
        <w:rPr>
          <w:rFonts w:asciiTheme="majorBidi" w:eastAsia="Times New Roman" w:hAnsiTheme="majorBidi" w:cstheme="majorBidi"/>
          <w:b/>
          <w:bCs/>
          <w:noProof/>
        </w:rPr>
        <w:t xml:space="preserve"> to</w:t>
      </w:r>
      <w:r w:rsidR="002C2A3A" w:rsidRPr="00D4396B">
        <w:rPr>
          <w:rFonts w:asciiTheme="majorBidi" w:eastAsia="Times New Roman" w:hAnsiTheme="majorBidi" w:cstheme="majorBidi"/>
          <w:b/>
          <w:bCs/>
          <w:noProof/>
        </w:rPr>
        <w:t xml:space="preserve"> </w:t>
      </w:r>
      <w:r w:rsidRPr="00D4396B">
        <w:rPr>
          <w:rFonts w:asciiTheme="majorBidi" w:eastAsia="Times New Roman" w:hAnsiTheme="majorBidi" w:cstheme="majorBidi"/>
          <w:b/>
          <w:bCs/>
          <w:noProof/>
        </w:rPr>
        <w:t>2035 in the absence of further EU intervention</w:t>
      </w:r>
      <w:r w:rsidRPr="00D4396B">
        <w:rPr>
          <w:rFonts w:asciiTheme="majorBidi" w:eastAsia="Times New Roman" w:hAnsiTheme="majorBidi" w:cstheme="majorBidi"/>
          <w:noProof/>
        </w:rPr>
        <w:t>, without amendments to the E</w:t>
      </w:r>
      <w:r w:rsidR="00DB4FA1" w:rsidRPr="00D4396B">
        <w:rPr>
          <w:rFonts w:asciiTheme="majorBidi" w:eastAsia="Times New Roman" w:hAnsiTheme="majorBidi" w:cstheme="majorBidi"/>
          <w:noProof/>
        </w:rPr>
        <w:t xml:space="preserve">JR </w:t>
      </w:r>
      <w:r w:rsidR="00C121EB" w:rsidRPr="00D4396B">
        <w:rPr>
          <w:rFonts w:asciiTheme="majorBidi" w:eastAsia="Times New Roman" w:hAnsiTheme="majorBidi" w:cstheme="majorBidi"/>
          <w:noProof/>
        </w:rPr>
        <w:t>and no</w:t>
      </w:r>
      <w:r w:rsidRPr="00D4396B">
        <w:rPr>
          <w:rFonts w:asciiTheme="majorBidi" w:eastAsia="Times New Roman" w:hAnsiTheme="majorBidi" w:cstheme="majorBidi"/>
          <w:noProof/>
        </w:rPr>
        <w:t xml:space="preserve"> additional </w:t>
      </w:r>
      <w:r w:rsidR="009F3CA4" w:rsidRPr="00D4396B">
        <w:rPr>
          <w:rFonts w:asciiTheme="majorBidi" w:eastAsia="Times New Roman" w:hAnsiTheme="majorBidi" w:cstheme="majorBidi"/>
          <w:noProof/>
        </w:rPr>
        <w:t>resources allocated</w:t>
      </w:r>
      <w:r w:rsidRPr="00D4396B">
        <w:rPr>
          <w:rFonts w:asciiTheme="majorBidi" w:eastAsia="Times New Roman" w:hAnsiTheme="majorBidi" w:cstheme="majorBidi"/>
          <w:noProof/>
        </w:rPr>
        <w:t xml:space="preserve">. </w:t>
      </w:r>
      <w:r w:rsidR="00AD79BF" w:rsidRPr="00D4396B">
        <w:rPr>
          <w:rFonts w:asciiTheme="majorBidi" w:eastAsia="Times New Roman" w:hAnsiTheme="majorBidi" w:cstheme="majorBidi"/>
          <w:noProof/>
        </w:rPr>
        <w:t xml:space="preserve">Eurojust would continue </w:t>
      </w:r>
      <w:r w:rsidR="0074733C" w:rsidRPr="00D4396B">
        <w:rPr>
          <w:rFonts w:asciiTheme="majorBidi" w:eastAsia="Times New Roman" w:hAnsiTheme="majorBidi" w:cstheme="majorBidi"/>
          <w:noProof/>
        </w:rPr>
        <w:t xml:space="preserve">operating </w:t>
      </w:r>
      <w:r w:rsidR="00604BC9" w:rsidRPr="00D4396B">
        <w:rPr>
          <w:rFonts w:asciiTheme="majorBidi" w:eastAsia="Times New Roman" w:hAnsiTheme="majorBidi" w:cstheme="majorBidi"/>
          <w:noProof/>
        </w:rPr>
        <w:t>under its current mandate</w:t>
      </w:r>
      <w:r w:rsidR="00064F70" w:rsidRPr="00D4396B">
        <w:rPr>
          <w:rFonts w:asciiTheme="majorBidi" w:eastAsia="Times New Roman" w:hAnsiTheme="majorBidi" w:cstheme="majorBidi"/>
          <w:noProof/>
        </w:rPr>
        <w:t xml:space="preserve">, </w:t>
      </w:r>
      <w:r w:rsidR="009E6ED2">
        <w:rPr>
          <w:rFonts w:asciiTheme="majorBidi" w:eastAsia="Times New Roman" w:hAnsiTheme="majorBidi" w:cstheme="majorBidi"/>
          <w:noProof/>
        </w:rPr>
        <w:t>implementing only</w:t>
      </w:r>
      <w:r w:rsidR="00064F70" w:rsidRPr="00D4396B">
        <w:rPr>
          <w:rFonts w:asciiTheme="majorBidi" w:eastAsia="Times New Roman" w:hAnsiTheme="majorBidi" w:cstheme="majorBidi"/>
          <w:noProof/>
        </w:rPr>
        <w:t xml:space="preserve"> incremental </w:t>
      </w:r>
      <w:r w:rsidR="002D70C5" w:rsidRPr="00D4396B">
        <w:rPr>
          <w:rFonts w:asciiTheme="majorBidi" w:eastAsia="Times New Roman" w:hAnsiTheme="majorBidi" w:cstheme="majorBidi"/>
          <w:noProof/>
        </w:rPr>
        <w:t>adaptations.</w:t>
      </w:r>
      <w:r w:rsidR="002D70C5" w:rsidRPr="00D4396B" w:rsidDel="009B0EC7">
        <w:rPr>
          <w:rFonts w:asciiTheme="majorBidi" w:eastAsia="Times New Roman" w:hAnsiTheme="majorBidi" w:cstheme="majorBidi"/>
          <w:noProof/>
        </w:rPr>
        <w:t xml:space="preserve"> </w:t>
      </w:r>
      <w:r w:rsidR="009B0EC7" w:rsidRPr="00D4396B">
        <w:rPr>
          <w:rFonts w:asciiTheme="majorBidi" w:eastAsia="Times New Roman" w:hAnsiTheme="majorBidi" w:cstheme="majorBidi"/>
          <w:noProof/>
        </w:rPr>
        <w:t>Th</w:t>
      </w:r>
      <w:r w:rsidR="009B0EC7">
        <w:rPr>
          <w:rFonts w:asciiTheme="majorBidi" w:eastAsia="Times New Roman" w:hAnsiTheme="majorBidi" w:cstheme="majorBidi"/>
          <w:noProof/>
        </w:rPr>
        <w:t>is</w:t>
      </w:r>
      <w:r w:rsidR="009B0EC7" w:rsidRPr="00D4396B">
        <w:rPr>
          <w:rFonts w:asciiTheme="majorBidi" w:eastAsia="Times New Roman" w:hAnsiTheme="majorBidi" w:cstheme="majorBidi"/>
          <w:noProof/>
        </w:rPr>
        <w:t xml:space="preserve"> </w:t>
      </w:r>
      <w:r w:rsidR="002D70C5" w:rsidRPr="00D4396B">
        <w:rPr>
          <w:rFonts w:asciiTheme="majorBidi" w:eastAsia="Times New Roman" w:hAnsiTheme="majorBidi" w:cstheme="majorBidi"/>
          <w:noProof/>
        </w:rPr>
        <w:t xml:space="preserve">scenario </w:t>
      </w:r>
      <w:r w:rsidR="004F304A">
        <w:rPr>
          <w:rFonts w:asciiTheme="majorBidi" w:eastAsia="Times New Roman" w:hAnsiTheme="majorBidi" w:cstheme="majorBidi"/>
          <w:noProof/>
        </w:rPr>
        <w:t>accounts for</w:t>
      </w:r>
      <w:r w:rsidR="00DE2EB3" w:rsidRPr="00D4396B">
        <w:rPr>
          <w:rFonts w:asciiTheme="majorBidi" w:eastAsia="Times New Roman" w:hAnsiTheme="majorBidi" w:cstheme="majorBidi"/>
          <w:noProof/>
        </w:rPr>
        <w:t xml:space="preserve"> </w:t>
      </w:r>
      <w:r w:rsidR="00C136EE" w:rsidRPr="00D4396B">
        <w:rPr>
          <w:rFonts w:asciiTheme="majorBidi" w:eastAsia="Times New Roman" w:hAnsiTheme="majorBidi" w:cstheme="majorBidi"/>
          <w:noProof/>
        </w:rPr>
        <w:t>endogenous</w:t>
      </w:r>
      <w:r w:rsidR="00DE2EB3" w:rsidRPr="00D4396B">
        <w:rPr>
          <w:rFonts w:asciiTheme="majorBidi" w:eastAsia="Times New Roman" w:hAnsiTheme="majorBidi" w:cstheme="majorBidi"/>
          <w:noProof/>
        </w:rPr>
        <w:t xml:space="preserve"> factors (existing legislation, ongoing initiatives)</w:t>
      </w:r>
      <w:r w:rsidR="00AA7590" w:rsidRPr="00D4396B">
        <w:rPr>
          <w:rFonts w:asciiTheme="majorBidi" w:eastAsia="Times New Roman" w:hAnsiTheme="majorBidi" w:cstheme="majorBidi"/>
          <w:noProof/>
        </w:rPr>
        <w:t xml:space="preserve"> and </w:t>
      </w:r>
      <w:r w:rsidR="003A5981" w:rsidRPr="00D4396B">
        <w:rPr>
          <w:rFonts w:asciiTheme="majorBidi" w:eastAsia="Times New Roman" w:hAnsiTheme="majorBidi" w:cstheme="majorBidi"/>
          <w:noProof/>
        </w:rPr>
        <w:t>exogenous</w:t>
      </w:r>
      <w:r w:rsidR="00AA7590" w:rsidRPr="00D4396B">
        <w:rPr>
          <w:rFonts w:asciiTheme="majorBidi" w:eastAsia="Times New Roman" w:hAnsiTheme="majorBidi" w:cstheme="majorBidi"/>
          <w:noProof/>
        </w:rPr>
        <w:t xml:space="preserve"> drivers (geopolitical instability, technological </w:t>
      </w:r>
      <w:r w:rsidR="005A212E" w:rsidRPr="00D4396B">
        <w:rPr>
          <w:rFonts w:asciiTheme="majorBidi" w:eastAsia="Times New Roman" w:hAnsiTheme="majorBidi" w:cstheme="majorBidi"/>
          <w:noProof/>
        </w:rPr>
        <w:t>developments</w:t>
      </w:r>
      <w:r w:rsidR="00C136EE" w:rsidRPr="00D4396B">
        <w:rPr>
          <w:rFonts w:asciiTheme="majorBidi" w:eastAsia="Times New Roman" w:hAnsiTheme="majorBidi" w:cstheme="majorBidi"/>
          <w:noProof/>
        </w:rPr>
        <w:t xml:space="preserve">, crime trends), </w:t>
      </w:r>
      <w:r w:rsidR="004F304A">
        <w:rPr>
          <w:rFonts w:asciiTheme="majorBidi" w:eastAsia="Times New Roman" w:hAnsiTheme="majorBidi" w:cstheme="majorBidi"/>
          <w:noProof/>
        </w:rPr>
        <w:t>assuming</w:t>
      </w:r>
      <w:r w:rsidR="00C136EE" w:rsidRPr="00D4396B">
        <w:rPr>
          <w:rFonts w:asciiTheme="majorBidi" w:eastAsia="Times New Roman" w:hAnsiTheme="majorBidi" w:cstheme="majorBidi"/>
          <w:noProof/>
        </w:rPr>
        <w:t xml:space="preserve"> no structural</w:t>
      </w:r>
      <w:r w:rsidR="00C136EE" w:rsidRPr="00D4396B" w:rsidDel="001D5536">
        <w:rPr>
          <w:rFonts w:asciiTheme="majorBidi" w:eastAsia="Times New Roman" w:hAnsiTheme="majorBidi" w:cstheme="majorBidi"/>
          <w:noProof/>
        </w:rPr>
        <w:t xml:space="preserve"> </w:t>
      </w:r>
      <w:r w:rsidR="00C136EE" w:rsidRPr="00D4396B">
        <w:rPr>
          <w:rFonts w:asciiTheme="majorBidi" w:eastAsia="Times New Roman" w:hAnsiTheme="majorBidi" w:cstheme="majorBidi"/>
          <w:noProof/>
        </w:rPr>
        <w:t>reforms</w:t>
      </w:r>
      <w:r w:rsidRPr="00D4396B">
        <w:rPr>
          <w:rFonts w:asciiTheme="majorBidi" w:eastAsia="Times New Roman" w:hAnsiTheme="majorBidi" w:cstheme="majorBidi"/>
          <w:noProof/>
        </w:rPr>
        <w:t>.</w:t>
      </w:r>
    </w:p>
    <w:p w14:paraId="6D0987A5" w14:textId="6578FEA6" w:rsidR="00A63B53" w:rsidRPr="00D4396B" w:rsidRDefault="001A6819" w:rsidP="001445AE">
      <w:pPr>
        <w:spacing w:after="120"/>
        <w:rPr>
          <w:rFonts w:asciiTheme="majorBidi" w:eastAsia="Times New Roman" w:hAnsiTheme="majorBidi" w:cstheme="majorBidi"/>
          <w:noProof/>
        </w:rPr>
      </w:pPr>
      <w:r w:rsidRPr="00D4396B">
        <w:rPr>
          <w:rFonts w:asciiTheme="majorBidi" w:eastAsia="Times New Roman" w:hAnsiTheme="majorBidi" w:cstheme="majorBidi"/>
          <w:noProof/>
        </w:rPr>
        <w:t>The</w:t>
      </w:r>
      <w:r w:rsidR="16099869" w:rsidRPr="00D4396B">
        <w:rPr>
          <w:rFonts w:asciiTheme="majorBidi" w:eastAsia="Times New Roman" w:hAnsiTheme="majorBidi" w:cstheme="majorBidi"/>
          <w:b/>
          <w:bCs/>
          <w:noProof/>
        </w:rPr>
        <w:t xml:space="preserve"> </w:t>
      </w:r>
      <w:r w:rsidR="00685A89" w:rsidRPr="00D4396B">
        <w:rPr>
          <w:rFonts w:asciiTheme="majorBidi" w:eastAsia="Times New Roman" w:hAnsiTheme="majorBidi" w:cstheme="majorBidi"/>
          <w:b/>
          <w:bCs/>
          <w:noProof/>
        </w:rPr>
        <w:t xml:space="preserve">rapid </w:t>
      </w:r>
      <w:r w:rsidR="16099869" w:rsidRPr="00D4396B">
        <w:rPr>
          <w:rFonts w:asciiTheme="majorBidi" w:eastAsia="Times New Roman" w:hAnsiTheme="majorBidi" w:cstheme="majorBidi"/>
          <w:b/>
          <w:bCs/>
          <w:noProof/>
        </w:rPr>
        <w:t xml:space="preserve">evolution of criminal threats and technological change </w:t>
      </w:r>
      <w:r w:rsidR="00387478" w:rsidRPr="00D4396B">
        <w:rPr>
          <w:rFonts w:asciiTheme="majorBidi" w:eastAsia="Times New Roman" w:hAnsiTheme="majorBidi" w:cstheme="majorBidi"/>
          <w:noProof/>
        </w:rPr>
        <w:t xml:space="preserve">is </w:t>
      </w:r>
      <w:r w:rsidR="16099869" w:rsidRPr="00D4396B">
        <w:rPr>
          <w:rFonts w:asciiTheme="majorBidi" w:eastAsia="Times New Roman" w:hAnsiTheme="majorBidi" w:cstheme="majorBidi"/>
          <w:noProof/>
        </w:rPr>
        <w:t>expected to</w:t>
      </w:r>
      <w:r w:rsidR="16099869" w:rsidRPr="00D4396B">
        <w:rPr>
          <w:rFonts w:asciiTheme="majorBidi" w:eastAsia="Times New Roman" w:hAnsiTheme="majorBidi" w:cstheme="majorBidi"/>
          <w:b/>
          <w:bCs/>
          <w:noProof/>
        </w:rPr>
        <w:t xml:space="preserve"> outpace Eurojust’s </w:t>
      </w:r>
      <w:r w:rsidR="006934D7" w:rsidRPr="00D4396B">
        <w:rPr>
          <w:rFonts w:asciiTheme="majorBidi" w:eastAsia="Times New Roman" w:hAnsiTheme="majorBidi" w:cstheme="majorBidi"/>
          <w:b/>
          <w:bCs/>
          <w:noProof/>
        </w:rPr>
        <w:t xml:space="preserve">ability </w:t>
      </w:r>
      <w:r w:rsidR="16099869" w:rsidRPr="00D4396B">
        <w:rPr>
          <w:rFonts w:asciiTheme="majorBidi" w:eastAsia="Times New Roman" w:hAnsiTheme="majorBidi" w:cstheme="majorBidi"/>
          <w:b/>
          <w:bCs/>
          <w:noProof/>
        </w:rPr>
        <w:t xml:space="preserve">to adapt </w:t>
      </w:r>
      <w:r w:rsidR="16099869" w:rsidRPr="00D4396B">
        <w:rPr>
          <w:rFonts w:asciiTheme="majorBidi" w:eastAsia="Times New Roman" w:hAnsiTheme="majorBidi" w:cstheme="majorBidi"/>
          <w:noProof/>
        </w:rPr>
        <w:t xml:space="preserve">within </w:t>
      </w:r>
      <w:r w:rsidR="006934D7" w:rsidRPr="00D4396B">
        <w:rPr>
          <w:rFonts w:asciiTheme="majorBidi" w:eastAsia="Times New Roman" w:hAnsiTheme="majorBidi" w:cstheme="majorBidi"/>
          <w:noProof/>
        </w:rPr>
        <w:t xml:space="preserve">its </w:t>
      </w:r>
      <w:r w:rsidR="16099869" w:rsidRPr="00D4396B">
        <w:rPr>
          <w:rFonts w:asciiTheme="majorBidi" w:eastAsia="Times New Roman" w:hAnsiTheme="majorBidi" w:cstheme="majorBidi"/>
          <w:noProof/>
        </w:rPr>
        <w:t>existing framework.</w:t>
      </w:r>
      <w:r w:rsidR="00B032C0">
        <w:rPr>
          <w:rStyle w:val="FootnoteReference"/>
          <w:rFonts w:asciiTheme="majorBidi" w:eastAsia="Times New Roman" w:hAnsiTheme="majorBidi" w:cstheme="majorBidi"/>
          <w:noProof/>
        </w:rPr>
        <w:footnoteReference w:id="97"/>
      </w:r>
      <w:r w:rsidR="16099869" w:rsidRPr="00D4396B">
        <w:rPr>
          <w:rFonts w:asciiTheme="majorBidi" w:eastAsia="Times New Roman" w:hAnsiTheme="majorBidi" w:cstheme="majorBidi"/>
          <w:noProof/>
        </w:rPr>
        <w:t xml:space="preserve"> </w:t>
      </w:r>
      <w:r w:rsidR="009469EE" w:rsidRPr="00D4396B">
        <w:rPr>
          <w:rFonts w:asciiTheme="majorBidi" w:eastAsia="Times New Roman" w:hAnsiTheme="majorBidi" w:cstheme="majorBidi"/>
          <w:noProof/>
        </w:rPr>
        <w:t>Without intervention, the</w:t>
      </w:r>
      <w:r w:rsidR="16099869" w:rsidRPr="00D4396B">
        <w:rPr>
          <w:rFonts w:asciiTheme="majorBidi" w:eastAsia="Times New Roman" w:hAnsiTheme="majorBidi" w:cstheme="majorBidi"/>
          <w:noProof/>
        </w:rPr>
        <w:t xml:space="preserve"> challenges identified in the evaluation are likely to persist or </w:t>
      </w:r>
      <w:r w:rsidR="00A71EA3" w:rsidRPr="00D4396B">
        <w:rPr>
          <w:rFonts w:asciiTheme="majorBidi" w:eastAsia="Times New Roman" w:hAnsiTheme="majorBidi" w:cstheme="majorBidi"/>
          <w:noProof/>
        </w:rPr>
        <w:t xml:space="preserve">worsen </w:t>
      </w:r>
      <w:r w:rsidR="16099869" w:rsidRPr="00D4396B">
        <w:rPr>
          <w:rFonts w:asciiTheme="majorBidi" w:eastAsia="Times New Roman" w:hAnsiTheme="majorBidi" w:cstheme="majorBidi"/>
          <w:noProof/>
        </w:rPr>
        <w:t>over time.</w:t>
      </w:r>
    </w:p>
    <w:p w14:paraId="39D8D74C" w14:textId="5607E04F" w:rsidR="00DF06B8" w:rsidRDefault="198AE790" w:rsidP="5E05A023">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Serious and organised crime is </w:t>
      </w:r>
      <w:r w:rsidR="008B6BC8" w:rsidRPr="00D4396B">
        <w:rPr>
          <w:rFonts w:asciiTheme="majorBidi" w:eastAsia="Times New Roman" w:hAnsiTheme="majorBidi" w:cstheme="majorBidi"/>
          <w:noProof/>
        </w:rPr>
        <w:t xml:space="preserve">becoming </w:t>
      </w:r>
      <w:r w:rsidR="00F333D9" w:rsidRPr="00D4396B">
        <w:rPr>
          <w:rFonts w:asciiTheme="majorBidi" w:eastAsia="Times New Roman" w:hAnsiTheme="majorBidi" w:cstheme="majorBidi"/>
          <w:noProof/>
        </w:rPr>
        <w:t xml:space="preserve">increasingly </w:t>
      </w:r>
      <w:r w:rsidRPr="00D4396B">
        <w:rPr>
          <w:rFonts w:asciiTheme="majorBidi" w:eastAsia="Times New Roman" w:hAnsiTheme="majorBidi" w:cstheme="majorBidi"/>
          <w:b/>
          <w:bCs/>
          <w:noProof/>
        </w:rPr>
        <w:t>digital, poly-criminal, international, and geopolitically entangled</w:t>
      </w:r>
      <w:r w:rsidRPr="00D4396B">
        <w:rPr>
          <w:rFonts w:asciiTheme="majorBidi" w:eastAsia="Times New Roman" w:hAnsiTheme="majorBidi" w:cstheme="majorBidi"/>
          <w:noProof/>
        </w:rPr>
        <w:t xml:space="preserve">. </w:t>
      </w:r>
      <w:r w:rsidR="00A35003">
        <w:rPr>
          <w:rFonts w:asciiTheme="majorBidi" w:eastAsia="Times New Roman" w:hAnsiTheme="majorBidi" w:cstheme="majorBidi"/>
          <w:noProof/>
        </w:rPr>
        <w:t>Whil</w:t>
      </w:r>
      <w:r w:rsidR="00FD18A0">
        <w:rPr>
          <w:rFonts w:asciiTheme="majorBidi" w:eastAsia="Times New Roman" w:hAnsiTheme="majorBidi" w:cstheme="majorBidi"/>
          <w:noProof/>
        </w:rPr>
        <w:t>e</w:t>
      </w:r>
      <w:r w:rsidR="00A35003">
        <w:rPr>
          <w:rFonts w:asciiTheme="majorBidi" w:eastAsia="Times New Roman" w:hAnsiTheme="majorBidi" w:cstheme="majorBidi"/>
          <w:noProof/>
        </w:rPr>
        <w:t xml:space="preserve"> recent estimates imply that </w:t>
      </w:r>
      <w:r w:rsidR="00521287">
        <w:rPr>
          <w:rFonts w:asciiTheme="majorBidi" w:eastAsia="Times New Roman" w:hAnsiTheme="majorBidi" w:cstheme="majorBidi"/>
          <w:noProof/>
        </w:rPr>
        <w:t xml:space="preserve">levels of organised crime remain relatively stable in </w:t>
      </w:r>
      <w:r w:rsidR="0053321C">
        <w:rPr>
          <w:rFonts w:asciiTheme="majorBidi" w:eastAsia="Times New Roman" w:hAnsiTheme="majorBidi" w:cstheme="majorBidi"/>
          <w:noProof/>
        </w:rPr>
        <w:t xml:space="preserve">continental </w:t>
      </w:r>
      <w:r w:rsidR="00521287">
        <w:rPr>
          <w:rFonts w:asciiTheme="majorBidi" w:eastAsia="Times New Roman" w:hAnsiTheme="majorBidi" w:cstheme="majorBidi"/>
          <w:noProof/>
        </w:rPr>
        <w:t>Europe</w:t>
      </w:r>
      <w:r w:rsidR="00277229">
        <w:rPr>
          <w:rFonts w:asciiTheme="majorBidi" w:eastAsia="Times New Roman" w:hAnsiTheme="majorBidi" w:cstheme="majorBidi"/>
          <w:noProof/>
        </w:rPr>
        <w:t xml:space="preserve">, </w:t>
      </w:r>
      <w:r w:rsidR="007B5E7E">
        <w:rPr>
          <w:rFonts w:asciiTheme="majorBidi" w:eastAsia="Times New Roman" w:hAnsiTheme="majorBidi" w:cstheme="majorBidi"/>
          <w:noProof/>
        </w:rPr>
        <w:t xml:space="preserve">the </w:t>
      </w:r>
      <w:r w:rsidR="00FF533A">
        <w:rPr>
          <w:rFonts w:asciiTheme="majorBidi" w:eastAsia="Times New Roman" w:hAnsiTheme="majorBidi" w:cstheme="majorBidi"/>
          <w:noProof/>
        </w:rPr>
        <w:t xml:space="preserve">ratings for </w:t>
      </w:r>
      <w:r w:rsidR="007B5E7E">
        <w:rPr>
          <w:rFonts w:asciiTheme="majorBidi" w:eastAsia="Times New Roman" w:hAnsiTheme="majorBidi" w:cstheme="majorBidi"/>
          <w:noProof/>
        </w:rPr>
        <w:t xml:space="preserve">different EU Member states </w:t>
      </w:r>
      <w:r w:rsidR="00FF533A">
        <w:rPr>
          <w:rFonts w:asciiTheme="majorBidi" w:eastAsia="Times New Roman" w:hAnsiTheme="majorBidi" w:cstheme="majorBidi"/>
          <w:noProof/>
        </w:rPr>
        <w:t>vary</w:t>
      </w:r>
      <w:r w:rsidR="004D6143">
        <w:rPr>
          <w:rFonts w:asciiTheme="majorBidi" w:eastAsia="Times New Roman" w:hAnsiTheme="majorBidi" w:cstheme="majorBidi"/>
          <w:noProof/>
        </w:rPr>
        <w:t xml:space="preserve"> and </w:t>
      </w:r>
      <w:r w:rsidR="00793E37">
        <w:rPr>
          <w:rFonts w:asciiTheme="majorBidi" w:eastAsia="Times New Roman" w:hAnsiTheme="majorBidi" w:cstheme="majorBidi"/>
          <w:noProof/>
        </w:rPr>
        <w:t xml:space="preserve">Europe is noted as a </w:t>
      </w:r>
      <w:r w:rsidR="222DB2A0" w:rsidRPr="0F4473D1">
        <w:rPr>
          <w:rFonts w:asciiTheme="majorBidi" w:eastAsia="Times New Roman" w:hAnsiTheme="majorBidi" w:cstheme="majorBidi"/>
          <w:noProof/>
        </w:rPr>
        <w:t>“</w:t>
      </w:r>
      <w:r w:rsidR="00793E37" w:rsidRPr="56237B6C">
        <w:rPr>
          <w:rFonts w:asciiTheme="majorBidi" w:eastAsia="Times New Roman" w:hAnsiTheme="majorBidi" w:cstheme="majorBidi"/>
          <w:i/>
          <w:noProof/>
        </w:rPr>
        <w:t xml:space="preserve">global hotspot for cyber-dependent </w:t>
      </w:r>
      <w:r w:rsidR="3718A3C3" w:rsidRPr="56237B6C">
        <w:rPr>
          <w:rFonts w:asciiTheme="majorBidi" w:eastAsia="Times New Roman" w:hAnsiTheme="majorBidi" w:cstheme="majorBidi"/>
          <w:i/>
          <w:noProof/>
        </w:rPr>
        <w:t>crimes</w:t>
      </w:r>
      <w:r w:rsidR="3E66A040" w:rsidRPr="6E1EF7C4">
        <w:rPr>
          <w:rFonts w:asciiTheme="majorBidi" w:eastAsia="Times New Roman" w:hAnsiTheme="majorBidi" w:cstheme="majorBidi"/>
          <w:noProof/>
        </w:rPr>
        <w:t>”</w:t>
      </w:r>
      <w:r w:rsidR="004E495E">
        <w:rPr>
          <w:rFonts w:asciiTheme="majorBidi" w:eastAsia="Times New Roman" w:hAnsiTheme="majorBidi" w:cstheme="majorBidi"/>
          <w:noProof/>
        </w:rPr>
        <w:t>.</w:t>
      </w:r>
      <w:r w:rsidR="008C1A42" w:rsidRPr="2A942151">
        <w:rPr>
          <w:rFonts w:asciiTheme="majorBidi" w:eastAsia="Times New Roman" w:hAnsiTheme="majorBidi" w:cstheme="majorBidi"/>
          <w:noProof/>
        </w:rPr>
        <w:t xml:space="preserve"> </w:t>
      </w:r>
      <w:r w:rsidR="00470863">
        <w:rPr>
          <w:rFonts w:asciiTheme="majorBidi" w:eastAsia="Times New Roman" w:hAnsiTheme="majorBidi" w:cstheme="majorBidi"/>
          <w:noProof/>
        </w:rPr>
        <w:t xml:space="preserve">Also </w:t>
      </w:r>
      <w:r w:rsidR="7FF08044" w:rsidRPr="0F4473D1">
        <w:rPr>
          <w:rFonts w:asciiTheme="majorBidi" w:eastAsia="Times New Roman" w:hAnsiTheme="majorBidi" w:cstheme="majorBidi"/>
          <w:noProof/>
        </w:rPr>
        <w:t>f</w:t>
      </w:r>
      <w:r w:rsidR="00E93AA6" w:rsidRPr="0F4473D1">
        <w:rPr>
          <w:rFonts w:asciiTheme="majorBidi" w:eastAsia="Times New Roman" w:hAnsiTheme="majorBidi" w:cstheme="majorBidi"/>
          <w:noProof/>
        </w:rPr>
        <w:t>inancial</w:t>
      </w:r>
      <w:r w:rsidR="00E93AA6">
        <w:rPr>
          <w:rFonts w:asciiTheme="majorBidi" w:eastAsia="Times New Roman" w:hAnsiTheme="majorBidi" w:cstheme="majorBidi"/>
          <w:noProof/>
        </w:rPr>
        <w:t xml:space="preserve"> crimes</w:t>
      </w:r>
      <w:r w:rsidR="00AC65D4">
        <w:rPr>
          <w:rFonts w:asciiTheme="majorBidi" w:eastAsia="Times New Roman" w:hAnsiTheme="majorBidi" w:cstheme="majorBidi"/>
          <w:noProof/>
        </w:rPr>
        <w:t xml:space="preserve">, </w:t>
      </w:r>
      <w:r w:rsidR="11337D03" w:rsidRPr="2A942151">
        <w:rPr>
          <w:rFonts w:asciiTheme="majorBidi" w:eastAsia="Times New Roman" w:hAnsiTheme="majorBidi" w:cstheme="majorBidi"/>
          <w:noProof/>
        </w:rPr>
        <w:t>presented as</w:t>
      </w:r>
      <w:r w:rsidR="00AC65D4" w:rsidRPr="2A942151">
        <w:rPr>
          <w:rFonts w:asciiTheme="majorBidi" w:eastAsia="Times New Roman" w:hAnsiTheme="majorBidi" w:cstheme="majorBidi"/>
          <w:noProof/>
        </w:rPr>
        <w:t xml:space="preserve"> </w:t>
      </w:r>
      <w:r w:rsidR="009D7510">
        <w:rPr>
          <w:rFonts w:asciiTheme="majorBidi" w:eastAsia="Times New Roman" w:hAnsiTheme="majorBidi" w:cstheme="majorBidi"/>
          <w:noProof/>
        </w:rPr>
        <w:t>“</w:t>
      </w:r>
      <w:r w:rsidR="00AC65D4" w:rsidRPr="56237B6C">
        <w:rPr>
          <w:rFonts w:asciiTheme="majorBidi" w:eastAsia="Times New Roman" w:hAnsiTheme="majorBidi" w:cstheme="majorBidi"/>
          <w:i/>
          <w:noProof/>
        </w:rPr>
        <w:t xml:space="preserve">inherently </w:t>
      </w:r>
      <w:r w:rsidR="009D7510" w:rsidRPr="0F4473D1">
        <w:rPr>
          <w:rFonts w:asciiTheme="majorBidi" w:eastAsia="Times New Roman" w:hAnsiTheme="majorBidi" w:cstheme="majorBidi"/>
          <w:i/>
          <w:noProof/>
        </w:rPr>
        <w:t>transregional</w:t>
      </w:r>
      <w:r w:rsidR="009D7510">
        <w:rPr>
          <w:rFonts w:asciiTheme="majorBidi" w:eastAsia="Times New Roman" w:hAnsiTheme="majorBidi" w:cstheme="majorBidi"/>
          <w:noProof/>
        </w:rPr>
        <w:t>”</w:t>
      </w:r>
      <w:r w:rsidR="417F8C4A" w:rsidRPr="558077EB">
        <w:rPr>
          <w:rFonts w:asciiTheme="majorBidi" w:eastAsia="Times New Roman" w:hAnsiTheme="majorBidi" w:cstheme="majorBidi"/>
          <w:noProof/>
        </w:rPr>
        <w:t xml:space="preserve">, </w:t>
      </w:r>
      <w:r w:rsidR="00881D4E">
        <w:rPr>
          <w:rFonts w:asciiTheme="majorBidi" w:eastAsia="Times New Roman" w:hAnsiTheme="majorBidi" w:cstheme="majorBidi"/>
          <w:noProof/>
        </w:rPr>
        <w:t xml:space="preserve">appear to </w:t>
      </w:r>
      <w:r w:rsidR="008A67E7">
        <w:rPr>
          <w:rFonts w:asciiTheme="majorBidi" w:eastAsia="Times New Roman" w:hAnsiTheme="majorBidi" w:cstheme="majorBidi"/>
          <w:noProof/>
        </w:rPr>
        <w:t>“</w:t>
      </w:r>
      <w:r w:rsidR="00903F9D" w:rsidRPr="56237B6C">
        <w:rPr>
          <w:rFonts w:asciiTheme="majorBidi" w:eastAsia="Times New Roman" w:hAnsiTheme="majorBidi" w:cstheme="majorBidi"/>
          <w:i/>
          <w:noProof/>
        </w:rPr>
        <w:t>pose the greatest threat to the security</w:t>
      </w:r>
      <w:r w:rsidR="008040CC" w:rsidRPr="56237B6C">
        <w:rPr>
          <w:rFonts w:asciiTheme="majorBidi" w:eastAsia="Times New Roman" w:hAnsiTheme="majorBidi" w:cstheme="majorBidi"/>
          <w:i/>
          <w:noProof/>
        </w:rPr>
        <w:t xml:space="preserve"> and integrity of the continent’s economic </w:t>
      </w:r>
      <w:r w:rsidR="009D7510" w:rsidRPr="0F4473D1">
        <w:rPr>
          <w:rFonts w:asciiTheme="majorBidi" w:eastAsia="Times New Roman" w:hAnsiTheme="majorBidi" w:cstheme="majorBidi"/>
          <w:i/>
          <w:noProof/>
        </w:rPr>
        <w:t>market</w:t>
      </w:r>
      <w:r w:rsidR="009D7510">
        <w:rPr>
          <w:rFonts w:asciiTheme="majorBidi" w:eastAsia="Times New Roman" w:hAnsiTheme="majorBidi" w:cstheme="majorBidi"/>
          <w:noProof/>
        </w:rPr>
        <w:t>”</w:t>
      </w:r>
      <w:r w:rsidR="00793E37">
        <w:rPr>
          <w:rFonts w:asciiTheme="majorBidi" w:eastAsia="Times New Roman" w:hAnsiTheme="majorBidi" w:cstheme="majorBidi"/>
          <w:noProof/>
        </w:rPr>
        <w:t>.</w:t>
      </w:r>
      <w:r w:rsidR="00FE7323">
        <w:rPr>
          <w:rStyle w:val="FootnoteReference"/>
          <w:rFonts w:asciiTheme="majorBidi" w:eastAsia="Times New Roman" w:hAnsiTheme="majorBidi" w:cstheme="majorBidi"/>
          <w:noProof/>
        </w:rPr>
        <w:footnoteReference w:id="98"/>
      </w:r>
      <w:r w:rsidR="00521287">
        <w:rPr>
          <w:rFonts w:asciiTheme="majorBidi" w:eastAsia="Times New Roman" w:hAnsiTheme="majorBidi" w:cstheme="majorBidi"/>
          <w:noProof/>
        </w:rPr>
        <w:t xml:space="preserve"> </w:t>
      </w:r>
      <w:r w:rsidRPr="00D4396B">
        <w:rPr>
          <w:rFonts w:asciiTheme="majorBidi" w:eastAsia="Times New Roman" w:hAnsiTheme="majorBidi" w:cstheme="majorBidi"/>
          <w:noProof/>
        </w:rPr>
        <w:t xml:space="preserve">Nearly all major crime areas now have a digital </w:t>
      </w:r>
      <w:r w:rsidR="00204649" w:rsidRPr="00D4396B">
        <w:rPr>
          <w:rFonts w:asciiTheme="majorBidi" w:eastAsia="Times New Roman" w:hAnsiTheme="majorBidi" w:cstheme="majorBidi"/>
          <w:noProof/>
        </w:rPr>
        <w:t>component</w:t>
      </w:r>
      <w:r w:rsidR="00F12F45" w:rsidRPr="00D4396B">
        <w:rPr>
          <w:rFonts w:asciiTheme="majorBidi" w:eastAsia="Times New Roman" w:hAnsiTheme="majorBidi" w:cstheme="majorBidi"/>
          <w:noProof/>
        </w:rPr>
        <w:t xml:space="preserve">, while </w:t>
      </w:r>
      <w:r w:rsidR="50A0BE60" w:rsidRPr="00D4396B">
        <w:rPr>
          <w:rFonts w:asciiTheme="majorBidi" w:eastAsia="Times New Roman" w:hAnsiTheme="majorBidi" w:cstheme="majorBidi"/>
          <w:noProof/>
        </w:rPr>
        <w:t xml:space="preserve">the use of </w:t>
      </w:r>
      <w:r w:rsidRPr="00D4396B">
        <w:rPr>
          <w:rFonts w:asciiTheme="majorBidi" w:eastAsia="Times New Roman" w:hAnsiTheme="majorBidi" w:cstheme="majorBidi"/>
          <w:noProof/>
        </w:rPr>
        <w:t xml:space="preserve">AI will further </w:t>
      </w:r>
      <w:r w:rsidR="00AA3A04" w:rsidRPr="00D4396B">
        <w:rPr>
          <w:rFonts w:asciiTheme="majorBidi" w:eastAsia="Times New Roman" w:hAnsiTheme="majorBidi" w:cstheme="majorBidi"/>
          <w:noProof/>
        </w:rPr>
        <w:t xml:space="preserve">enhance </w:t>
      </w:r>
      <w:r w:rsidR="005C10F0" w:rsidRPr="00D4396B">
        <w:rPr>
          <w:rFonts w:asciiTheme="majorBidi" w:eastAsia="Times New Roman" w:hAnsiTheme="majorBidi" w:cstheme="majorBidi"/>
          <w:noProof/>
        </w:rPr>
        <w:t xml:space="preserve">criminal </w:t>
      </w:r>
      <w:r w:rsidRPr="00D4396B">
        <w:rPr>
          <w:rFonts w:asciiTheme="majorBidi" w:eastAsia="Times New Roman" w:hAnsiTheme="majorBidi" w:cstheme="majorBidi"/>
          <w:noProof/>
        </w:rPr>
        <w:t>sophistication.</w:t>
      </w:r>
    </w:p>
    <w:p w14:paraId="21A5B5A3" w14:textId="317C000D" w:rsidR="00A63B53" w:rsidRPr="00D4396B" w:rsidRDefault="198AE790" w:rsidP="5E05A023">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The economic cost of crime </w:t>
      </w:r>
      <w:r w:rsidR="0093731E">
        <w:rPr>
          <w:rFonts w:asciiTheme="majorBidi" w:eastAsia="Times New Roman" w:hAnsiTheme="majorBidi" w:cstheme="majorBidi"/>
          <w:noProof/>
        </w:rPr>
        <w:t>is difficult to quantify</w:t>
      </w:r>
      <w:r w:rsidR="002171FF">
        <w:rPr>
          <w:rFonts w:asciiTheme="majorBidi" w:eastAsia="Times New Roman" w:hAnsiTheme="majorBidi" w:cstheme="majorBidi"/>
          <w:noProof/>
        </w:rPr>
        <w:t xml:space="preserve">, but recent </w:t>
      </w:r>
      <w:r w:rsidR="002171FF" w:rsidRPr="0F4473D1">
        <w:rPr>
          <w:rFonts w:asciiTheme="majorBidi" w:eastAsia="Times New Roman" w:hAnsiTheme="majorBidi" w:cstheme="majorBidi"/>
          <w:noProof/>
        </w:rPr>
        <w:t>estimate</w:t>
      </w:r>
      <w:r w:rsidR="00144D0B">
        <w:rPr>
          <w:rFonts w:asciiTheme="majorBidi" w:eastAsia="Times New Roman" w:hAnsiTheme="majorBidi" w:cstheme="majorBidi"/>
          <w:noProof/>
        </w:rPr>
        <w:t>s</w:t>
      </w:r>
      <w:r w:rsidR="002171FF">
        <w:rPr>
          <w:rFonts w:asciiTheme="majorBidi" w:eastAsia="Times New Roman" w:hAnsiTheme="majorBidi" w:cstheme="majorBidi"/>
          <w:noProof/>
        </w:rPr>
        <w:t xml:space="preserve"> </w:t>
      </w:r>
      <w:r w:rsidR="001131D5">
        <w:rPr>
          <w:rFonts w:asciiTheme="majorBidi" w:eastAsia="Times New Roman" w:hAnsiTheme="majorBidi" w:cstheme="majorBidi"/>
          <w:noProof/>
        </w:rPr>
        <w:t xml:space="preserve">place the value </w:t>
      </w:r>
      <w:r w:rsidR="006C41C0">
        <w:rPr>
          <w:rFonts w:asciiTheme="majorBidi" w:eastAsia="Times New Roman" w:hAnsiTheme="majorBidi" w:cstheme="majorBidi"/>
          <w:noProof/>
        </w:rPr>
        <w:t>i</w:t>
      </w:r>
      <w:r w:rsidR="001131D5">
        <w:rPr>
          <w:rFonts w:asciiTheme="majorBidi" w:eastAsia="Times New Roman" w:hAnsiTheme="majorBidi" w:cstheme="majorBidi"/>
          <w:noProof/>
        </w:rPr>
        <w:t xml:space="preserve">n </w:t>
      </w:r>
      <w:r w:rsidR="006C41C0">
        <w:rPr>
          <w:rFonts w:asciiTheme="majorBidi" w:eastAsia="Times New Roman" w:hAnsiTheme="majorBidi" w:cstheme="majorBidi"/>
          <w:noProof/>
        </w:rPr>
        <w:t>t</w:t>
      </w:r>
      <w:r w:rsidR="001131D5">
        <w:rPr>
          <w:rFonts w:asciiTheme="majorBidi" w:eastAsia="Times New Roman" w:hAnsiTheme="majorBidi" w:cstheme="majorBidi"/>
          <w:noProof/>
        </w:rPr>
        <w:t xml:space="preserve">he </w:t>
      </w:r>
      <w:r w:rsidR="001131D5" w:rsidRPr="046E2809">
        <w:rPr>
          <w:rFonts w:asciiTheme="majorBidi" w:eastAsia="Times New Roman" w:hAnsiTheme="majorBidi" w:cstheme="majorBidi"/>
          <w:noProof/>
        </w:rPr>
        <w:t>range</w:t>
      </w:r>
      <w:r w:rsidR="2F64E257" w:rsidRPr="046E2809">
        <w:rPr>
          <w:rFonts w:asciiTheme="majorBidi" w:eastAsia="Times New Roman" w:hAnsiTheme="majorBidi" w:cstheme="majorBidi"/>
          <w:noProof/>
        </w:rPr>
        <w:t xml:space="preserve"> </w:t>
      </w:r>
      <w:r w:rsidR="000727BD">
        <w:rPr>
          <w:rFonts w:asciiTheme="majorBidi" w:eastAsia="Times New Roman" w:hAnsiTheme="majorBidi" w:cstheme="majorBidi"/>
          <w:noProof/>
        </w:rPr>
        <w:t>between</w:t>
      </w:r>
      <w:r w:rsidR="000727BD" w:rsidRPr="00D4396B">
        <w:rPr>
          <w:rFonts w:asciiTheme="majorBidi" w:eastAsia="Times New Roman" w:hAnsiTheme="majorBidi" w:cstheme="majorBidi"/>
          <w:noProof/>
        </w:rPr>
        <w:t xml:space="preserve"> </w:t>
      </w:r>
      <w:r w:rsidRPr="00D4396B">
        <w:rPr>
          <w:rFonts w:asciiTheme="majorBidi" w:eastAsia="Times New Roman" w:hAnsiTheme="majorBidi" w:cstheme="majorBidi"/>
          <w:noProof/>
        </w:rPr>
        <w:t>EUR 139-200</w:t>
      </w:r>
      <w:r w:rsidR="00430325">
        <w:rPr>
          <w:rStyle w:val="CommentReference"/>
          <w:noProof/>
          <w:sz w:val="24"/>
          <w:szCs w:val="24"/>
        </w:rPr>
        <w:t xml:space="preserve"> </w:t>
      </w:r>
      <w:r w:rsidR="00430325" w:rsidRPr="13564AD8">
        <w:rPr>
          <w:rFonts w:asciiTheme="majorBidi" w:eastAsia="Times New Roman" w:hAnsiTheme="majorBidi" w:cstheme="majorBidi"/>
          <w:noProof/>
        </w:rPr>
        <w:t>+</w:t>
      </w:r>
      <w:r w:rsidR="00430325" w:rsidRPr="00D4396B">
        <w:rPr>
          <w:rFonts w:asciiTheme="majorBidi" w:eastAsia="Times New Roman" w:hAnsiTheme="majorBidi" w:cstheme="majorBidi"/>
          <w:noProof/>
        </w:rPr>
        <w:t xml:space="preserve"> </w:t>
      </w:r>
      <w:r w:rsidRPr="00D4396B">
        <w:rPr>
          <w:rFonts w:asciiTheme="majorBidi" w:eastAsia="Times New Roman" w:hAnsiTheme="majorBidi" w:cstheme="majorBidi"/>
          <w:noProof/>
        </w:rPr>
        <w:t>billion annually</w:t>
      </w:r>
      <w:r w:rsidR="00144D0B">
        <w:rPr>
          <w:rFonts w:asciiTheme="majorBidi" w:eastAsia="Times New Roman" w:hAnsiTheme="majorBidi" w:cstheme="majorBidi"/>
          <w:noProof/>
        </w:rPr>
        <w:t xml:space="preserve"> in the EU</w:t>
      </w:r>
      <w:r w:rsidRPr="558077EB">
        <w:rPr>
          <w:rFonts w:asciiTheme="majorBidi" w:eastAsia="Times New Roman" w:hAnsiTheme="majorBidi" w:cstheme="majorBidi"/>
          <w:noProof/>
        </w:rPr>
        <w:t>.</w:t>
      </w:r>
      <w:r w:rsidR="009A033B">
        <w:rPr>
          <w:rFonts w:asciiTheme="majorBidi" w:eastAsia="Times New Roman" w:hAnsiTheme="majorBidi" w:cstheme="majorBidi"/>
          <w:noProof/>
        </w:rPr>
        <w:t xml:space="preserve"> </w:t>
      </w:r>
      <w:r w:rsidR="00D40D98">
        <w:rPr>
          <w:rFonts w:asciiTheme="majorBidi" w:eastAsia="Times New Roman" w:hAnsiTheme="majorBidi" w:cstheme="majorBidi"/>
          <w:noProof/>
        </w:rPr>
        <w:t xml:space="preserve">Other </w:t>
      </w:r>
      <w:r w:rsidR="00E2760F">
        <w:rPr>
          <w:rFonts w:asciiTheme="majorBidi" w:eastAsia="Times New Roman" w:hAnsiTheme="majorBidi" w:cstheme="majorBidi"/>
          <w:noProof/>
        </w:rPr>
        <w:t>sources</w:t>
      </w:r>
      <w:r w:rsidR="00D3399C">
        <w:rPr>
          <w:rFonts w:asciiTheme="majorBidi" w:eastAsia="Times New Roman" w:hAnsiTheme="majorBidi" w:cstheme="majorBidi"/>
          <w:noProof/>
        </w:rPr>
        <w:t xml:space="preserve"> </w:t>
      </w:r>
      <w:r w:rsidR="00E2760F">
        <w:rPr>
          <w:rFonts w:asciiTheme="majorBidi" w:eastAsia="Times New Roman" w:hAnsiTheme="majorBidi" w:cstheme="majorBidi"/>
          <w:noProof/>
        </w:rPr>
        <w:t>estimate</w:t>
      </w:r>
      <w:r w:rsidR="008B6CAF">
        <w:rPr>
          <w:rFonts w:asciiTheme="majorBidi" w:eastAsia="Times New Roman" w:hAnsiTheme="majorBidi" w:cstheme="majorBidi"/>
          <w:noProof/>
        </w:rPr>
        <w:t xml:space="preserve"> the value of</w:t>
      </w:r>
      <w:r w:rsidR="008A67E7">
        <w:rPr>
          <w:rFonts w:asciiTheme="majorBidi" w:eastAsia="Times New Roman" w:hAnsiTheme="majorBidi" w:cstheme="majorBidi"/>
          <w:noProof/>
        </w:rPr>
        <w:t xml:space="preserve"> laundered</w:t>
      </w:r>
      <w:r w:rsidR="008B6CAF">
        <w:rPr>
          <w:rFonts w:asciiTheme="majorBidi" w:eastAsia="Times New Roman" w:hAnsiTheme="majorBidi" w:cstheme="majorBidi"/>
          <w:noProof/>
        </w:rPr>
        <w:t xml:space="preserve"> money </w:t>
      </w:r>
      <w:r w:rsidR="008A67E7">
        <w:rPr>
          <w:rFonts w:asciiTheme="majorBidi" w:eastAsia="Times New Roman" w:hAnsiTheme="majorBidi" w:cstheme="majorBidi"/>
          <w:noProof/>
        </w:rPr>
        <w:t>at</w:t>
      </w:r>
      <w:r w:rsidR="00E2760F">
        <w:rPr>
          <w:rFonts w:asciiTheme="majorBidi" w:eastAsia="Times New Roman" w:hAnsiTheme="majorBidi" w:cstheme="majorBidi"/>
          <w:noProof/>
        </w:rPr>
        <w:t xml:space="preserve"> </w:t>
      </w:r>
      <w:r w:rsidR="00586532">
        <w:rPr>
          <w:rFonts w:asciiTheme="majorBidi" w:eastAsia="Times New Roman" w:hAnsiTheme="majorBidi" w:cstheme="majorBidi"/>
          <w:noProof/>
        </w:rPr>
        <w:t>3-5% of global GDP</w:t>
      </w:r>
      <w:r w:rsidR="009B50EF">
        <w:rPr>
          <w:rFonts w:asciiTheme="majorBidi" w:eastAsia="Times New Roman" w:hAnsiTheme="majorBidi" w:cstheme="majorBidi"/>
          <w:noProof/>
        </w:rPr>
        <w:t xml:space="preserve">, which in Europe would equate to </w:t>
      </w:r>
      <w:r w:rsidR="0007614A">
        <w:rPr>
          <w:rFonts w:asciiTheme="majorBidi" w:eastAsia="Times New Roman" w:hAnsiTheme="majorBidi" w:cstheme="majorBidi"/>
          <w:noProof/>
        </w:rPr>
        <w:t>EUR 359-EUR 897 billion</w:t>
      </w:r>
      <w:r w:rsidR="007E4A1D">
        <w:rPr>
          <w:rFonts w:asciiTheme="majorBidi" w:eastAsia="Times New Roman" w:hAnsiTheme="majorBidi" w:cstheme="majorBidi"/>
          <w:noProof/>
        </w:rPr>
        <w:t>, with regional variations</w:t>
      </w:r>
      <w:r w:rsidR="0007614A">
        <w:rPr>
          <w:rFonts w:asciiTheme="majorBidi" w:eastAsia="Times New Roman" w:hAnsiTheme="majorBidi" w:cstheme="majorBidi"/>
          <w:noProof/>
        </w:rPr>
        <w:t>.</w:t>
      </w:r>
      <w:r w:rsidR="007E4A1D">
        <w:rPr>
          <w:rStyle w:val="FootnoteReference"/>
          <w:rFonts w:asciiTheme="majorBidi" w:eastAsia="Times New Roman" w:hAnsiTheme="majorBidi" w:cstheme="majorBidi"/>
          <w:noProof/>
        </w:rPr>
        <w:footnoteReference w:id="99"/>
      </w:r>
      <w:r w:rsidR="006A16E4">
        <w:rPr>
          <w:rFonts w:asciiTheme="majorBidi" w:eastAsia="Times New Roman" w:hAnsiTheme="majorBidi" w:cstheme="majorBidi"/>
          <w:noProof/>
        </w:rPr>
        <w:t xml:space="preserve"> Both these estimates </w:t>
      </w:r>
      <w:r w:rsidR="00DA24A7">
        <w:rPr>
          <w:rFonts w:asciiTheme="majorBidi" w:eastAsia="Times New Roman" w:hAnsiTheme="majorBidi" w:cstheme="majorBidi"/>
          <w:noProof/>
        </w:rPr>
        <w:t>demonstrate very clearly that th</w:t>
      </w:r>
      <w:r w:rsidR="00D323A4">
        <w:rPr>
          <w:rFonts w:asciiTheme="majorBidi" w:eastAsia="Times New Roman" w:hAnsiTheme="majorBidi" w:cstheme="majorBidi"/>
          <w:noProof/>
        </w:rPr>
        <w:t>e economic cost alone of such crime is significant</w:t>
      </w:r>
      <w:r w:rsidR="001B19EE">
        <w:rPr>
          <w:rFonts w:asciiTheme="majorBidi" w:eastAsia="Times New Roman" w:hAnsiTheme="majorBidi" w:cstheme="majorBidi"/>
          <w:noProof/>
        </w:rPr>
        <w:t>,</w:t>
      </w:r>
      <w:r w:rsidR="00D323A4">
        <w:rPr>
          <w:rFonts w:asciiTheme="majorBidi" w:eastAsia="Times New Roman" w:hAnsiTheme="majorBidi" w:cstheme="majorBidi"/>
          <w:noProof/>
        </w:rPr>
        <w:t xml:space="preserve"> </w:t>
      </w:r>
      <w:r w:rsidR="001B19EE" w:rsidRPr="00D4396B">
        <w:rPr>
          <w:rFonts w:asciiTheme="majorBidi" w:eastAsia="Times New Roman" w:hAnsiTheme="majorBidi" w:cstheme="majorBidi"/>
          <w:noProof/>
        </w:rPr>
        <w:t>with broader additional societal and fundamental rights impacts that are harder to quantify</w:t>
      </w:r>
      <w:r w:rsidR="000D0FA9">
        <w:rPr>
          <w:rFonts w:asciiTheme="majorBidi" w:eastAsia="Times New Roman" w:hAnsiTheme="majorBidi" w:cstheme="majorBidi"/>
          <w:noProof/>
        </w:rPr>
        <w:t xml:space="preserve">. </w:t>
      </w:r>
      <w:r w:rsidR="007613DC" w:rsidRPr="5DE0A3DD">
        <w:rPr>
          <w:rFonts w:asciiTheme="majorBidi" w:eastAsia="Times New Roman" w:hAnsiTheme="majorBidi" w:cstheme="majorBidi"/>
          <w:noProof/>
        </w:rPr>
        <w:t xml:space="preserve">For example, </w:t>
      </w:r>
      <w:r w:rsidR="6593F84A" w:rsidRPr="5DE0A3DD">
        <w:rPr>
          <w:rFonts w:asciiTheme="majorBidi" w:eastAsia="Times New Roman" w:hAnsiTheme="majorBidi" w:cstheme="majorBidi"/>
          <w:noProof/>
        </w:rPr>
        <w:t>according to</w:t>
      </w:r>
      <w:r w:rsidR="15827104" w:rsidRPr="5DE0A3DD">
        <w:rPr>
          <w:rFonts w:asciiTheme="majorBidi" w:eastAsia="Times New Roman" w:hAnsiTheme="majorBidi" w:cstheme="majorBidi"/>
          <w:noProof/>
        </w:rPr>
        <w:t xml:space="preserve"> the support study</w:t>
      </w:r>
      <w:r w:rsidR="007613DC">
        <w:rPr>
          <w:rFonts w:asciiTheme="majorBidi" w:eastAsia="Times New Roman" w:hAnsiTheme="majorBidi" w:cstheme="majorBidi"/>
          <w:noProof/>
        </w:rPr>
        <w:t xml:space="preserve">, in </w:t>
      </w:r>
      <w:r w:rsidR="00080D70">
        <w:rPr>
          <w:rFonts w:asciiTheme="majorBidi" w:eastAsia="Times New Roman" w:hAnsiTheme="majorBidi" w:cstheme="majorBidi"/>
          <w:noProof/>
        </w:rPr>
        <w:t xml:space="preserve">2024 Eurojust contributed to </w:t>
      </w:r>
      <w:r w:rsidR="00B04DF4">
        <w:rPr>
          <w:rFonts w:asciiTheme="majorBidi" w:eastAsia="Times New Roman" w:hAnsiTheme="majorBidi" w:cstheme="majorBidi"/>
          <w:noProof/>
        </w:rPr>
        <w:t xml:space="preserve">the arrest of over 1,200 suspects and </w:t>
      </w:r>
      <w:r w:rsidR="0092712E">
        <w:rPr>
          <w:rFonts w:asciiTheme="majorBidi" w:eastAsia="Times New Roman" w:hAnsiTheme="majorBidi" w:cstheme="majorBidi"/>
          <w:noProof/>
        </w:rPr>
        <w:t xml:space="preserve">an estimated EUR 20 </w:t>
      </w:r>
      <w:r w:rsidR="008A67E7" w:rsidRPr="79E2A055">
        <w:rPr>
          <w:rFonts w:asciiTheme="majorBidi" w:eastAsia="Times New Roman" w:hAnsiTheme="majorBidi" w:cstheme="majorBidi"/>
          <w:noProof/>
        </w:rPr>
        <w:t>billion</w:t>
      </w:r>
      <w:r w:rsidR="0092712E">
        <w:rPr>
          <w:rFonts w:asciiTheme="majorBidi" w:eastAsia="Times New Roman" w:hAnsiTheme="majorBidi" w:cstheme="majorBidi"/>
          <w:noProof/>
        </w:rPr>
        <w:t xml:space="preserve"> of seized drugs</w:t>
      </w:r>
      <w:r w:rsidR="00377079" w:rsidRPr="5DE0A3DD">
        <w:rPr>
          <w:rFonts w:asciiTheme="majorBidi" w:eastAsia="Times New Roman" w:hAnsiTheme="majorBidi" w:cstheme="majorBidi"/>
          <w:noProof/>
        </w:rPr>
        <w:t>.</w:t>
      </w:r>
      <w:r w:rsidR="00907617">
        <w:rPr>
          <w:rStyle w:val="FootnoteReference"/>
          <w:rFonts w:asciiTheme="majorBidi" w:eastAsia="Times New Roman" w:hAnsiTheme="majorBidi" w:cstheme="majorBidi"/>
          <w:noProof/>
        </w:rPr>
        <w:footnoteReference w:id="100"/>
      </w:r>
      <w:r w:rsidR="00377079" w:rsidRPr="5DE0A3DD">
        <w:rPr>
          <w:rFonts w:asciiTheme="majorBidi" w:eastAsia="Times New Roman" w:hAnsiTheme="majorBidi" w:cstheme="majorBidi"/>
          <w:noProof/>
        </w:rPr>
        <w:t xml:space="preserve"> </w:t>
      </w:r>
      <w:r w:rsidR="00431FC3" w:rsidRPr="5DE0A3DD">
        <w:rPr>
          <w:rFonts w:asciiTheme="majorBidi" w:eastAsia="Times New Roman" w:hAnsiTheme="majorBidi" w:cstheme="majorBidi"/>
          <w:noProof/>
        </w:rPr>
        <w:t>Given</w:t>
      </w:r>
      <w:r w:rsidR="00431FC3">
        <w:rPr>
          <w:rFonts w:asciiTheme="majorBidi" w:eastAsia="Times New Roman" w:hAnsiTheme="majorBidi" w:cstheme="majorBidi"/>
          <w:noProof/>
        </w:rPr>
        <w:t xml:space="preserve"> the impact</w:t>
      </w:r>
      <w:r w:rsidR="001429D7">
        <w:rPr>
          <w:rFonts w:asciiTheme="majorBidi" w:eastAsia="Times New Roman" w:hAnsiTheme="majorBidi" w:cstheme="majorBidi"/>
          <w:noProof/>
        </w:rPr>
        <w:t xml:space="preserve"> </w:t>
      </w:r>
      <w:r w:rsidR="001429D7" w:rsidRPr="5DE0A3DD">
        <w:rPr>
          <w:rFonts w:asciiTheme="majorBidi" w:eastAsia="Times New Roman" w:hAnsiTheme="majorBidi" w:cstheme="majorBidi"/>
          <w:noProof/>
        </w:rPr>
        <w:t>o</w:t>
      </w:r>
      <w:r w:rsidR="00A13D18" w:rsidRPr="5DE0A3DD">
        <w:rPr>
          <w:rFonts w:asciiTheme="majorBidi" w:eastAsia="Times New Roman" w:hAnsiTheme="majorBidi" w:cstheme="majorBidi"/>
          <w:noProof/>
        </w:rPr>
        <w:t>f</w:t>
      </w:r>
      <w:r w:rsidR="001429D7">
        <w:rPr>
          <w:rFonts w:asciiTheme="majorBidi" w:eastAsia="Times New Roman" w:hAnsiTheme="majorBidi" w:cstheme="majorBidi"/>
          <w:noProof/>
        </w:rPr>
        <w:t xml:space="preserve"> </w:t>
      </w:r>
      <w:r w:rsidR="00377079">
        <w:rPr>
          <w:rFonts w:asciiTheme="majorBidi" w:eastAsia="Times New Roman" w:hAnsiTheme="majorBidi" w:cstheme="majorBidi"/>
          <w:noProof/>
        </w:rPr>
        <w:t>serious org</w:t>
      </w:r>
      <w:r w:rsidR="00F86BB3">
        <w:rPr>
          <w:rFonts w:asciiTheme="majorBidi" w:eastAsia="Times New Roman" w:hAnsiTheme="majorBidi" w:cstheme="majorBidi"/>
          <w:noProof/>
        </w:rPr>
        <w:t>anised crime</w:t>
      </w:r>
      <w:r w:rsidR="00DA4A2C">
        <w:rPr>
          <w:rFonts w:asciiTheme="majorBidi" w:eastAsia="Times New Roman" w:hAnsiTheme="majorBidi" w:cstheme="majorBidi"/>
          <w:noProof/>
        </w:rPr>
        <w:t>,</w:t>
      </w:r>
      <w:r w:rsidR="001429D7">
        <w:rPr>
          <w:rFonts w:asciiTheme="majorBidi" w:eastAsia="Times New Roman" w:hAnsiTheme="majorBidi" w:cstheme="majorBidi"/>
          <w:noProof/>
        </w:rPr>
        <w:t xml:space="preserve"> </w:t>
      </w:r>
      <w:r w:rsidR="000D0FA9">
        <w:rPr>
          <w:rFonts w:asciiTheme="majorBidi" w:eastAsia="Times New Roman" w:hAnsiTheme="majorBidi" w:cstheme="majorBidi"/>
          <w:noProof/>
        </w:rPr>
        <w:t xml:space="preserve">any initiatives that can </w:t>
      </w:r>
      <w:r w:rsidR="00F569F2">
        <w:rPr>
          <w:rFonts w:asciiTheme="majorBidi" w:eastAsia="Times New Roman" w:hAnsiTheme="majorBidi" w:cstheme="majorBidi"/>
          <w:noProof/>
        </w:rPr>
        <w:t xml:space="preserve">improve </w:t>
      </w:r>
      <w:r w:rsidR="00F569F2" w:rsidRPr="79E2A055">
        <w:rPr>
          <w:rFonts w:asciiTheme="majorBidi" w:eastAsia="Times New Roman" w:hAnsiTheme="majorBidi" w:cstheme="majorBidi"/>
          <w:noProof/>
        </w:rPr>
        <w:t>E</w:t>
      </w:r>
      <w:r w:rsidR="0C3874CD" w:rsidRPr="79E2A055">
        <w:rPr>
          <w:rFonts w:asciiTheme="majorBidi" w:eastAsia="Times New Roman" w:hAnsiTheme="majorBidi" w:cstheme="majorBidi"/>
          <w:noProof/>
        </w:rPr>
        <w:t>urojust</w:t>
      </w:r>
      <w:r w:rsidR="00F569F2">
        <w:rPr>
          <w:rFonts w:asciiTheme="majorBidi" w:eastAsia="Times New Roman" w:hAnsiTheme="majorBidi" w:cstheme="majorBidi"/>
          <w:noProof/>
        </w:rPr>
        <w:t xml:space="preserve"> ability to contribute to the fight against serious and organised </w:t>
      </w:r>
      <w:r w:rsidR="000D0FA9">
        <w:rPr>
          <w:rFonts w:asciiTheme="majorBidi" w:eastAsia="Times New Roman" w:hAnsiTheme="majorBidi" w:cstheme="majorBidi"/>
          <w:noProof/>
        </w:rPr>
        <w:t xml:space="preserve">crime will bring substantial benefits to </w:t>
      </w:r>
      <w:r w:rsidR="006125AA">
        <w:rPr>
          <w:rFonts w:asciiTheme="majorBidi" w:eastAsia="Times New Roman" w:hAnsiTheme="majorBidi" w:cstheme="majorBidi"/>
          <w:noProof/>
        </w:rPr>
        <w:t>European citizens and businesses.</w:t>
      </w:r>
    </w:p>
    <w:p w14:paraId="4BA960B9" w14:textId="29AEFC68" w:rsidR="00A63B53" w:rsidRPr="00D4396B" w:rsidRDefault="00202166" w:rsidP="7C60E6EB">
      <w:pPr>
        <w:spacing w:after="120"/>
        <w:rPr>
          <w:rFonts w:asciiTheme="majorBidi" w:eastAsia="Times New Roman" w:hAnsiTheme="majorBidi" w:cstheme="majorBidi"/>
          <w:noProof/>
        </w:rPr>
      </w:pPr>
      <w:r>
        <w:rPr>
          <w:rFonts w:asciiTheme="majorBidi" w:eastAsia="Times New Roman" w:hAnsiTheme="majorBidi" w:cstheme="majorBidi"/>
          <w:noProof/>
        </w:rPr>
        <w:t xml:space="preserve">Based on Eurojust estimates, </w:t>
      </w:r>
      <w:r w:rsidRPr="0E0F4D45">
        <w:rPr>
          <w:rFonts w:asciiTheme="majorBidi" w:eastAsia="Times New Roman" w:hAnsiTheme="majorBidi" w:cstheme="majorBidi"/>
          <w:noProof/>
        </w:rPr>
        <w:t>c</w:t>
      </w:r>
      <w:r w:rsidR="005160D0" w:rsidRPr="0E0F4D45">
        <w:rPr>
          <w:rFonts w:asciiTheme="majorBidi" w:eastAsia="Times New Roman" w:hAnsiTheme="majorBidi" w:cstheme="majorBidi"/>
          <w:noProof/>
        </w:rPr>
        <w:t>ase</w:t>
      </w:r>
      <w:r w:rsidR="005160D0" w:rsidRPr="00D4396B">
        <w:rPr>
          <w:rFonts w:asciiTheme="majorBidi" w:eastAsia="Times New Roman" w:hAnsiTheme="majorBidi" w:cstheme="majorBidi"/>
          <w:noProof/>
        </w:rPr>
        <w:t xml:space="preserve"> </w:t>
      </w:r>
      <w:r w:rsidR="00385B39" w:rsidRPr="00D4396B">
        <w:rPr>
          <w:rFonts w:asciiTheme="majorBidi" w:eastAsia="Times New Roman" w:hAnsiTheme="majorBidi" w:cstheme="majorBidi"/>
          <w:noProof/>
        </w:rPr>
        <w:t xml:space="preserve">growth </w:t>
      </w:r>
      <w:r>
        <w:rPr>
          <w:rFonts w:asciiTheme="majorBidi" w:eastAsia="Times New Roman" w:hAnsiTheme="majorBidi" w:cstheme="majorBidi"/>
          <w:noProof/>
        </w:rPr>
        <w:t>is predicted to be</w:t>
      </w:r>
      <w:r w:rsidRPr="00D4396B">
        <w:rPr>
          <w:rFonts w:asciiTheme="majorBidi" w:eastAsia="Times New Roman" w:hAnsiTheme="majorBidi" w:cstheme="majorBidi"/>
          <w:noProof/>
        </w:rPr>
        <w:t xml:space="preserve"> </w:t>
      </w:r>
      <w:r w:rsidR="00385B39" w:rsidRPr="00D4396B">
        <w:rPr>
          <w:rFonts w:asciiTheme="majorBidi" w:eastAsia="Times New Roman" w:hAnsiTheme="majorBidi" w:cstheme="majorBidi"/>
          <w:noProof/>
        </w:rPr>
        <w:t>moderate</w:t>
      </w:r>
      <w:r>
        <w:rPr>
          <w:rFonts w:asciiTheme="majorBidi" w:eastAsia="Times New Roman" w:hAnsiTheme="majorBidi" w:cstheme="majorBidi"/>
          <w:noProof/>
        </w:rPr>
        <w:t>, at around</w:t>
      </w:r>
      <w:r w:rsidR="00385B39" w:rsidRPr="00D4396B" w:rsidDel="00202166">
        <w:rPr>
          <w:rFonts w:asciiTheme="majorBidi" w:eastAsia="Times New Roman" w:hAnsiTheme="majorBidi" w:cstheme="majorBidi"/>
          <w:noProof/>
        </w:rPr>
        <w:t xml:space="preserve"> </w:t>
      </w:r>
      <w:r w:rsidR="00385B39" w:rsidRPr="00D4396B">
        <w:rPr>
          <w:rFonts w:asciiTheme="majorBidi" w:eastAsia="Times New Roman" w:hAnsiTheme="majorBidi" w:cstheme="majorBidi"/>
          <w:noProof/>
        </w:rPr>
        <w:t>8% annually (down from 14</w:t>
      </w:r>
      <w:r w:rsidR="009F6661" w:rsidRPr="00D4396B">
        <w:rPr>
          <w:rFonts w:asciiTheme="majorBidi" w:eastAsia="Times New Roman" w:hAnsiTheme="majorBidi" w:cstheme="majorBidi"/>
          <w:noProof/>
        </w:rPr>
        <w:t>-17,5%)</w:t>
      </w:r>
      <w:r>
        <w:rPr>
          <w:rFonts w:asciiTheme="majorBidi" w:eastAsia="Times New Roman" w:hAnsiTheme="majorBidi" w:cstheme="majorBidi"/>
          <w:noProof/>
        </w:rPr>
        <w:t xml:space="preserve">. This reduction </w:t>
      </w:r>
      <w:r w:rsidR="009F6661" w:rsidRPr="00D4396B">
        <w:rPr>
          <w:rFonts w:asciiTheme="majorBidi" w:eastAsia="Times New Roman" w:hAnsiTheme="majorBidi" w:cstheme="majorBidi"/>
          <w:noProof/>
        </w:rPr>
        <w:t>reflect</w:t>
      </w:r>
      <w:r w:rsidR="00AB0CEF">
        <w:rPr>
          <w:rFonts w:asciiTheme="majorBidi" w:eastAsia="Times New Roman" w:hAnsiTheme="majorBidi" w:cstheme="majorBidi"/>
          <w:noProof/>
        </w:rPr>
        <w:t xml:space="preserve">s the expected </w:t>
      </w:r>
      <w:r w:rsidR="00D00FE8" w:rsidRPr="00D4396B">
        <w:rPr>
          <w:rFonts w:asciiTheme="majorBidi" w:eastAsia="Times New Roman" w:hAnsiTheme="majorBidi" w:cstheme="majorBidi"/>
          <w:noProof/>
        </w:rPr>
        <w:t xml:space="preserve">prioritisation of complex investigations. Expanded </w:t>
      </w:r>
      <w:r w:rsidR="006B7873" w:rsidRPr="00D4396B">
        <w:rPr>
          <w:rFonts w:asciiTheme="majorBidi" w:eastAsia="Times New Roman" w:hAnsiTheme="majorBidi" w:cstheme="majorBidi"/>
          <w:noProof/>
        </w:rPr>
        <w:t>third</w:t>
      </w:r>
      <w:r w:rsidR="00B46809">
        <w:rPr>
          <w:rFonts w:asciiTheme="majorBidi" w:eastAsia="Times New Roman" w:hAnsiTheme="majorBidi" w:cstheme="majorBidi"/>
          <w:noProof/>
        </w:rPr>
        <w:t xml:space="preserve"> country</w:t>
      </w:r>
      <w:r w:rsidR="006B7873" w:rsidRPr="00D4396B">
        <w:rPr>
          <w:rFonts w:asciiTheme="majorBidi" w:eastAsia="Times New Roman" w:hAnsiTheme="majorBidi" w:cstheme="majorBidi"/>
          <w:noProof/>
        </w:rPr>
        <w:t xml:space="preserve"> cooperation through ne</w:t>
      </w:r>
      <w:r w:rsidR="008C334C" w:rsidRPr="00D4396B">
        <w:rPr>
          <w:rFonts w:asciiTheme="majorBidi" w:eastAsia="Times New Roman" w:hAnsiTheme="majorBidi" w:cstheme="majorBidi"/>
          <w:noProof/>
        </w:rPr>
        <w:t>w contact points</w:t>
      </w:r>
      <w:r w:rsidR="002276D8" w:rsidRPr="00D4396B">
        <w:rPr>
          <w:rFonts w:asciiTheme="majorBidi" w:eastAsia="Times New Roman" w:hAnsiTheme="majorBidi" w:cstheme="majorBidi"/>
          <w:noProof/>
        </w:rPr>
        <w:t xml:space="preserve"> and LPs will further increase caseloads</w:t>
      </w:r>
      <w:r w:rsidR="00A63B53" w:rsidRPr="00D4396B">
        <w:rPr>
          <w:rFonts w:asciiTheme="majorBidi" w:eastAsia="Times New Roman" w:hAnsiTheme="majorBidi" w:cstheme="majorBidi"/>
          <w:noProof/>
        </w:rPr>
        <w:t>.</w:t>
      </w:r>
      <w:r w:rsidR="00F87B83" w:rsidRPr="00D4396B">
        <w:rPr>
          <w:rFonts w:asciiTheme="majorBidi" w:eastAsia="Times New Roman" w:hAnsiTheme="majorBidi" w:cstheme="majorBidi"/>
          <w:noProof/>
        </w:rPr>
        <w:t xml:space="preserve"> </w:t>
      </w:r>
      <w:r w:rsidR="00A63B53" w:rsidRPr="00D4396B">
        <w:rPr>
          <w:rFonts w:asciiTheme="majorBidi" w:eastAsia="Times New Roman" w:hAnsiTheme="majorBidi" w:cstheme="majorBidi"/>
          <w:noProof/>
        </w:rPr>
        <w:t xml:space="preserve">The </w:t>
      </w:r>
      <w:r w:rsidR="00A63B53" w:rsidRPr="00D4396B">
        <w:rPr>
          <w:rFonts w:asciiTheme="majorBidi" w:eastAsia="Times New Roman" w:hAnsiTheme="majorBidi" w:cstheme="majorBidi"/>
          <w:b/>
          <w:bCs/>
          <w:noProof/>
        </w:rPr>
        <w:t>EU</w:t>
      </w:r>
      <w:r w:rsidR="0048564F" w:rsidRPr="00D4396B">
        <w:rPr>
          <w:rFonts w:asciiTheme="majorBidi" w:eastAsia="Times New Roman" w:hAnsiTheme="majorBidi" w:cstheme="majorBidi"/>
          <w:b/>
          <w:bCs/>
          <w:noProof/>
        </w:rPr>
        <w:t xml:space="preserve"> institutional</w:t>
      </w:r>
      <w:r w:rsidR="00A63B53" w:rsidRPr="00D4396B">
        <w:rPr>
          <w:rFonts w:asciiTheme="majorBidi" w:eastAsia="Times New Roman" w:hAnsiTheme="majorBidi" w:cstheme="majorBidi"/>
          <w:b/>
          <w:bCs/>
          <w:noProof/>
        </w:rPr>
        <w:t xml:space="preserve"> landscape</w:t>
      </w:r>
      <w:r w:rsidR="00A63B53" w:rsidRPr="00D4396B">
        <w:rPr>
          <w:rFonts w:asciiTheme="majorBidi" w:eastAsia="Times New Roman" w:hAnsiTheme="majorBidi" w:cstheme="majorBidi"/>
          <w:noProof/>
        </w:rPr>
        <w:t xml:space="preserve"> will evolv</w:t>
      </w:r>
      <w:r w:rsidR="002276D8" w:rsidRPr="00D4396B">
        <w:rPr>
          <w:rFonts w:asciiTheme="majorBidi" w:eastAsia="Times New Roman" w:hAnsiTheme="majorBidi" w:cstheme="majorBidi"/>
          <w:noProof/>
        </w:rPr>
        <w:t>e with new bodies (</w:t>
      </w:r>
      <w:r w:rsidR="00A63B53" w:rsidRPr="00D4396B">
        <w:rPr>
          <w:rFonts w:asciiTheme="majorBidi" w:eastAsia="Times New Roman" w:hAnsiTheme="majorBidi" w:cstheme="majorBidi"/>
          <w:noProof/>
        </w:rPr>
        <w:t xml:space="preserve">AMLA, </w:t>
      </w:r>
      <w:r w:rsidR="00876954" w:rsidRPr="00D4396B">
        <w:rPr>
          <w:rFonts w:asciiTheme="majorBidi" w:eastAsia="Times New Roman" w:hAnsiTheme="majorBidi" w:cstheme="majorBidi"/>
          <w:noProof/>
        </w:rPr>
        <w:t>EU Customs Authority</w:t>
      </w:r>
      <w:r w:rsidR="002276D8" w:rsidRPr="00D4396B">
        <w:rPr>
          <w:rFonts w:asciiTheme="majorBidi" w:eastAsia="Times New Roman" w:hAnsiTheme="majorBidi" w:cstheme="majorBidi"/>
          <w:noProof/>
        </w:rPr>
        <w:t>)</w:t>
      </w:r>
      <w:r w:rsidR="00876954" w:rsidRPr="00D4396B">
        <w:rPr>
          <w:rFonts w:asciiTheme="majorBidi" w:eastAsia="Times New Roman" w:hAnsiTheme="majorBidi" w:cstheme="majorBidi"/>
          <w:noProof/>
        </w:rPr>
        <w:t>,</w:t>
      </w:r>
      <w:r w:rsidR="00A63B53" w:rsidRPr="00D4396B">
        <w:rPr>
          <w:rFonts w:asciiTheme="majorBidi" w:eastAsia="Times New Roman" w:hAnsiTheme="majorBidi" w:cstheme="majorBidi"/>
          <w:noProof/>
        </w:rPr>
        <w:t xml:space="preserve"> </w:t>
      </w:r>
      <w:r w:rsidR="00C34242" w:rsidRPr="00D4396B">
        <w:rPr>
          <w:rFonts w:asciiTheme="majorBidi" w:eastAsia="Times New Roman" w:hAnsiTheme="majorBidi" w:cstheme="majorBidi"/>
          <w:noProof/>
        </w:rPr>
        <w:t xml:space="preserve">Europol’s expanded </w:t>
      </w:r>
      <w:r w:rsidR="00A63B53" w:rsidRPr="00D4396B">
        <w:rPr>
          <w:rFonts w:asciiTheme="majorBidi" w:eastAsia="Times New Roman" w:hAnsiTheme="majorBidi" w:cstheme="majorBidi"/>
          <w:noProof/>
        </w:rPr>
        <w:t xml:space="preserve">operational role, and digital tools such as JUDEX. However, challenges in inter-agency data exchange, particularly with Europol, </w:t>
      </w:r>
      <w:r w:rsidR="003D3E4A" w:rsidRPr="00D4396B">
        <w:rPr>
          <w:rFonts w:asciiTheme="majorBidi" w:eastAsia="Times New Roman" w:hAnsiTheme="majorBidi" w:cstheme="majorBidi"/>
          <w:noProof/>
        </w:rPr>
        <w:t>w</w:t>
      </w:r>
      <w:r w:rsidR="00E97D0A" w:rsidRPr="00D4396B">
        <w:rPr>
          <w:rFonts w:asciiTheme="majorBidi" w:eastAsia="Times New Roman" w:hAnsiTheme="majorBidi" w:cstheme="majorBidi"/>
          <w:noProof/>
        </w:rPr>
        <w:t>ould</w:t>
      </w:r>
      <w:r w:rsidR="003D3E4A" w:rsidRPr="00D4396B">
        <w:rPr>
          <w:rFonts w:asciiTheme="majorBidi" w:eastAsia="Times New Roman" w:hAnsiTheme="majorBidi" w:cstheme="majorBidi"/>
          <w:noProof/>
        </w:rPr>
        <w:t xml:space="preserve"> persist</w:t>
      </w:r>
      <w:r w:rsidR="00CA5C88" w:rsidRPr="00D4396B">
        <w:rPr>
          <w:rFonts w:asciiTheme="majorBidi" w:eastAsia="Times New Roman" w:hAnsiTheme="majorBidi" w:cstheme="majorBidi"/>
          <w:noProof/>
        </w:rPr>
        <w:t>.</w:t>
      </w:r>
      <w:r w:rsidR="00A63B53" w:rsidRPr="00D4396B">
        <w:rPr>
          <w:rFonts w:asciiTheme="majorBidi" w:eastAsia="Times New Roman" w:hAnsiTheme="majorBidi" w:cstheme="majorBidi"/>
          <w:noProof/>
        </w:rPr>
        <w:t xml:space="preserve"> </w:t>
      </w:r>
      <w:r w:rsidR="002E7277" w:rsidRPr="00D4396B">
        <w:rPr>
          <w:rFonts w:asciiTheme="majorBidi" w:eastAsia="Times New Roman" w:hAnsiTheme="majorBidi" w:cstheme="majorBidi"/>
          <w:noProof/>
        </w:rPr>
        <w:t xml:space="preserve">If </w:t>
      </w:r>
      <w:r w:rsidR="00A63B53" w:rsidRPr="00D4396B">
        <w:rPr>
          <w:rFonts w:asciiTheme="majorBidi" w:eastAsia="Times New Roman" w:hAnsiTheme="majorBidi" w:cstheme="majorBidi"/>
          <w:noProof/>
        </w:rPr>
        <w:t xml:space="preserve">Eurojust’s mandate does not evolve </w:t>
      </w:r>
      <w:r w:rsidR="00C81D16" w:rsidRPr="00D4396B">
        <w:rPr>
          <w:rFonts w:asciiTheme="majorBidi" w:eastAsia="Times New Roman" w:hAnsiTheme="majorBidi" w:cstheme="majorBidi"/>
          <w:noProof/>
        </w:rPr>
        <w:t>accordingly</w:t>
      </w:r>
      <w:r w:rsidR="00A63B53" w:rsidRPr="00D4396B">
        <w:rPr>
          <w:rFonts w:asciiTheme="majorBidi" w:eastAsia="Times New Roman" w:hAnsiTheme="majorBidi" w:cstheme="majorBidi"/>
          <w:noProof/>
        </w:rPr>
        <w:t xml:space="preserve">, </w:t>
      </w:r>
      <w:r w:rsidR="00BD4C4D" w:rsidRPr="00D4396B">
        <w:rPr>
          <w:rFonts w:asciiTheme="majorBidi" w:eastAsia="Times New Roman" w:hAnsiTheme="majorBidi" w:cstheme="majorBidi"/>
          <w:noProof/>
        </w:rPr>
        <w:t xml:space="preserve">this </w:t>
      </w:r>
      <w:r w:rsidR="0098408D" w:rsidRPr="00D4396B">
        <w:rPr>
          <w:rFonts w:asciiTheme="majorBidi" w:eastAsia="Times New Roman" w:hAnsiTheme="majorBidi" w:cstheme="majorBidi"/>
          <w:noProof/>
        </w:rPr>
        <w:t>would risk</w:t>
      </w:r>
      <w:r w:rsidR="00A63B53" w:rsidRPr="00D4396B">
        <w:rPr>
          <w:rFonts w:asciiTheme="majorBidi" w:eastAsia="Times New Roman" w:hAnsiTheme="majorBidi" w:cstheme="majorBidi"/>
          <w:noProof/>
        </w:rPr>
        <w:t xml:space="preserve"> </w:t>
      </w:r>
      <w:r w:rsidR="5D338F74" w:rsidRPr="00D4396B">
        <w:rPr>
          <w:rFonts w:asciiTheme="majorBidi" w:eastAsia="Times New Roman" w:hAnsiTheme="majorBidi" w:cstheme="majorBidi"/>
          <w:noProof/>
        </w:rPr>
        <w:t xml:space="preserve">aggravating its </w:t>
      </w:r>
      <w:r w:rsidR="00A63B53" w:rsidRPr="00D4396B">
        <w:rPr>
          <w:rFonts w:asciiTheme="majorBidi" w:eastAsia="Times New Roman" w:hAnsiTheme="majorBidi" w:cstheme="majorBidi"/>
          <w:b/>
          <w:bCs/>
          <w:noProof/>
        </w:rPr>
        <w:t>capacity strain without corresponding legal empowerment or resource stabilisation</w:t>
      </w:r>
      <w:r w:rsidR="00A63B53" w:rsidRPr="00D4396B">
        <w:rPr>
          <w:rFonts w:asciiTheme="majorBidi" w:eastAsia="Times New Roman" w:hAnsiTheme="majorBidi" w:cstheme="majorBidi"/>
          <w:noProof/>
        </w:rPr>
        <w:t>.</w:t>
      </w:r>
    </w:p>
    <w:p w14:paraId="3BF089D3" w14:textId="752D42E9" w:rsidR="00A63B53" w:rsidRPr="00D4396B" w:rsidRDefault="13E09673" w:rsidP="5E05A023">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Internally, the new CMS planned for 2026 should improve link detection, user experience, and operational </w:t>
      </w:r>
      <w:r w:rsidR="3EDC5F94" w:rsidRPr="00D4396B">
        <w:rPr>
          <w:rFonts w:asciiTheme="majorBidi" w:eastAsia="Times New Roman" w:hAnsiTheme="majorBidi" w:cstheme="majorBidi"/>
          <w:noProof/>
        </w:rPr>
        <w:t>efficiency</w:t>
      </w:r>
      <w:r w:rsidRPr="00D4396B">
        <w:rPr>
          <w:rFonts w:asciiTheme="majorBidi" w:eastAsia="Times New Roman" w:hAnsiTheme="majorBidi" w:cstheme="majorBidi"/>
          <w:noProof/>
        </w:rPr>
        <w:t xml:space="preserve">, </w:t>
      </w:r>
      <w:r w:rsidR="00436303" w:rsidRPr="00D4396B">
        <w:rPr>
          <w:rFonts w:asciiTheme="majorBidi" w:eastAsia="Times New Roman" w:hAnsiTheme="majorBidi" w:cstheme="majorBidi"/>
          <w:noProof/>
        </w:rPr>
        <w:t xml:space="preserve">but </w:t>
      </w:r>
      <w:r w:rsidRPr="00D4396B">
        <w:rPr>
          <w:rFonts w:asciiTheme="majorBidi" w:eastAsia="Times New Roman" w:hAnsiTheme="majorBidi" w:cstheme="majorBidi"/>
          <w:noProof/>
        </w:rPr>
        <w:t>additional responsibilities (e.g. ECRIS-TCN requests from third countries</w:t>
      </w:r>
      <w:r w:rsidR="002A2928" w:rsidRPr="00D4396B">
        <w:rPr>
          <w:rFonts w:asciiTheme="majorBidi" w:eastAsia="Times New Roman" w:hAnsiTheme="majorBidi" w:cstheme="majorBidi"/>
          <w:noProof/>
        </w:rPr>
        <w:t>, potentially around 20 000 annually from the UK alone</w:t>
      </w:r>
      <w:r w:rsidR="00D4396B" w:rsidRPr="00D4396B">
        <w:rPr>
          <w:rFonts w:asciiTheme="majorBidi" w:eastAsia="Times New Roman" w:hAnsiTheme="majorBidi" w:cstheme="majorBidi"/>
          <w:noProof/>
        </w:rPr>
        <w:t>,</w:t>
      </w:r>
      <w:r w:rsidR="00541A2A" w:rsidRPr="00D4396B">
        <w:rPr>
          <w:rStyle w:val="FootnoteReference"/>
          <w:rFonts w:asciiTheme="majorBidi" w:eastAsia="Times New Roman" w:hAnsiTheme="majorBidi" w:cstheme="majorBidi"/>
          <w:noProof/>
        </w:rPr>
        <w:footnoteReference w:id="101"/>
      </w:r>
      <w:r w:rsidR="002A2928" w:rsidRPr="00D4396B">
        <w:rPr>
          <w:noProof/>
        </w:rPr>
        <w:t xml:space="preserve"> and CICED</w:t>
      </w:r>
      <w:r w:rsidRPr="00D4396B">
        <w:rPr>
          <w:rFonts w:asciiTheme="majorBidi" w:eastAsia="Times New Roman" w:hAnsiTheme="majorBidi" w:cstheme="majorBidi"/>
          <w:noProof/>
        </w:rPr>
        <w:t xml:space="preserve">) will generate workload pressures. </w:t>
      </w:r>
      <w:r w:rsidR="00864022" w:rsidRPr="00D4396B">
        <w:rPr>
          <w:rFonts w:asciiTheme="majorBidi" w:eastAsia="Times New Roman" w:hAnsiTheme="majorBidi" w:cstheme="majorBidi"/>
          <w:noProof/>
        </w:rPr>
        <w:t>T</w:t>
      </w:r>
      <w:r w:rsidRPr="00D4396B">
        <w:rPr>
          <w:rFonts w:asciiTheme="majorBidi" w:eastAsia="Times New Roman" w:hAnsiTheme="majorBidi" w:cstheme="majorBidi"/>
          <w:noProof/>
        </w:rPr>
        <w:t xml:space="preserve">he </w:t>
      </w:r>
      <w:r w:rsidRPr="00D4396B">
        <w:rPr>
          <w:rFonts w:asciiTheme="majorBidi" w:eastAsia="Times New Roman" w:hAnsiTheme="majorBidi" w:cstheme="majorBidi"/>
          <w:b/>
          <w:bCs/>
          <w:noProof/>
        </w:rPr>
        <w:t xml:space="preserve">budget </w:t>
      </w:r>
      <w:r w:rsidRPr="00D4396B">
        <w:rPr>
          <w:rFonts w:asciiTheme="majorBidi" w:eastAsia="Times New Roman" w:hAnsiTheme="majorBidi" w:cstheme="majorBidi"/>
          <w:noProof/>
        </w:rPr>
        <w:t xml:space="preserve">is </w:t>
      </w:r>
      <w:r w:rsidR="5159C7B4" w:rsidRPr="00D4396B">
        <w:rPr>
          <w:rFonts w:asciiTheme="majorBidi" w:eastAsia="Times New Roman" w:hAnsiTheme="majorBidi" w:cstheme="majorBidi"/>
          <w:noProof/>
        </w:rPr>
        <w:t>project</w:t>
      </w:r>
      <w:r w:rsidRPr="00D4396B">
        <w:rPr>
          <w:rFonts w:asciiTheme="majorBidi" w:eastAsia="Times New Roman" w:hAnsiTheme="majorBidi" w:cstheme="majorBidi"/>
          <w:noProof/>
        </w:rPr>
        <w:t>ed to</w:t>
      </w:r>
      <w:r w:rsidRPr="00D4396B">
        <w:rPr>
          <w:rFonts w:asciiTheme="majorBidi" w:eastAsia="Times New Roman" w:hAnsiTheme="majorBidi" w:cstheme="majorBidi"/>
          <w:b/>
          <w:bCs/>
          <w:noProof/>
        </w:rPr>
        <w:t xml:space="preserve"> </w:t>
      </w:r>
      <w:r w:rsidR="6F0337D8" w:rsidRPr="00D4396B">
        <w:rPr>
          <w:rFonts w:asciiTheme="majorBidi" w:eastAsia="Times New Roman" w:hAnsiTheme="majorBidi" w:cstheme="majorBidi"/>
          <w:b/>
          <w:bCs/>
          <w:noProof/>
        </w:rPr>
        <w:t>remain stable and only keep pace</w:t>
      </w:r>
      <w:r w:rsidR="00D4396B" w:rsidRPr="00D4396B">
        <w:rPr>
          <w:rFonts w:asciiTheme="majorBidi" w:eastAsia="Times New Roman" w:hAnsiTheme="majorBidi" w:cstheme="majorBidi"/>
          <w:b/>
          <w:bCs/>
          <w:noProof/>
        </w:rPr>
        <w:t xml:space="preserve"> </w:t>
      </w:r>
      <w:r w:rsidRPr="00D4396B">
        <w:rPr>
          <w:rFonts w:asciiTheme="majorBidi" w:eastAsia="Times New Roman" w:hAnsiTheme="majorBidi" w:cstheme="majorBidi"/>
          <w:b/>
          <w:bCs/>
          <w:noProof/>
        </w:rPr>
        <w:t>with inflation</w:t>
      </w:r>
      <w:r w:rsidRPr="00D4396B">
        <w:rPr>
          <w:rFonts w:asciiTheme="majorBidi" w:eastAsia="Times New Roman" w:hAnsiTheme="majorBidi" w:cstheme="majorBidi"/>
          <w:noProof/>
        </w:rPr>
        <w:t>, reaching approximately EUR 87 million</w:t>
      </w:r>
      <w:r w:rsidR="0F9B5FF9" w:rsidRPr="1D89A791">
        <w:rPr>
          <w:rFonts w:asciiTheme="majorBidi" w:eastAsia="Times New Roman" w:hAnsiTheme="majorBidi" w:cstheme="majorBidi"/>
          <w:noProof/>
        </w:rPr>
        <w:t>/</w:t>
      </w:r>
      <w:r w:rsidR="0F9B5FF9" w:rsidRPr="5AEF0AC8">
        <w:rPr>
          <w:rFonts w:asciiTheme="majorBidi" w:eastAsia="Times New Roman" w:hAnsiTheme="majorBidi" w:cstheme="majorBidi"/>
          <w:noProof/>
        </w:rPr>
        <w:t>year</w:t>
      </w:r>
      <w:r w:rsidRPr="00D4396B">
        <w:rPr>
          <w:rFonts w:asciiTheme="majorBidi" w:eastAsia="Times New Roman" w:hAnsiTheme="majorBidi" w:cstheme="majorBidi"/>
          <w:noProof/>
        </w:rPr>
        <w:t xml:space="preserve"> by 2035.</w:t>
      </w:r>
    </w:p>
    <w:p w14:paraId="15E43DB8" w14:textId="62E53A8E" w:rsidR="00A63B53" w:rsidRPr="00D4396B" w:rsidRDefault="00A63B53" w:rsidP="003B0D3B">
      <w:pPr>
        <w:spacing w:after="120"/>
        <w:rPr>
          <w:rFonts w:asciiTheme="majorBidi" w:eastAsia="Times New Roman" w:hAnsiTheme="majorBidi" w:cstheme="majorBidi"/>
          <w:noProof/>
        </w:rPr>
      </w:pPr>
      <w:r w:rsidRPr="00D4396B">
        <w:rPr>
          <w:rFonts w:asciiTheme="majorBidi" w:eastAsia="Times New Roman" w:hAnsiTheme="majorBidi" w:cstheme="majorBidi"/>
          <w:noProof/>
        </w:rPr>
        <w:t>The baseline</w:t>
      </w:r>
      <w:r w:rsidR="00755852" w:rsidRPr="00D4396B">
        <w:rPr>
          <w:rFonts w:asciiTheme="majorBidi" w:eastAsia="Times New Roman" w:hAnsiTheme="majorBidi" w:cstheme="majorBidi"/>
          <w:noProof/>
        </w:rPr>
        <w:t xml:space="preserve"> </w:t>
      </w:r>
      <w:r w:rsidR="0037290B" w:rsidRPr="00D4396B">
        <w:rPr>
          <w:rFonts w:asciiTheme="majorBidi" w:eastAsia="Times New Roman" w:hAnsiTheme="majorBidi" w:cstheme="majorBidi"/>
          <w:noProof/>
        </w:rPr>
        <w:t xml:space="preserve">scenario </w:t>
      </w:r>
      <w:r w:rsidR="007E5D8F" w:rsidRPr="00D4396B">
        <w:rPr>
          <w:rFonts w:asciiTheme="majorBidi" w:eastAsia="Times New Roman" w:hAnsiTheme="majorBidi" w:cstheme="majorBidi"/>
          <w:noProof/>
        </w:rPr>
        <w:t xml:space="preserve">acknowledges </w:t>
      </w:r>
      <w:r w:rsidRPr="00D4396B">
        <w:rPr>
          <w:rFonts w:asciiTheme="majorBidi" w:eastAsia="Times New Roman" w:hAnsiTheme="majorBidi" w:cstheme="majorBidi"/>
          <w:noProof/>
        </w:rPr>
        <w:t xml:space="preserve">that economic metrics alone </w:t>
      </w:r>
      <w:r w:rsidR="0037290B" w:rsidRPr="00D4396B">
        <w:rPr>
          <w:rFonts w:asciiTheme="majorBidi" w:eastAsia="Times New Roman" w:hAnsiTheme="majorBidi" w:cstheme="majorBidi"/>
          <w:noProof/>
        </w:rPr>
        <w:t xml:space="preserve">fail to </w:t>
      </w:r>
      <w:r w:rsidR="00D90385" w:rsidRPr="00D4396B">
        <w:rPr>
          <w:rFonts w:asciiTheme="majorBidi" w:eastAsia="Times New Roman" w:hAnsiTheme="majorBidi" w:cstheme="majorBidi"/>
          <w:noProof/>
        </w:rPr>
        <w:t>capture</w:t>
      </w:r>
      <w:r w:rsidR="0037290B" w:rsidRPr="00D4396B">
        <w:rPr>
          <w:rFonts w:asciiTheme="majorBidi" w:eastAsia="Times New Roman" w:hAnsiTheme="majorBidi" w:cstheme="majorBidi"/>
          <w:noProof/>
        </w:rPr>
        <w:t xml:space="preserve"> </w:t>
      </w:r>
      <w:r w:rsidRPr="00D4396B">
        <w:rPr>
          <w:rFonts w:asciiTheme="majorBidi" w:eastAsia="Times New Roman" w:hAnsiTheme="majorBidi" w:cstheme="majorBidi"/>
          <w:noProof/>
        </w:rPr>
        <w:t xml:space="preserve">crime’s </w:t>
      </w:r>
      <w:r w:rsidRPr="00D4396B">
        <w:rPr>
          <w:rFonts w:asciiTheme="majorBidi" w:eastAsia="Times New Roman" w:hAnsiTheme="majorBidi" w:cstheme="majorBidi"/>
          <w:b/>
          <w:bCs/>
          <w:noProof/>
        </w:rPr>
        <w:t>societal and fundamental rights implications</w:t>
      </w:r>
      <w:r w:rsidRPr="00D4396B">
        <w:rPr>
          <w:rFonts w:asciiTheme="majorBidi" w:eastAsia="Times New Roman" w:hAnsiTheme="majorBidi" w:cstheme="majorBidi"/>
          <w:noProof/>
        </w:rPr>
        <w:t xml:space="preserve">. This risks a widening gap between expectations placed on the </w:t>
      </w:r>
      <w:r w:rsidR="00177053" w:rsidRPr="00D4396B">
        <w:rPr>
          <w:rFonts w:asciiTheme="majorBidi" w:eastAsia="Times New Roman" w:hAnsiTheme="majorBidi" w:cstheme="majorBidi"/>
          <w:noProof/>
        </w:rPr>
        <w:t>A</w:t>
      </w:r>
      <w:r w:rsidRPr="00D4396B">
        <w:rPr>
          <w:rFonts w:asciiTheme="majorBidi" w:eastAsia="Times New Roman" w:hAnsiTheme="majorBidi" w:cstheme="majorBidi"/>
          <w:noProof/>
        </w:rPr>
        <w:t>gency and the resources available to fulfil them. A relevant illustration would be the hosting of new judicial networks created by the Council in the forthcoming considered period.</w:t>
      </w:r>
    </w:p>
    <w:p w14:paraId="70207C0E" w14:textId="79CE6EE1" w:rsidR="00A63B53" w:rsidRPr="00D4396B" w:rsidRDefault="00A63B53" w:rsidP="003B0D3B">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Eurojust’s </w:t>
      </w:r>
      <w:r w:rsidRPr="00D4396B">
        <w:rPr>
          <w:rFonts w:asciiTheme="majorBidi" w:eastAsia="Times New Roman" w:hAnsiTheme="majorBidi" w:cstheme="majorBidi"/>
          <w:b/>
          <w:bCs/>
          <w:noProof/>
        </w:rPr>
        <w:t>data</w:t>
      </w:r>
      <w:r w:rsidR="4B994A44" w:rsidRPr="00D4396B">
        <w:rPr>
          <w:rFonts w:asciiTheme="majorBidi" w:eastAsia="Times New Roman" w:hAnsiTheme="majorBidi" w:cstheme="majorBidi"/>
          <w:b/>
          <w:bCs/>
          <w:noProof/>
        </w:rPr>
        <w:t xml:space="preserve"> </w:t>
      </w:r>
      <w:r w:rsidRPr="00D4396B">
        <w:rPr>
          <w:rFonts w:asciiTheme="majorBidi" w:eastAsia="Times New Roman" w:hAnsiTheme="majorBidi" w:cstheme="majorBidi"/>
          <w:b/>
          <w:bCs/>
          <w:noProof/>
        </w:rPr>
        <w:t>protection framework</w:t>
      </w:r>
      <w:r w:rsidRPr="00D4396B">
        <w:rPr>
          <w:rFonts w:asciiTheme="majorBidi" w:eastAsia="Times New Roman" w:hAnsiTheme="majorBidi" w:cstheme="majorBidi"/>
          <w:noProof/>
        </w:rPr>
        <w:t xml:space="preserve"> will remain robust and rights-protective but increasingly resource-intensive</w:t>
      </w:r>
      <w:r w:rsidR="00895080">
        <w:rPr>
          <w:rFonts w:asciiTheme="majorBidi" w:eastAsia="Times New Roman" w:hAnsiTheme="majorBidi" w:cstheme="majorBidi"/>
          <w:noProof/>
        </w:rPr>
        <w:t xml:space="preserve">, as </w:t>
      </w:r>
      <w:r w:rsidR="00A97618">
        <w:rPr>
          <w:rFonts w:asciiTheme="majorBidi" w:eastAsia="Times New Roman" w:hAnsiTheme="majorBidi" w:cstheme="majorBidi"/>
          <w:noProof/>
        </w:rPr>
        <w:t>a higher volume of data is expected to be processed</w:t>
      </w:r>
      <w:r w:rsidR="00895080" w:rsidRPr="00D4396B">
        <w:rPr>
          <w:rFonts w:asciiTheme="majorBidi" w:eastAsia="Times New Roman" w:hAnsiTheme="majorBidi" w:cstheme="majorBidi"/>
          <w:noProof/>
        </w:rPr>
        <w:t xml:space="preserve"> </w:t>
      </w:r>
      <w:r w:rsidR="008730E6">
        <w:rPr>
          <w:rFonts w:asciiTheme="majorBidi" w:eastAsia="Times New Roman" w:hAnsiTheme="majorBidi" w:cstheme="majorBidi"/>
          <w:noProof/>
        </w:rPr>
        <w:t>in</w:t>
      </w:r>
      <w:r w:rsidRPr="00D4396B">
        <w:rPr>
          <w:rFonts w:asciiTheme="majorBidi" w:eastAsia="Times New Roman" w:hAnsiTheme="majorBidi" w:cstheme="majorBidi"/>
          <w:noProof/>
        </w:rPr>
        <w:t xml:space="preserve"> compliance </w:t>
      </w:r>
      <w:r w:rsidR="008730E6">
        <w:rPr>
          <w:rFonts w:asciiTheme="majorBidi" w:eastAsia="Times New Roman" w:hAnsiTheme="majorBidi" w:cstheme="majorBidi"/>
          <w:noProof/>
        </w:rPr>
        <w:t>with</w:t>
      </w:r>
      <w:r w:rsidRPr="00D4396B">
        <w:rPr>
          <w:rFonts w:asciiTheme="majorBidi" w:eastAsia="Times New Roman" w:hAnsiTheme="majorBidi" w:cstheme="majorBidi"/>
          <w:noProof/>
        </w:rPr>
        <w:t xml:space="preserve"> the </w:t>
      </w:r>
      <w:r w:rsidR="007E5B62" w:rsidRPr="00D4396B">
        <w:rPr>
          <w:rFonts w:asciiTheme="majorBidi" w:eastAsia="Times New Roman" w:hAnsiTheme="majorBidi" w:cstheme="majorBidi"/>
          <w:noProof/>
        </w:rPr>
        <w:t>EJR</w:t>
      </w:r>
      <w:r w:rsidRPr="00D4396B">
        <w:rPr>
          <w:rFonts w:asciiTheme="majorBidi" w:eastAsia="Times New Roman" w:hAnsiTheme="majorBidi" w:cstheme="majorBidi"/>
          <w:noProof/>
        </w:rPr>
        <w:t xml:space="preserve"> and the EUDPR, </w:t>
      </w:r>
      <w:r w:rsidR="008730E6">
        <w:rPr>
          <w:rFonts w:asciiTheme="majorBidi" w:eastAsia="Times New Roman" w:hAnsiTheme="majorBidi" w:cstheme="majorBidi"/>
          <w:noProof/>
        </w:rPr>
        <w:t>under the supervision of the</w:t>
      </w:r>
      <w:r w:rsidRPr="00D4396B">
        <w:rPr>
          <w:rFonts w:asciiTheme="majorBidi" w:eastAsia="Times New Roman" w:hAnsiTheme="majorBidi" w:cstheme="majorBidi"/>
          <w:noProof/>
        </w:rPr>
        <w:t xml:space="preserve"> EDPS.</w:t>
      </w:r>
      <w:r w:rsidR="00042B5E" w:rsidRPr="00D4396B">
        <w:rPr>
          <w:rFonts w:asciiTheme="majorBidi" w:eastAsia="Times New Roman" w:hAnsiTheme="majorBidi" w:cstheme="majorBidi"/>
          <w:noProof/>
        </w:rPr>
        <w:t xml:space="preserve"> </w:t>
      </w:r>
      <w:r w:rsidR="004A523D" w:rsidRPr="00D4396B">
        <w:rPr>
          <w:rFonts w:asciiTheme="majorBidi" w:eastAsia="Times New Roman" w:hAnsiTheme="majorBidi" w:cstheme="majorBidi"/>
          <w:noProof/>
        </w:rPr>
        <w:t>Meanwhile</w:t>
      </w:r>
      <w:r w:rsidR="00042B5E" w:rsidRPr="00D4396B">
        <w:rPr>
          <w:rFonts w:asciiTheme="majorBidi" w:eastAsia="Times New Roman" w:hAnsiTheme="majorBidi" w:cstheme="majorBidi"/>
          <w:noProof/>
        </w:rPr>
        <w:t xml:space="preserve">, </w:t>
      </w:r>
      <w:r w:rsidR="00034C51" w:rsidRPr="00D4396B">
        <w:rPr>
          <w:rFonts w:asciiTheme="majorBidi" w:eastAsia="Times New Roman" w:hAnsiTheme="majorBidi" w:cstheme="majorBidi"/>
          <w:noProof/>
        </w:rPr>
        <w:t>existing but underused</w:t>
      </w:r>
      <w:r w:rsidR="001F4E8F" w:rsidRPr="00D4396B">
        <w:rPr>
          <w:rFonts w:asciiTheme="majorBidi" w:eastAsia="Times New Roman" w:hAnsiTheme="majorBidi" w:cstheme="majorBidi"/>
          <w:noProof/>
        </w:rPr>
        <w:t xml:space="preserve"> mechanisms for international transfers of personal data</w:t>
      </w:r>
      <w:r w:rsidR="00042B5E" w:rsidRPr="00D4396B">
        <w:rPr>
          <w:rFonts w:asciiTheme="majorBidi" w:eastAsia="Times New Roman" w:hAnsiTheme="majorBidi" w:cstheme="majorBidi"/>
          <w:noProof/>
        </w:rPr>
        <w:t xml:space="preserve"> (notably self-assessments and derogations)</w:t>
      </w:r>
      <w:r w:rsidR="004E737F" w:rsidRPr="00D4396B">
        <w:rPr>
          <w:rFonts w:asciiTheme="majorBidi" w:eastAsia="Times New Roman" w:hAnsiTheme="majorBidi" w:cstheme="majorBidi"/>
          <w:noProof/>
        </w:rPr>
        <w:t xml:space="preserve"> are</w:t>
      </w:r>
      <w:r w:rsidR="786C0799" w:rsidRPr="00D4396B">
        <w:rPr>
          <w:rFonts w:asciiTheme="majorBidi" w:eastAsia="Times New Roman" w:hAnsiTheme="majorBidi" w:cstheme="majorBidi"/>
          <w:noProof/>
        </w:rPr>
        <w:t xml:space="preserve"> expected to </w:t>
      </w:r>
      <w:r w:rsidR="00B60251" w:rsidRPr="00D4396B">
        <w:rPr>
          <w:rFonts w:asciiTheme="majorBidi" w:eastAsia="Times New Roman" w:hAnsiTheme="majorBidi" w:cstheme="majorBidi"/>
          <w:noProof/>
        </w:rPr>
        <w:t xml:space="preserve">be utilised </w:t>
      </w:r>
      <w:r w:rsidR="00A95C2E" w:rsidRPr="00D4396B">
        <w:rPr>
          <w:rFonts w:asciiTheme="majorBidi" w:eastAsia="Times New Roman" w:hAnsiTheme="majorBidi" w:cstheme="majorBidi"/>
          <w:noProof/>
        </w:rPr>
        <w:t xml:space="preserve">more widely, helping to broaden and </w:t>
      </w:r>
      <w:r w:rsidR="7C7991CB" w:rsidRPr="00D4396B">
        <w:rPr>
          <w:rFonts w:asciiTheme="majorBidi" w:eastAsia="Times New Roman" w:hAnsiTheme="majorBidi" w:cstheme="majorBidi"/>
          <w:noProof/>
        </w:rPr>
        <w:t xml:space="preserve">diversify </w:t>
      </w:r>
      <w:r w:rsidR="00042B5E" w:rsidRPr="00D4396B">
        <w:rPr>
          <w:rFonts w:asciiTheme="majorBidi" w:eastAsia="Times New Roman" w:hAnsiTheme="majorBidi" w:cstheme="majorBidi"/>
          <w:noProof/>
        </w:rPr>
        <w:t>international cooperation</w:t>
      </w:r>
      <w:r w:rsidR="00A95C2E" w:rsidRPr="00D4396B">
        <w:rPr>
          <w:rFonts w:asciiTheme="majorBidi" w:eastAsia="Times New Roman" w:hAnsiTheme="majorBidi" w:cstheme="majorBidi"/>
          <w:noProof/>
        </w:rPr>
        <w:t>.</w:t>
      </w:r>
    </w:p>
    <w:p w14:paraId="1C359D4A" w14:textId="5E112EC6" w:rsidR="00C870C8" w:rsidRPr="00357D3F" w:rsidRDefault="00357D3F" w:rsidP="2113EDDA">
      <w:pPr>
        <w:spacing w:after="120"/>
        <w:rPr>
          <w:noProof/>
          <w:lang w:val="en-US"/>
        </w:rPr>
      </w:pPr>
      <w:r>
        <w:rPr>
          <w:bCs/>
          <w:noProof/>
          <w:lang w:val="en-US"/>
        </w:rPr>
        <w:t xml:space="preserve">Without rearrangement and delineation of roles, </w:t>
      </w:r>
      <w:r w:rsidRPr="00636E14">
        <w:rPr>
          <w:b/>
          <w:noProof/>
          <w:lang w:val="en-US"/>
        </w:rPr>
        <w:t xml:space="preserve">governance </w:t>
      </w:r>
      <w:r w:rsidR="00C870C8" w:rsidRPr="00636E14">
        <w:rPr>
          <w:b/>
          <w:noProof/>
          <w:lang w:val="en-US"/>
        </w:rPr>
        <w:t>inefficiencies</w:t>
      </w:r>
      <w:r>
        <w:rPr>
          <w:bCs/>
          <w:noProof/>
          <w:lang w:val="en-US"/>
        </w:rPr>
        <w:t xml:space="preserve"> and high</w:t>
      </w:r>
      <w:r w:rsidRPr="00636E14">
        <w:rPr>
          <w:bCs/>
          <w:noProof/>
          <w:lang w:val="en-US"/>
        </w:rPr>
        <w:t xml:space="preserve"> </w:t>
      </w:r>
      <w:r w:rsidRPr="00636E14">
        <w:rPr>
          <w:b/>
          <w:noProof/>
          <w:lang w:val="en-US"/>
        </w:rPr>
        <w:t>administrative burdens</w:t>
      </w:r>
      <w:r>
        <w:rPr>
          <w:bCs/>
          <w:noProof/>
          <w:lang w:val="en-US"/>
        </w:rPr>
        <w:t xml:space="preserve"> </w:t>
      </w:r>
      <w:r w:rsidR="00C870C8" w:rsidRPr="00636E14">
        <w:rPr>
          <w:bCs/>
          <w:noProof/>
          <w:lang w:val="en-US"/>
        </w:rPr>
        <w:t>will</w:t>
      </w:r>
      <w:r>
        <w:rPr>
          <w:bCs/>
          <w:noProof/>
          <w:lang w:val="en-US"/>
        </w:rPr>
        <w:t xml:space="preserve"> likely </w:t>
      </w:r>
      <w:r w:rsidR="00C870C8" w:rsidRPr="00636E14">
        <w:rPr>
          <w:bCs/>
          <w:noProof/>
          <w:lang w:val="en-US"/>
        </w:rPr>
        <w:t>persist, preventing</w:t>
      </w:r>
      <w:r>
        <w:rPr>
          <w:bCs/>
          <w:noProof/>
          <w:lang w:val="en-US"/>
        </w:rPr>
        <w:t xml:space="preserve"> NMs from </w:t>
      </w:r>
      <w:r w:rsidR="00C870C8" w:rsidRPr="00636E14">
        <w:rPr>
          <w:bCs/>
          <w:noProof/>
          <w:lang w:val="en-US"/>
        </w:rPr>
        <w:t xml:space="preserve">focusing on </w:t>
      </w:r>
      <w:r>
        <w:rPr>
          <w:bCs/>
          <w:noProof/>
          <w:lang w:val="en-US"/>
        </w:rPr>
        <w:t>operational casework</w:t>
      </w:r>
      <w:r w:rsidR="6134F8B1" w:rsidRPr="7298AF46">
        <w:rPr>
          <w:noProof/>
          <w:lang w:val="en-US"/>
        </w:rPr>
        <w:t xml:space="preserve"> and </w:t>
      </w:r>
      <w:r w:rsidR="7697C23A" w:rsidRPr="2113EDDA">
        <w:rPr>
          <w:noProof/>
          <w:lang w:val="en-US"/>
        </w:rPr>
        <w:t>effectively addressing the aforementioned developments in the criminal threat.</w:t>
      </w:r>
    </w:p>
    <w:p w14:paraId="6D3347B6" w14:textId="58FC1BFD" w:rsidR="00D42AA1" w:rsidRPr="00D4396B" w:rsidRDefault="007B0F31" w:rsidP="003B0D3B">
      <w:pPr>
        <w:spacing w:after="120"/>
        <w:rPr>
          <w:rFonts w:asciiTheme="majorBidi" w:eastAsia="Times New Roman" w:hAnsiTheme="majorBidi" w:cstheme="majorBidi"/>
          <w:noProof/>
        </w:rPr>
      </w:pPr>
      <w:r w:rsidRPr="00D4396B">
        <w:rPr>
          <w:rFonts w:asciiTheme="majorBidi" w:eastAsia="Times New Roman" w:hAnsiTheme="majorBidi" w:cstheme="majorBidi"/>
          <w:b/>
          <w:bCs/>
          <w:noProof/>
        </w:rPr>
        <w:t xml:space="preserve">Challenges in </w:t>
      </w:r>
      <w:r w:rsidR="43FFA081" w:rsidRPr="6241367D">
        <w:rPr>
          <w:rFonts w:asciiTheme="majorBidi" w:eastAsia="Times New Roman" w:hAnsiTheme="majorBidi" w:cstheme="majorBidi"/>
          <w:b/>
          <w:bCs/>
          <w:noProof/>
        </w:rPr>
        <w:t xml:space="preserve">EU </w:t>
      </w:r>
      <w:r w:rsidRPr="6241367D">
        <w:rPr>
          <w:rFonts w:asciiTheme="majorBidi" w:eastAsia="Times New Roman" w:hAnsiTheme="majorBidi" w:cstheme="majorBidi"/>
          <w:b/>
          <w:bCs/>
          <w:noProof/>
        </w:rPr>
        <w:t>i</w:t>
      </w:r>
      <w:r w:rsidR="00A63B53" w:rsidRPr="6241367D">
        <w:rPr>
          <w:rFonts w:asciiTheme="majorBidi" w:eastAsia="Times New Roman" w:hAnsiTheme="majorBidi" w:cstheme="majorBidi"/>
          <w:b/>
          <w:bCs/>
          <w:noProof/>
        </w:rPr>
        <w:t>nter</w:t>
      </w:r>
      <w:r w:rsidR="00A63B53" w:rsidRPr="00D4396B">
        <w:rPr>
          <w:rFonts w:asciiTheme="majorBidi" w:eastAsia="Times New Roman" w:hAnsiTheme="majorBidi" w:cstheme="majorBidi"/>
          <w:b/>
          <w:bCs/>
          <w:noProof/>
        </w:rPr>
        <w:t xml:space="preserve">-agency cooperation are </w:t>
      </w:r>
      <w:r w:rsidR="00B955AB" w:rsidRPr="00D4396B">
        <w:rPr>
          <w:rFonts w:asciiTheme="majorBidi" w:eastAsia="Times New Roman" w:hAnsiTheme="majorBidi" w:cstheme="majorBidi"/>
          <w:b/>
          <w:bCs/>
          <w:noProof/>
        </w:rPr>
        <w:t xml:space="preserve">likely </w:t>
      </w:r>
      <w:r w:rsidR="00A63B53" w:rsidRPr="00D4396B">
        <w:rPr>
          <w:rFonts w:asciiTheme="majorBidi" w:eastAsia="Times New Roman" w:hAnsiTheme="majorBidi" w:cstheme="majorBidi"/>
          <w:b/>
          <w:bCs/>
          <w:noProof/>
        </w:rPr>
        <w:t>to remain unresolved</w:t>
      </w:r>
      <w:r w:rsidR="00EA654F" w:rsidRPr="00D4396B">
        <w:rPr>
          <w:rFonts w:asciiTheme="majorBidi" w:eastAsia="Times New Roman" w:hAnsiTheme="majorBidi" w:cstheme="majorBidi"/>
          <w:noProof/>
        </w:rPr>
        <w:t xml:space="preserve">, </w:t>
      </w:r>
      <w:r w:rsidR="00AA3706" w:rsidRPr="00D4396B">
        <w:rPr>
          <w:rFonts w:asciiTheme="majorBidi" w:eastAsia="Times New Roman" w:hAnsiTheme="majorBidi" w:cstheme="majorBidi"/>
          <w:noProof/>
        </w:rPr>
        <w:t xml:space="preserve">despite </w:t>
      </w:r>
      <w:r w:rsidR="00CC545C" w:rsidRPr="00D4396B">
        <w:rPr>
          <w:rFonts w:asciiTheme="majorBidi" w:eastAsia="Times New Roman" w:hAnsiTheme="majorBidi" w:cstheme="majorBidi"/>
          <w:noProof/>
        </w:rPr>
        <w:t>deeper c</w:t>
      </w:r>
      <w:r w:rsidR="00A63B53" w:rsidRPr="00D4396B">
        <w:rPr>
          <w:rFonts w:asciiTheme="majorBidi" w:eastAsia="Times New Roman" w:hAnsiTheme="majorBidi" w:cstheme="majorBidi"/>
          <w:noProof/>
        </w:rPr>
        <w:t>ooperation with</w:t>
      </w:r>
      <w:r w:rsidR="00C9142B" w:rsidRPr="00D4396B">
        <w:rPr>
          <w:rFonts w:asciiTheme="majorBidi" w:eastAsia="Times New Roman" w:hAnsiTheme="majorBidi" w:cstheme="majorBidi"/>
          <w:noProof/>
        </w:rPr>
        <w:t xml:space="preserve"> </w:t>
      </w:r>
      <w:r w:rsidR="00A63B53" w:rsidRPr="00D4396B">
        <w:rPr>
          <w:rFonts w:asciiTheme="majorBidi" w:eastAsia="Times New Roman" w:hAnsiTheme="majorBidi" w:cstheme="majorBidi"/>
          <w:noProof/>
        </w:rPr>
        <w:t>EU agencies and bodies</w:t>
      </w:r>
      <w:r w:rsidR="00F70811" w:rsidRPr="00D4396B">
        <w:rPr>
          <w:rFonts w:asciiTheme="majorBidi" w:eastAsia="Times New Roman" w:hAnsiTheme="majorBidi" w:cstheme="majorBidi"/>
          <w:noProof/>
        </w:rPr>
        <w:t xml:space="preserve"> like </w:t>
      </w:r>
      <w:r w:rsidR="00A63B53" w:rsidRPr="00D4396B">
        <w:rPr>
          <w:rFonts w:asciiTheme="majorBidi" w:eastAsia="Times New Roman" w:hAnsiTheme="majorBidi" w:cstheme="majorBidi"/>
          <w:noProof/>
        </w:rPr>
        <w:t>Europol</w:t>
      </w:r>
      <w:r w:rsidR="51FEB5F4" w:rsidRPr="00D4396B">
        <w:rPr>
          <w:rFonts w:asciiTheme="majorBidi" w:eastAsia="Times New Roman" w:hAnsiTheme="majorBidi" w:cstheme="majorBidi"/>
          <w:noProof/>
        </w:rPr>
        <w:t>,</w:t>
      </w:r>
      <w:r w:rsidR="00A63B53" w:rsidRPr="00D4396B">
        <w:rPr>
          <w:rFonts w:asciiTheme="majorBidi" w:eastAsia="Times New Roman" w:hAnsiTheme="majorBidi" w:cstheme="majorBidi"/>
          <w:noProof/>
        </w:rPr>
        <w:t xml:space="preserve"> </w:t>
      </w:r>
      <w:r w:rsidR="51FEB5F4" w:rsidRPr="00D4396B">
        <w:rPr>
          <w:rFonts w:asciiTheme="majorBidi" w:eastAsia="Times New Roman" w:hAnsiTheme="majorBidi" w:cstheme="majorBidi"/>
          <w:noProof/>
        </w:rPr>
        <w:t>OLAF</w:t>
      </w:r>
      <w:r w:rsidR="4D1F2AC2" w:rsidRPr="00D4396B">
        <w:rPr>
          <w:rFonts w:asciiTheme="majorBidi" w:eastAsia="Times New Roman" w:hAnsiTheme="majorBidi" w:cstheme="majorBidi"/>
          <w:noProof/>
        </w:rPr>
        <w:t xml:space="preserve"> </w:t>
      </w:r>
      <w:r w:rsidR="00A63B53" w:rsidRPr="00D4396B">
        <w:rPr>
          <w:rFonts w:asciiTheme="majorBidi" w:eastAsia="Times New Roman" w:hAnsiTheme="majorBidi" w:cstheme="majorBidi"/>
          <w:noProof/>
        </w:rPr>
        <w:t xml:space="preserve">and the EPPO, </w:t>
      </w:r>
      <w:r w:rsidR="007B3D51" w:rsidRPr="00D4396B">
        <w:rPr>
          <w:rFonts w:asciiTheme="majorBidi" w:eastAsia="Times New Roman" w:hAnsiTheme="majorBidi" w:cstheme="majorBidi"/>
          <w:noProof/>
        </w:rPr>
        <w:t>which would</w:t>
      </w:r>
      <w:r w:rsidR="00A63B53" w:rsidRPr="00D4396B">
        <w:rPr>
          <w:rFonts w:asciiTheme="majorBidi" w:eastAsia="Times New Roman" w:hAnsiTheme="majorBidi" w:cstheme="majorBidi"/>
          <w:noProof/>
        </w:rPr>
        <w:t xml:space="preserve"> remain </w:t>
      </w:r>
      <w:r w:rsidR="007B3D51" w:rsidRPr="00D4396B">
        <w:rPr>
          <w:rFonts w:asciiTheme="majorBidi" w:eastAsia="Times New Roman" w:hAnsiTheme="majorBidi" w:cstheme="majorBidi"/>
          <w:noProof/>
        </w:rPr>
        <w:t xml:space="preserve">limited </w:t>
      </w:r>
      <w:r w:rsidR="00A63B53" w:rsidRPr="00D4396B">
        <w:rPr>
          <w:rFonts w:asciiTheme="majorBidi" w:eastAsia="Times New Roman" w:hAnsiTheme="majorBidi" w:cstheme="majorBidi"/>
          <w:noProof/>
        </w:rPr>
        <w:t xml:space="preserve">by fragmented mandates, uneven data access and procedural complexity. As other agencies’ mandates expand, Eurojust will </w:t>
      </w:r>
      <w:r w:rsidR="0089535E" w:rsidRPr="00D4396B">
        <w:rPr>
          <w:rFonts w:asciiTheme="majorBidi" w:eastAsia="Times New Roman" w:hAnsiTheme="majorBidi" w:cstheme="majorBidi"/>
          <w:noProof/>
        </w:rPr>
        <w:t>face growing demands for</w:t>
      </w:r>
      <w:r w:rsidR="00A63B53" w:rsidRPr="00D4396B">
        <w:rPr>
          <w:rFonts w:asciiTheme="majorBidi" w:eastAsia="Times New Roman" w:hAnsiTheme="majorBidi" w:cstheme="majorBidi"/>
          <w:noProof/>
        </w:rPr>
        <w:t xml:space="preserve"> networks hosting, analytical and coordination support without a </w:t>
      </w:r>
      <w:r w:rsidR="00CB3895" w:rsidRPr="00D4396B">
        <w:rPr>
          <w:rFonts w:asciiTheme="majorBidi" w:eastAsia="Times New Roman" w:hAnsiTheme="majorBidi" w:cstheme="majorBidi"/>
          <w:noProof/>
        </w:rPr>
        <w:t>corresponding increase</w:t>
      </w:r>
      <w:r w:rsidR="00A63B53" w:rsidRPr="00D4396B">
        <w:rPr>
          <w:rFonts w:asciiTheme="majorBidi" w:eastAsia="Times New Roman" w:hAnsiTheme="majorBidi" w:cstheme="majorBidi"/>
          <w:noProof/>
        </w:rPr>
        <w:t xml:space="preserve"> </w:t>
      </w:r>
      <w:r w:rsidR="00CB3895" w:rsidRPr="00D4396B">
        <w:rPr>
          <w:rFonts w:asciiTheme="majorBidi" w:eastAsia="Times New Roman" w:hAnsiTheme="majorBidi" w:cstheme="majorBidi"/>
          <w:noProof/>
        </w:rPr>
        <w:t>in</w:t>
      </w:r>
      <w:r w:rsidR="00A63B53" w:rsidRPr="00D4396B">
        <w:rPr>
          <w:rFonts w:asciiTheme="majorBidi" w:eastAsia="Times New Roman" w:hAnsiTheme="majorBidi" w:cstheme="majorBidi"/>
          <w:noProof/>
        </w:rPr>
        <w:t xml:space="preserve"> its own resources.</w:t>
      </w:r>
    </w:p>
    <w:p w14:paraId="2944187A" w14:textId="2B148C23" w:rsidR="00A63B53" w:rsidRPr="00D4396B" w:rsidRDefault="00A63B53" w:rsidP="003B0D3B">
      <w:pPr>
        <w:spacing w:after="120"/>
        <w:rPr>
          <w:rFonts w:asciiTheme="majorBidi" w:eastAsia="Times New Roman" w:hAnsiTheme="majorBidi" w:cstheme="majorBidi"/>
          <w:noProof/>
        </w:rPr>
      </w:pPr>
      <w:r w:rsidRPr="00D4396B">
        <w:rPr>
          <w:rFonts w:asciiTheme="majorBidi" w:eastAsia="Times New Roman" w:hAnsiTheme="majorBidi" w:cstheme="majorBidi"/>
          <w:b/>
          <w:bCs/>
          <w:noProof/>
        </w:rPr>
        <w:t>Data</w:t>
      </w:r>
      <w:r w:rsidR="00112990" w:rsidRPr="00D4396B">
        <w:rPr>
          <w:rFonts w:asciiTheme="majorBidi" w:eastAsia="Times New Roman" w:hAnsiTheme="majorBidi" w:cstheme="majorBidi"/>
          <w:b/>
          <w:bCs/>
          <w:noProof/>
        </w:rPr>
        <w:t>-</w:t>
      </w:r>
      <w:r w:rsidRPr="00D4396B">
        <w:rPr>
          <w:rFonts w:asciiTheme="majorBidi" w:eastAsia="Times New Roman" w:hAnsiTheme="majorBidi" w:cstheme="majorBidi"/>
          <w:b/>
          <w:bCs/>
          <w:noProof/>
        </w:rPr>
        <w:t xml:space="preserve">exchange </w:t>
      </w:r>
      <w:r w:rsidR="002D315D" w:rsidRPr="00D4396B">
        <w:rPr>
          <w:rFonts w:asciiTheme="majorBidi" w:eastAsia="Times New Roman" w:hAnsiTheme="majorBidi" w:cstheme="majorBidi"/>
          <w:b/>
          <w:bCs/>
          <w:noProof/>
        </w:rPr>
        <w:t xml:space="preserve">constraints </w:t>
      </w:r>
      <w:r w:rsidRPr="00D4396B">
        <w:rPr>
          <w:rFonts w:asciiTheme="majorBidi" w:eastAsia="Times New Roman" w:hAnsiTheme="majorBidi" w:cstheme="majorBidi"/>
          <w:b/>
          <w:bCs/>
          <w:noProof/>
        </w:rPr>
        <w:t>with Europol</w:t>
      </w:r>
      <w:r w:rsidRPr="00D4396B">
        <w:rPr>
          <w:rFonts w:asciiTheme="majorBidi" w:eastAsia="Times New Roman" w:hAnsiTheme="majorBidi" w:cstheme="majorBidi"/>
          <w:noProof/>
        </w:rPr>
        <w:t xml:space="preserve"> </w:t>
      </w:r>
      <w:r w:rsidR="00855EE9" w:rsidRPr="00D4396B">
        <w:rPr>
          <w:rFonts w:asciiTheme="majorBidi" w:eastAsia="Times New Roman" w:hAnsiTheme="majorBidi" w:cstheme="majorBidi"/>
          <w:noProof/>
        </w:rPr>
        <w:t>–</w:t>
      </w:r>
      <w:r w:rsidRPr="00D4396B">
        <w:rPr>
          <w:rFonts w:asciiTheme="majorBidi" w:eastAsia="Times New Roman" w:hAnsiTheme="majorBidi" w:cstheme="majorBidi"/>
          <w:noProof/>
        </w:rPr>
        <w:t xml:space="preserve"> including asymmetries in access, handling code restrictions</w:t>
      </w:r>
      <w:r w:rsidR="2511363B" w:rsidRPr="00D4396B">
        <w:rPr>
          <w:rFonts w:asciiTheme="majorBidi" w:eastAsia="Times New Roman" w:hAnsiTheme="majorBidi" w:cstheme="majorBidi"/>
          <w:noProof/>
        </w:rPr>
        <w:t>,</w:t>
      </w:r>
      <w:r w:rsidRPr="00D4396B">
        <w:rPr>
          <w:rFonts w:asciiTheme="majorBidi" w:eastAsia="Times New Roman" w:hAnsiTheme="majorBidi" w:cstheme="majorBidi"/>
          <w:noProof/>
        </w:rPr>
        <w:t xml:space="preserve"> </w:t>
      </w:r>
      <w:r w:rsidR="00855EE9" w:rsidRPr="00D4396B">
        <w:rPr>
          <w:rFonts w:asciiTheme="majorBidi" w:eastAsia="Times New Roman" w:hAnsiTheme="majorBidi" w:cstheme="majorBidi"/>
          <w:noProof/>
        </w:rPr>
        <w:t>–</w:t>
      </w:r>
      <w:r w:rsidRPr="00D4396B">
        <w:rPr>
          <w:rFonts w:asciiTheme="majorBidi" w:eastAsia="Times New Roman" w:hAnsiTheme="majorBidi" w:cstheme="majorBidi"/>
          <w:noProof/>
        </w:rPr>
        <w:t xml:space="preserve"> will </w:t>
      </w:r>
      <w:r w:rsidR="00CF4F2A" w:rsidRPr="00D4396B">
        <w:rPr>
          <w:rFonts w:asciiTheme="majorBidi" w:eastAsia="Times New Roman" w:hAnsiTheme="majorBidi" w:cstheme="majorBidi"/>
          <w:noProof/>
        </w:rPr>
        <w:t>continue</w:t>
      </w:r>
      <w:r w:rsidRPr="00D4396B">
        <w:rPr>
          <w:rFonts w:asciiTheme="majorBidi" w:eastAsia="Times New Roman" w:hAnsiTheme="majorBidi" w:cstheme="majorBidi"/>
          <w:noProof/>
        </w:rPr>
        <w:t xml:space="preserve"> under the current framework. Without regulatory clarification, structural </w:t>
      </w:r>
      <w:r w:rsidR="2E48DF7C" w:rsidRPr="00D4396B">
        <w:rPr>
          <w:rFonts w:asciiTheme="majorBidi" w:eastAsia="Times New Roman" w:hAnsiTheme="majorBidi" w:cstheme="majorBidi"/>
          <w:noProof/>
        </w:rPr>
        <w:t>or institutional issues</w:t>
      </w:r>
      <w:r w:rsidRPr="00D4396B">
        <w:rPr>
          <w:rFonts w:asciiTheme="majorBidi" w:eastAsia="Times New Roman" w:hAnsiTheme="majorBidi" w:cstheme="majorBidi"/>
          <w:noProof/>
        </w:rPr>
        <w:t xml:space="preserve"> between judicial and law enforcement actors may continue to impede timely and balanced information sharing.</w:t>
      </w:r>
    </w:p>
    <w:p w14:paraId="346BCFAC" w14:textId="637F8B66" w:rsidR="00A63B53" w:rsidRPr="00D4396B" w:rsidRDefault="00A63B53" w:rsidP="003B0D3B">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Eurojust’s </w:t>
      </w:r>
      <w:r w:rsidRPr="00D4396B">
        <w:rPr>
          <w:rFonts w:asciiTheme="majorBidi" w:eastAsia="Times New Roman" w:hAnsiTheme="majorBidi" w:cstheme="majorBidi"/>
          <w:b/>
          <w:bCs/>
          <w:noProof/>
        </w:rPr>
        <w:t>operational and analytical support</w:t>
      </w:r>
      <w:r w:rsidRPr="00D4396B">
        <w:rPr>
          <w:rFonts w:asciiTheme="majorBidi" w:eastAsia="Times New Roman" w:hAnsiTheme="majorBidi" w:cstheme="majorBidi"/>
          <w:noProof/>
        </w:rPr>
        <w:t xml:space="preserve"> will </w:t>
      </w:r>
      <w:r w:rsidR="00D826D4" w:rsidRPr="00D4396B">
        <w:rPr>
          <w:rFonts w:asciiTheme="majorBidi" w:eastAsia="Times New Roman" w:hAnsiTheme="majorBidi" w:cstheme="majorBidi"/>
          <w:noProof/>
        </w:rPr>
        <w:t xml:space="preserve">stay </w:t>
      </w:r>
      <w:r w:rsidRPr="00D4396B">
        <w:rPr>
          <w:rFonts w:asciiTheme="majorBidi" w:eastAsia="Times New Roman" w:hAnsiTheme="majorBidi" w:cstheme="majorBidi"/>
          <w:noProof/>
        </w:rPr>
        <w:t xml:space="preserve">essential but </w:t>
      </w:r>
      <w:r w:rsidR="00EC6479" w:rsidRPr="00D4396B">
        <w:rPr>
          <w:rFonts w:asciiTheme="majorBidi" w:eastAsia="Times New Roman" w:hAnsiTheme="majorBidi" w:cstheme="majorBidi"/>
          <w:noProof/>
        </w:rPr>
        <w:t>face increasing strain</w:t>
      </w:r>
      <w:r w:rsidRPr="00D4396B">
        <w:rPr>
          <w:rFonts w:asciiTheme="majorBidi" w:eastAsia="Times New Roman" w:hAnsiTheme="majorBidi" w:cstheme="majorBidi"/>
          <w:noProof/>
        </w:rPr>
        <w:t xml:space="preserve"> </w:t>
      </w:r>
      <w:r w:rsidR="00A214DD" w:rsidRPr="00D4396B">
        <w:rPr>
          <w:rFonts w:asciiTheme="majorBidi" w:eastAsia="Times New Roman" w:hAnsiTheme="majorBidi" w:cstheme="majorBidi"/>
          <w:noProof/>
        </w:rPr>
        <w:t xml:space="preserve">from </w:t>
      </w:r>
      <w:r w:rsidRPr="00D4396B">
        <w:rPr>
          <w:rFonts w:asciiTheme="majorBidi" w:eastAsia="Times New Roman" w:hAnsiTheme="majorBidi" w:cstheme="majorBidi"/>
          <w:b/>
          <w:bCs/>
          <w:noProof/>
        </w:rPr>
        <w:t>uneven Member State participation, mandate limitations and legal fragmentation</w:t>
      </w:r>
      <w:r w:rsidRPr="00D4396B">
        <w:rPr>
          <w:rFonts w:asciiTheme="majorBidi" w:eastAsia="Times New Roman" w:hAnsiTheme="majorBidi" w:cstheme="majorBidi"/>
          <w:noProof/>
        </w:rPr>
        <w:t>. In particular, engagement in JITs is expected to remain uneven, resulting in a two-speed operational landscape and limiting Eurojust’s ability to provide cohe</w:t>
      </w:r>
      <w:r w:rsidR="00BB284E" w:rsidRPr="00D4396B">
        <w:rPr>
          <w:rFonts w:asciiTheme="majorBidi" w:eastAsia="Times New Roman" w:hAnsiTheme="majorBidi" w:cstheme="majorBidi"/>
          <w:noProof/>
        </w:rPr>
        <w:t>sive</w:t>
      </w:r>
      <w:r w:rsidRPr="00D4396B">
        <w:rPr>
          <w:rFonts w:asciiTheme="majorBidi" w:eastAsia="Times New Roman" w:hAnsiTheme="majorBidi" w:cstheme="majorBidi"/>
          <w:noProof/>
        </w:rPr>
        <w:t xml:space="preserve"> cross-border </w:t>
      </w:r>
      <w:r w:rsidR="00BB284E" w:rsidRPr="00D4396B">
        <w:rPr>
          <w:rFonts w:asciiTheme="majorBidi" w:eastAsia="Times New Roman" w:hAnsiTheme="majorBidi" w:cstheme="majorBidi"/>
          <w:noProof/>
        </w:rPr>
        <w:t xml:space="preserve">judicial </w:t>
      </w:r>
      <w:r w:rsidRPr="00D4396B">
        <w:rPr>
          <w:rFonts w:asciiTheme="majorBidi" w:eastAsia="Times New Roman" w:hAnsiTheme="majorBidi" w:cstheme="majorBidi"/>
          <w:noProof/>
        </w:rPr>
        <w:t>support.</w:t>
      </w:r>
    </w:p>
    <w:p w14:paraId="270ABAAD" w14:textId="0622D95F" w:rsidR="00A63B53" w:rsidRPr="00D4396B" w:rsidRDefault="00A63B53" w:rsidP="003B0D3B">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In terms of capacities and skills, Eurojust is recognised for </w:t>
      </w:r>
      <w:r w:rsidR="009201D3" w:rsidRPr="00D4396B">
        <w:rPr>
          <w:rFonts w:asciiTheme="majorBidi" w:eastAsia="Times New Roman" w:hAnsiTheme="majorBidi" w:cstheme="majorBidi"/>
          <w:noProof/>
        </w:rPr>
        <w:t xml:space="preserve">its </w:t>
      </w:r>
      <w:r w:rsidRPr="00D4396B">
        <w:rPr>
          <w:rFonts w:asciiTheme="majorBidi" w:eastAsia="Times New Roman" w:hAnsiTheme="majorBidi" w:cstheme="majorBidi"/>
          <w:noProof/>
        </w:rPr>
        <w:t xml:space="preserve">high-quality investigative and MLA support. Under the baseline, however, the </w:t>
      </w:r>
      <w:r w:rsidRPr="00D4396B">
        <w:rPr>
          <w:rFonts w:asciiTheme="majorBidi" w:eastAsia="Times New Roman" w:hAnsiTheme="majorBidi" w:cstheme="majorBidi"/>
          <w:b/>
          <w:bCs/>
          <w:noProof/>
        </w:rPr>
        <w:t>College’s national desks will remain structurally constrained</w:t>
      </w:r>
      <w:r w:rsidRPr="00D4396B">
        <w:rPr>
          <w:rFonts w:asciiTheme="majorBidi" w:eastAsia="Times New Roman" w:hAnsiTheme="majorBidi" w:cstheme="majorBidi"/>
          <w:noProof/>
        </w:rPr>
        <w:t xml:space="preserve">: rising volumes and complexity of support requests, ICT limitations and staff shortages will </w:t>
      </w:r>
      <w:r w:rsidR="002B23FF" w:rsidRPr="00D4396B">
        <w:rPr>
          <w:rFonts w:asciiTheme="majorBidi" w:eastAsia="Times New Roman" w:hAnsiTheme="majorBidi" w:cstheme="majorBidi"/>
          <w:noProof/>
        </w:rPr>
        <w:t xml:space="preserve">further </w:t>
      </w:r>
      <w:r w:rsidR="487F9C16" w:rsidRPr="00D4396B">
        <w:rPr>
          <w:rFonts w:asciiTheme="majorBidi" w:eastAsia="Times New Roman" w:hAnsiTheme="majorBidi" w:cstheme="majorBidi"/>
          <w:noProof/>
        </w:rPr>
        <w:t>require</w:t>
      </w:r>
      <w:r w:rsidR="009D0ADF" w:rsidRPr="00D4396B">
        <w:rPr>
          <w:rFonts w:asciiTheme="majorBidi" w:eastAsia="Times New Roman" w:hAnsiTheme="majorBidi" w:cstheme="majorBidi"/>
          <w:noProof/>
        </w:rPr>
        <w:t xml:space="preserve"> dif</w:t>
      </w:r>
      <w:r w:rsidR="00D0162C" w:rsidRPr="00D4396B">
        <w:rPr>
          <w:rFonts w:asciiTheme="majorBidi" w:eastAsia="Times New Roman" w:hAnsiTheme="majorBidi" w:cstheme="majorBidi"/>
          <w:noProof/>
        </w:rPr>
        <w:t xml:space="preserve">ficult prioritisation choices, leaving </w:t>
      </w:r>
      <w:r w:rsidR="00E665CA" w:rsidRPr="00D4396B">
        <w:rPr>
          <w:rFonts w:asciiTheme="majorBidi" w:eastAsia="Times New Roman" w:hAnsiTheme="majorBidi" w:cstheme="majorBidi"/>
          <w:noProof/>
        </w:rPr>
        <w:t>some operational needs unmet</w:t>
      </w:r>
      <w:r w:rsidRPr="00D4396B">
        <w:rPr>
          <w:rFonts w:asciiTheme="majorBidi" w:eastAsia="Times New Roman" w:hAnsiTheme="majorBidi" w:cstheme="majorBidi"/>
          <w:noProof/>
        </w:rPr>
        <w:t>. Legal and procedural requirements will slow the deployment of automation, AI tools, and innovative techniques, leaving many solutions confined to pilot stages.</w:t>
      </w:r>
      <w:r w:rsidR="00931089">
        <w:rPr>
          <w:rFonts w:asciiTheme="majorBidi" w:eastAsia="Times New Roman" w:hAnsiTheme="majorBidi" w:cstheme="majorBidi"/>
          <w:noProof/>
        </w:rPr>
        <w:t xml:space="preserve"> </w:t>
      </w:r>
    </w:p>
    <w:p w14:paraId="10724557" w14:textId="50C5272C" w:rsidR="23439060" w:rsidRPr="00D4396B" w:rsidRDefault="6C99A084" w:rsidP="23439060">
      <w:pPr>
        <w:spacing w:after="120"/>
        <w:rPr>
          <w:rFonts w:asciiTheme="majorBidi" w:eastAsia="Times New Roman" w:hAnsiTheme="majorBidi" w:cstheme="majorBidi"/>
          <w:noProof/>
        </w:rPr>
      </w:pPr>
      <w:r w:rsidRPr="00D4396B">
        <w:rPr>
          <w:rFonts w:asciiTheme="majorBidi" w:eastAsia="Times New Roman" w:hAnsiTheme="majorBidi" w:cstheme="majorBidi"/>
          <w:b/>
          <w:bCs/>
          <w:noProof/>
        </w:rPr>
        <w:t>Eurojust would continue to deliver significant societal value</w:t>
      </w:r>
      <w:r w:rsidRPr="00D4396B">
        <w:rPr>
          <w:rFonts w:asciiTheme="majorBidi" w:eastAsia="Times New Roman" w:hAnsiTheme="majorBidi" w:cstheme="majorBidi"/>
          <w:noProof/>
        </w:rPr>
        <w:t xml:space="preserve"> </w:t>
      </w:r>
      <w:r w:rsidR="00420D1C" w:rsidRPr="00D4396B">
        <w:rPr>
          <w:rFonts w:asciiTheme="majorBidi" w:eastAsia="Times New Roman" w:hAnsiTheme="majorBidi" w:cstheme="majorBidi"/>
          <w:noProof/>
        </w:rPr>
        <w:t>–</w:t>
      </w:r>
      <w:r w:rsidRPr="00D4396B">
        <w:rPr>
          <w:rFonts w:asciiTheme="majorBidi" w:eastAsia="Times New Roman" w:hAnsiTheme="majorBidi" w:cstheme="majorBidi"/>
          <w:noProof/>
        </w:rPr>
        <w:t xml:space="preserve"> enhancing public safety, protecting victims’ rights, supporting economic stability, and combating impunity for international crimes</w:t>
      </w:r>
      <w:r w:rsidR="006819DB" w:rsidRPr="00D4396B">
        <w:rPr>
          <w:rFonts w:asciiTheme="majorBidi" w:eastAsia="Times New Roman" w:hAnsiTheme="majorBidi" w:cstheme="majorBidi"/>
          <w:noProof/>
        </w:rPr>
        <w:t>. Y</w:t>
      </w:r>
      <w:r w:rsidR="0082535D" w:rsidRPr="00D4396B">
        <w:rPr>
          <w:rFonts w:asciiTheme="majorBidi" w:eastAsia="Times New Roman" w:hAnsiTheme="majorBidi" w:cstheme="majorBidi"/>
          <w:noProof/>
        </w:rPr>
        <w:t>et</w:t>
      </w:r>
      <w:r w:rsidR="4FA6A7B2" w:rsidRPr="00D4396B">
        <w:rPr>
          <w:rFonts w:asciiTheme="majorBidi" w:eastAsia="Times New Roman" w:hAnsiTheme="majorBidi" w:cstheme="majorBidi"/>
          <w:noProof/>
        </w:rPr>
        <w:t>,</w:t>
      </w:r>
      <w:r w:rsidR="00151788" w:rsidRPr="00D4396B">
        <w:rPr>
          <w:rFonts w:asciiTheme="majorBidi" w:eastAsia="Times New Roman" w:hAnsiTheme="majorBidi" w:cstheme="majorBidi"/>
          <w:noProof/>
        </w:rPr>
        <w:t xml:space="preserve"> without</w:t>
      </w:r>
      <w:r w:rsidR="0082280E" w:rsidRPr="00D4396B">
        <w:rPr>
          <w:rFonts w:asciiTheme="majorBidi" w:eastAsia="Times New Roman" w:hAnsiTheme="majorBidi" w:cstheme="majorBidi"/>
          <w:noProof/>
        </w:rPr>
        <w:t xml:space="preserve"> mandate</w:t>
      </w:r>
      <w:r w:rsidR="00C724DB" w:rsidRPr="00D4396B">
        <w:rPr>
          <w:rFonts w:asciiTheme="majorBidi" w:eastAsia="Times New Roman" w:hAnsiTheme="majorBidi" w:cstheme="majorBidi"/>
          <w:noProof/>
        </w:rPr>
        <w:t xml:space="preserve"> reform</w:t>
      </w:r>
      <w:r w:rsidR="0082280E" w:rsidRPr="00D4396B">
        <w:rPr>
          <w:rFonts w:asciiTheme="majorBidi" w:eastAsia="Times New Roman" w:hAnsiTheme="majorBidi" w:cstheme="majorBidi"/>
          <w:noProof/>
        </w:rPr>
        <w:t xml:space="preserve">, </w:t>
      </w:r>
      <w:r w:rsidR="004579A3" w:rsidRPr="00D4396B">
        <w:rPr>
          <w:rFonts w:asciiTheme="majorBidi" w:eastAsia="Times New Roman" w:hAnsiTheme="majorBidi" w:cstheme="majorBidi"/>
          <w:noProof/>
        </w:rPr>
        <w:t>escalating operational and capacity pressures would go unaddressed</w:t>
      </w:r>
      <w:r w:rsidR="37DD26F4" w:rsidRPr="00D4396B">
        <w:rPr>
          <w:rFonts w:asciiTheme="majorBidi" w:eastAsia="Times New Roman" w:hAnsiTheme="majorBidi" w:cstheme="majorBidi"/>
          <w:noProof/>
        </w:rPr>
        <w:t>.</w:t>
      </w:r>
    </w:p>
    <w:p w14:paraId="6264E483" w14:textId="66991448" w:rsidR="00A63B53" w:rsidRPr="00D4396B" w:rsidRDefault="16099869" w:rsidP="003B0D3B">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In case the </w:t>
      </w:r>
      <w:r w:rsidR="000E1114" w:rsidRPr="00D4396B">
        <w:rPr>
          <w:rFonts w:asciiTheme="majorBidi" w:eastAsia="Times New Roman" w:hAnsiTheme="majorBidi" w:cstheme="majorBidi"/>
          <w:noProof/>
        </w:rPr>
        <w:t>EJR</w:t>
      </w:r>
      <w:r w:rsidRPr="00D4396B">
        <w:rPr>
          <w:rFonts w:asciiTheme="majorBidi" w:eastAsia="Times New Roman" w:hAnsiTheme="majorBidi" w:cstheme="majorBidi"/>
          <w:noProof/>
        </w:rPr>
        <w:t xml:space="preserve"> </w:t>
      </w:r>
      <w:r w:rsidR="00DB389B" w:rsidRPr="00D4396B">
        <w:rPr>
          <w:rFonts w:asciiTheme="majorBidi" w:eastAsia="Times New Roman" w:hAnsiTheme="majorBidi" w:cstheme="majorBidi"/>
          <w:noProof/>
        </w:rPr>
        <w:t>will</w:t>
      </w:r>
      <w:r w:rsidRPr="00D4396B">
        <w:rPr>
          <w:rFonts w:asciiTheme="majorBidi" w:eastAsia="Times New Roman" w:hAnsiTheme="majorBidi" w:cstheme="majorBidi"/>
          <w:noProof/>
        </w:rPr>
        <w:t xml:space="preserve"> not </w:t>
      </w:r>
      <w:r w:rsidR="00DB389B" w:rsidRPr="00D4396B">
        <w:rPr>
          <w:rFonts w:asciiTheme="majorBidi" w:eastAsia="Times New Roman" w:hAnsiTheme="majorBidi" w:cstheme="majorBidi"/>
          <w:noProof/>
        </w:rPr>
        <w:t>be</w:t>
      </w:r>
      <w:r w:rsidRPr="00D4396B">
        <w:rPr>
          <w:rFonts w:asciiTheme="majorBidi" w:eastAsia="Times New Roman" w:hAnsiTheme="majorBidi" w:cstheme="majorBidi"/>
          <w:noProof/>
        </w:rPr>
        <w:t xml:space="preserve"> revised, these cumulative pressures risk gradually </w:t>
      </w:r>
      <w:r w:rsidR="009B181E" w:rsidRPr="00D4396B">
        <w:rPr>
          <w:rFonts w:asciiTheme="majorBidi" w:eastAsia="Times New Roman" w:hAnsiTheme="majorBidi" w:cstheme="majorBidi"/>
          <w:noProof/>
        </w:rPr>
        <w:t xml:space="preserve">eroding </w:t>
      </w:r>
      <w:r w:rsidRPr="00D4396B">
        <w:rPr>
          <w:rFonts w:asciiTheme="majorBidi" w:eastAsia="Times New Roman" w:hAnsiTheme="majorBidi" w:cstheme="majorBidi"/>
          <w:noProof/>
        </w:rPr>
        <w:t>Eurojust’s operational effectiveness, strategic positioning within the EU security architecture, and the Agency’s ability to respond effectively to an increasingly complex criminal threat environment and keep pace with digitalised information exchanges.</w:t>
      </w:r>
    </w:p>
    <w:p w14:paraId="243803CC" w14:textId="3A49204C" w:rsidR="00A63B53" w:rsidRPr="00D4396B" w:rsidRDefault="00A63B53" w:rsidP="000C3545">
      <w:pPr>
        <w:pStyle w:val="Heading2"/>
        <w:rPr>
          <w:noProof/>
        </w:rPr>
      </w:pPr>
      <w:bookmarkStart w:id="138" w:name="_Toc1534820877"/>
      <w:bookmarkStart w:id="139" w:name="_Toc163285092"/>
      <w:bookmarkStart w:id="140" w:name="_Toc686110099"/>
      <w:bookmarkStart w:id="141" w:name="_Toc1349726301"/>
      <w:bookmarkStart w:id="142" w:name="_Toc1668496380"/>
      <w:bookmarkStart w:id="143" w:name="_Toc224109569"/>
      <w:bookmarkStart w:id="144" w:name="_Toc232176414"/>
      <w:r w:rsidRPr="00D4396B">
        <w:rPr>
          <w:noProof/>
        </w:rPr>
        <w:t>5.2</w:t>
      </w:r>
      <w:r w:rsidR="00213B91" w:rsidRPr="00D4396B">
        <w:rPr>
          <w:noProof/>
        </w:rPr>
        <w:t>.</w:t>
      </w:r>
      <w:r w:rsidR="00213B91">
        <w:rPr>
          <w:noProof/>
        </w:rPr>
        <w:tab/>
      </w:r>
      <w:r w:rsidRPr="00D4396B">
        <w:rPr>
          <w:noProof/>
        </w:rPr>
        <w:t>Description of the policy options</w:t>
      </w:r>
      <w:bookmarkEnd w:id="138"/>
      <w:bookmarkEnd w:id="139"/>
      <w:bookmarkEnd w:id="140"/>
      <w:bookmarkEnd w:id="141"/>
      <w:bookmarkEnd w:id="142"/>
      <w:r w:rsidRPr="00D4396B">
        <w:rPr>
          <w:noProof/>
        </w:rPr>
        <w:t xml:space="preserve"> per specific objective</w:t>
      </w:r>
      <w:bookmarkEnd w:id="143"/>
      <w:bookmarkEnd w:id="144"/>
    </w:p>
    <w:p w14:paraId="13F65DDD" w14:textId="585A12B6" w:rsidR="00A63B53" w:rsidRPr="00D4396B" w:rsidRDefault="16099869" w:rsidP="003B0D3B">
      <w:pPr>
        <w:spacing w:after="120"/>
        <w:rPr>
          <w:rFonts w:asciiTheme="majorBidi" w:hAnsiTheme="majorBidi" w:cstheme="majorBidi"/>
          <w:noProof/>
        </w:rPr>
      </w:pPr>
      <w:r w:rsidRPr="00D4396B">
        <w:rPr>
          <w:rFonts w:asciiTheme="majorBidi" w:eastAsia="Times New Roman" w:hAnsiTheme="majorBidi" w:cstheme="majorBidi"/>
          <w:noProof/>
        </w:rPr>
        <w:t xml:space="preserve">This impact assessment </w:t>
      </w:r>
      <w:r w:rsidR="007F0D90" w:rsidRPr="00D4396B">
        <w:rPr>
          <w:rFonts w:asciiTheme="majorBidi" w:eastAsia="Times New Roman" w:hAnsiTheme="majorBidi" w:cstheme="majorBidi"/>
          <w:noProof/>
        </w:rPr>
        <w:t>evaluates</w:t>
      </w:r>
      <w:r w:rsidRPr="00D4396B">
        <w:rPr>
          <w:rFonts w:asciiTheme="majorBidi" w:eastAsia="Times New Roman" w:hAnsiTheme="majorBidi" w:cstheme="majorBidi"/>
          <w:noProof/>
        </w:rPr>
        <w:t xml:space="preserve"> policy options </w:t>
      </w:r>
      <w:r w:rsidR="5E7805A2" w:rsidRPr="00D4396B">
        <w:rPr>
          <w:rFonts w:asciiTheme="majorBidi" w:eastAsia="Times New Roman" w:hAnsiTheme="majorBidi" w:cstheme="majorBidi"/>
          <w:noProof/>
        </w:rPr>
        <w:t xml:space="preserve">spanning from </w:t>
      </w:r>
      <w:r w:rsidR="1DF0F780" w:rsidRPr="00D4396B">
        <w:rPr>
          <w:rFonts w:asciiTheme="majorBidi" w:eastAsia="Times New Roman" w:hAnsiTheme="majorBidi" w:cstheme="majorBidi"/>
          <w:noProof/>
        </w:rPr>
        <w:t>non-legislative</w:t>
      </w:r>
      <w:r w:rsidRPr="00D4396B">
        <w:rPr>
          <w:rFonts w:asciiTheme="majorBidi" w:eastAsia="Times New Roman" w:hAnsiTheme="majorBidi" w:cstheme="majorBidi"/>
          <w:noProof/>
        </w:rPr>
        <w:t xml:space="preserve"> </w:t>
      </w:r>
      <w:r w:rsidR="5E7805A2" w:rsidRPr="00D4396B">
        <w:rPr>
          <w:rFonts w:asciiTheme="majorBidi" w:eastAsia="Times New Roman" w:hAnsiTheme="majorBidi" w:cstheme="majorBidi"/>
          <w:noProof/>
        </w:rPr>
        <w:t>to</w:t>
      </w:r>
      <w:r w:rsidR="4BCB4A53" w:rsidRPr="00D4396B">
        <w:rPr>
          <w:rFonts w:asciiTheme="majorBidi" w:eastAsia="Times New Roman" w:hAnsiTheme="majorBidi" w:cstheme="majorBidi"/>
          <w:noProof/>
        </w:rPr>
        <w:t xml:space="preserve"> </w:t>
      </w:r>
      <w:r w:rsidRPr="00D4396B">
        <w:rPr>
          <w:rFonts w:asciiTheme="majorBidi" w:eastAsia="Times New Roman" w:hAnsiTheme="majorBidi" w:cstheme="majorBidi"/>
          <w:noProof/>
        </w:rPr>
        <w:t>regulatory intervention</w:t>
      </w:r>
      <w:r w:rsidR="6EE5B760" w:rsidRPr="00D4396B">
        <w:rPr>
          <w:rFonts w:asciiTheme="majorBidi" w:eastAsia="Times New Roman" w:hAnsiTheme="majorBidi" w:cstheme="majorBidi"/>
          <w:noProof/>
        </w:rPr>
        <w:t>s</w:t>
      </w:r>
      <w:r w:rsidRPr="00D4396B">
        <w:rPr>
          <w:rFonts w:asciiTheme="majorBidi" w:eastAsia="Times New Roman" w:hAnsiTheme="majorBidi" w:cstheme="majorBidi"/>
          <w:noProof/>
        </w:rPr>
        <w:t xml:space="preserve">. </w:t>
      </w:r>
      <w:r w:rsidR="00B22C71" w:rsidRPr="00D4396B">
        <w:rPr>
          <w:rFonts w:asciiTheme="majorBidi" w:hAnsiTheme="majorBidi" w:cstheme="majorBidi"/>
          <w:noProof/>
        </w:rPr>
        <w:t>Each policy option consists of a set of measures</w:t>
      </w:r>
      <w:r w:rsidR="00B22C71">
        <w:rPr>
          <w:rFonts w:asciiTheme="majorBidi" w:hAnsiTheme="majorBidi" w:cstheme="majorBidi"/>
          <w:noProof/>
        </w:rPr>
        <w:t xml:space="preserve"> (</w:t>
      </w:r>
      <w:r w:rsidR="00B22C71" w:rsidRPr="00D4396B">
        <w:rPr>
          <w:rFonts w:asciiTheme="majorBidi" w:hAnsiTheme="majorBidi" w:cstheme="majorBidi"/>
          <w:noProof/>
        </w:rPr>
        <w:t>numbered i, ii, iii, etc.)</w:t>
      </w:r>
      <w:r w:rsidR="007C40D8">
        <w:rPr>
          <w:rFonts w:asciiTheme="majorBidi" w:hAnsiTheme="majorBidi" w:cstheme="majorBidi"/>
          <w:noProof/>
        </w:rPr>
        <w:t xml:space="preserve">, </w:t>
      </w:r>
      <w:r w:rsidR="0053527D">
        <w:rPr>
          <w:rFonts w:asciiTheme="majorBidi" w:eastAsia="Times New Roman" w:hAnsiTheme="majorBidi" w:cstheme="majorBidi"/>
          <w:noProof/>
        </w:rPr>
        <w:t xml:space="preserve">selected </w:t>
      </w:r>
      <w:r w:rsidR="00441D6B">
        <w:rPr>
          <w:rFonts w:asciiTheme="majorBidi" w:eastAsia="Times New Roman" w:hAnsiTheme="majorBidi" w:cstheme="majorBidi"/>
          <w:noProof/>
        </w:rPr>
        <w:t xml:space="preserve">based on their ability to address a </w:t>
      </w:r>
      <w:r w:rsidR="00DA24AD">
        <w:rPr>
          <w:rFonts w:asciiTheme="majorBidi" w:eastAsia="Times New Roman" w:hAnsiTheme="majorBidi" w:cstheme="majorBidi"/>
          <w:noProof/>
        </w:rPr>
        <w:t xml:space="preserve">given </w:t>
      </w:r>
      <w:r w:rsidR="00441D6B">
        <w:rPr>
          <w:rFonts w:asciiTheme="majorBidi" w:eastAsia="Times New Roman" w:hAnsiTheme="majorBidi" w:cstheme="majorBidi"/>
          <w:noProof/>
        </w:rPr>
        <w:t>problem (or its driver</w:t>
      </w:r>
      <w:r w:rsidR="00441D6B" w:rsidRPr="1FBC4B19">
        <w:rPr>
          <w:rFonts w:asciiTheme="majorBidi" w:eastAsia="Times New Roman" w:hAnsiTheme="majorBidi" w:cstheme="majorBidi"/>
          <w:noProof/>
        </w:rPr>
        <w:t>)</w:t>
      </w:r>
      <w:r w:rsidR="00E01EAF" w:rsidRPr="1FBC4B19">
        <w:rPr>
          <w:rFonts w:asciiTheme="majorBidi" w:eastAsia="Times New Roman" w:hAnsiTheme="majorBidi" w:cstheme="majorBidi"/>
          <w:noProof/>
        </w:rPr>
        <w:t>,</w:t>
      </w:r>
      <w:r w:rsidR="00E01EAF">
        <w:rPr>
          <w:rFonts w:asciiTheme="majorBidi" w:eastAsia="Times New Roman" w:hAnsiTheme="majorBidi" w:cstheme="majorBidi"/>
          <w:noProof/>
        </w:rPr>
        <w:t xml:space="preserve"> </w:t>
      </w:r>
      <w:r w:rsidR="005B6F78">
        <w:rPr>
          <w:rFonts w:asciiTheme="majorBidi" w:eastAsia="Times New Roman" w:hAnsiTheme="majorBidi" w:cstheme="majorBidi"/>
          <w:noProof/>
        </w:rPr>
        <w:t xml:space="preserve">and screened for </w:t>
      </w:r>
      <w:r w:rsidR="005A4C08">
        <w:rPr>
          <w:rFonts w:asciiTheme="majorBidi" w:eastAsia="Times New Roman" w:hAnsiTheme="majorBidi" w:cstheme="majorBidi"/>
          <w:noProof/>
        </w:rPr>
        <w:t xml:space="preserve">effectiveness, </w:t>
      </w:r>
      <w:r w:rsidR="00E01EAF">
        <w:rPr>
          <w:rFonts w:asciiTheme="majorBidi" w:eastAsia="Times New Roman" w:hAnsiTheme="majorBidi" w:cstheme="majorBidi"/>
          <w:noProof/>
        </w:rPr>
        <w:t>efficien</w:t>
      </w:r>
      <w:r w:rsidR="005B6F78">
        <w:rPr>
          <w:rFonts w:asciiTheme="majorBidi" w:eastAsia="Times New Roman" w:hAnsiTheme="majorBidi" w:cstheme="majorBidi"/>
          <w:noProof/>
        </w:rPr>
        <w:t>cy</w:t>
      </w:r>
      <w:r w:rsidR="00E33D69">
        <w:rPr>
          <w:rFonts w:asciiTheme="majorBidi" w:eastAsia="Times New Roman" w:hAnsiTheme="majorBidi" w:cstheme="majorBidi"/>
          <w:noProof/>
        </w:rPr>
        <w:t xml:space="preserve"> and</w:t>
      </w:r>
      <w:r w:rsidR="000B7DD4">
        <w:rPr>
          <w:rFonts w:asciiTheme="majorBidi" w:eastAsia="Times New Roman" w:hAnsiTheme="majorBidi" w:cstheme="majorBidi"/>
          <w:noProof/>
        </w:rPr>
        <w:t xml:space="preserve"> </w:t>
      </w:r>
      <w:r w:rsidR="005B6F78">
        <w:rPr>
          <w:rFonts w:asciiTheme="majorBidi" w:eastAsia="Times New Roman" w:hAnsiTheme="majorBidi" w:cstheme="majorBidi"/>
          <w:noProof/>
        </w:rPr>
        <w:t>coherence</w:t>
      </w:r>
      <w:r w:rsidR="005167C2">
        <w:rPr>
          <w:rFonts w:asciiTheme="majorBidi" w:eastAsia="Times New Roman" w:hAnsiTheme="majorBidi" w:cstheme="majorBidi"/>
          <w:noProof/>
        </w:rPr>
        <w:t xml:space="preserve">. </w:t>
      </w:r>
      <w:r w:rsidRPr="00D4396B">
        <w:rPr>
          <w:rFonts w:asciiTheme="majorBidi" w:eastAsia="Times New Roman" w:hAnsiTheme="majorBidi" w:cstheme="majorBidi"/>
          <w:noProof/>
        </w:rPr>
        <w:t xml:space="preserve">Some options and measures </w:t>
      </w:r>
      <w:r w:rsidR="6EE5B760" w:rsidRPr="00D4396B">
        <w:rPr>
          <w:rFonts w:asciiTheme="majorBidi" w:eastAsia="Times New Roman" w:hAnsiTheme="majorBidi" w:cstheme="majorBidi"/>
          <w:noProof/>
        </w:rPr>
        <w:t xml:space="preserve">were </w:t>
      </w:r>
      <w:r w:rsidRPr="00D4396B">
        <w:rPr>
          <w:rFonts w:asciiTheme="majorBidi" w:eastAsia="Times New Roman" w:hAnsiTheme="majorBidi" w:cstheme="majorBidi"/>
          <w:noProof/>
        </w:rPr>
        <w:t>discarded at an early stage (see chapter 5.3).</w:t>
      </w:r>
    </w:p>
    <w:p w14:paraId="6D7B95F7" w14:textId="589F6E8D" w:rsidR="00A63B53" w:rsidRPr="00D4396B" w:rsidRDefault="16099869" w:rsidP="003B0D3B">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For each </w:t>
      </w:r>
      <w:r w:rsidR="00875640">
        <w:rPr>
          <w:rFonts w:asciiTheme="majorBidi" w:eastAsia="Times New Roman" w:hAnsiTheme="majorBidi" w:cstheme="majorBidi"/>
          <w:noProof/>
        </w:rPr>
        <w:t xml:space="preserve">of the </w:t>
      </w:r>
      <w:r w:rsidR="00875640" w:rsidRPr="1FBC4B19">
        <w:rPr>
          <w:rFonts w:asciiTheme="majorBidi" w:eastAsia="Times New Roman" w:hAnsiTheme="majorBidi" w:cstheme="majorBidi"/>
          <w:noProof/>
        </w:rPr>
        <w:t>s</w:t>
      </w:r>
      <w:r w:rsidR="20F5087D" w:rsidRPr="1FBC4B19">
        <w:rPr>
          <w:rFonts w:asciiTheme="majorBidi" w:eastAsia="Times New Roman" w:hAnsiTheme="majorBidi" w:cstheme="majorBidi"/>
          <w:noProof/>
        </w:rPr>
        <w:t>ix</w:t>
      </w:r>
      <w:r w:rsidR="00875640">
        <w:rPr>
          <w:rFonts w:asciiTheme="majorBidi" w:eastAsia="Times New Roman" w:hAnsiTheme="majorBidi" w:cstheme="majorBidi"/>
          <w:noProof/>
        </w:rPr>
        <w:t xml:space="preserve"> </w:t>
      </w:r>
      <w:r w:rsidRPr="00D4396B">
        <w:rPr>
          <w:rFonts w:asciiTheme="majorBidi" w:eastAsia="Times New Roman" w:hAnsiTheme="majorBidi" w:cstheme="majorBidi"/>
          <w:noProof/>
        </w:rPr>
        <w:t>intervention</w:t>
      </w:r>
      <w:r w:rsidR="2D6851A4" w:rsidRPr="00D4396B">
        <w:rPr>
          <w:rFonts w:asciiTheme="majorBidi" w:eastAsia="Times New Roman" w:hAnsiTheme="majorBidi" w:cstheme="majorBidi"/>
          <w:noProof/>
        </w:rPr>
        <w:t xml:space="preserve"> area</w:t>
      </w:r>
      <w:r w:rsidR="00875640">
        <w:rPr>
          <w:rFonts w:asciiTheme="majorBidi" w:eastAsia="Times New Roman" w:hAnsiTheme="majorBidi" w:cstheme="majorBidi"/>
          <w:noProof/>
        </w:rPr>
        <w:t>s (A-F)</w:t>
      </w:r>
      <w:r w:rsidRPr="00D4396B">
        <w:rPr>
          <w:rFonts w:asciiTheme="majorBidi" w:eastAsia="Times New Roman" w:hAnsiTheme="majorBidi" w:cstheme="majorBidi"/>
          <w:noProof/>
        </w:rPr>
        <w:t>, three</w:t>
      </w:r>
      <w:r w:rsidR="4ED55D86" w:rsidRPr="00D4396B">
        <w:rPr>
          <w:rFonts w:asciiTheme="majorBidi" w:eastAsia="Times New Roman" w:hAnsiTheme="majorBidi" w:cstheme="majorBidi"/>
          <w:noProof/>
        </w:rPr>
        <w:t xml:space="preserve"> </w:t>
      </w:r>
      <w:r w:rsidRPr="00D4396B">
        <w:rPr>
          <w:rFonts w:asciiTheme="majorBidi" w:eastAsia="Times New Roman" w:hAnsiTheme="majorBidi" w:cstheme="majorBidi"/>
          <w:noProof/>
        </w:rPr>
        <w:t>policy option</w:t>
      </w:r>
      <w:r w:rsidR="00D662F7" w:rsidRPr="00D4396B">
        <w:rPr>
          <w:rFonts w:asciiTheme="majorBidi" w:eastAsia="Times New Roman" w:hAnsiTheme="majorBidi" w:cstheme="majorBidi"/>
          <w:noProof/>
        </w:rPr>
        <w:t>s</w:t>
      </w:r>
      <w:r w:rsidRPr="00D4396B">
        <w:rPr>
          <w:rFonts w:asciiTheme="majorBidi" w:eastAsia="Times New Roman" w:hAnsiTheme="majorBidi" w:cstheme="majorBidi"/>
          <w:noProof/>
        </w:rPr>
        <w:t xml:space="preserve"> </w:t>
      </w:r>
      <w:r w:rsidR="00D53EE1" w:rsidRPr="00D4396B">
        <w:rPr>
          <w:rFonts w:asciiTheme="majorBidi" w:eastAsia="Times New Roman" w:hAnsiTheme="majorBidi" w:cstheme="majorBidi"/>
          <w:noProof/>
        </w:rPr>
        <w:t>have been developed</w:t>
      </w:r>
      <w:r w:rsidRPr="00D4396B">
        <w:rPr>
          <w:rFonts w:asciiTheme="majorBidi" w:eastAsia="Times New Roman" w:hAnsiTheme="majorBidi" w:cstheme="majorBidi"/>
          <w:noProof/>
        </w:rPr>
        <w:t>,</w:t>
      </w:r>
      <w:r w:rsidR="00D53EE1" w:rsidRPr="00D4396B">
        <w:rPr>
          <w:rFonts w:asciiTheme="majorBidi" w:eastAsia="Times New Roman" w:hAnsiTheme="majorBidi" w:cstheme="majorBidi"/>
          <w:noProof/>
        </w:rPr>
        <w:t xml:space="preserve"> structured</w:t>
      </w:r>
      <w:r w:rsidRPr="00D4396B">
        <w:rPr>
          <w:rFonts w:asciiTheme="majorBidi" w:eastAsia="Times New Roman" w:hAnsiTheme="majorBidi" w:cstheme="majorBidi"/>
          <w:noProof/>
        </w:rPr>
        <w:t xml:space="preserve"> </w:t>
      </w:r>
      <w:r w:rsidR="1C88B3DE" w:rsidRPr="00D4396B">
        <w:rPr>
          <w:rFonts w:asciiTheme="majorBidi" w:eastAsia="Times New Roman" w:hAnsiTheme="majorBidi" w:cstheme="majorBidi"/>
          <w:noProof/>
        </w:rPr>
        <w:t xml:space="preserve">according to </w:t>
      </w:r>
      <w:r w:rsidR="00D53EE1" w:rsidRPr="00D4396B">
        <w:rPr>
          <w:rFonts w:asciiTheme="majorBidi" w:eastAsia="Times New Roman" w:hAnsiTheme="majorBidi" w:cstheme="majorBidi"/>
          <w:noProof/>
        </w:rPr>
        <w:t>their degree of</w:t>
      </w:r>
      <w:r w:rsidR="64B110C7" w:rsidRPr="00D4396B">
        <w:rPr>
          <w:rFonts w:asciiTheme="majorBidi" w:eastAsia="Times New Roman" w:hAnsiTheme="majorBidi" w:cstheme="majorBidi"/>
          <w:noProof/>
        </w:rPr>
        <w:t xml:space="preserve"> intervention</w:t>
      </w:r>
      <w:r w:rsidRPr="00D4396B">
        <w:rPr>
          <w:rFonts w:asciiTheme="majorBidi" w:eastAsia="Times New Roman" w:hAnsiTheme="majorBidi" w:cstheme="majorBidi"/>
          <w:noProof/>
        </w:rPr>
        <w:t>:</w:t>
      </w:r>
    </w:p>
    <w:p w14:paraId="393504CA" w14:textId="3D83ADD3" w:rsidR="00A63B53" w:rsidRPr="00D4396B" w:rsidRDefault="16099869" w:rsidP="00213B91">
      <w:pPr>
        <w:pStyle w:val="ListParagraph"/>
        <w:numPr>
          <w:ilvl w:val="0"/>
          <w:numId w:val="3"/>
        </w:numPr>
        <w:spacing w:after="120"/>
        <w:ind w:left="567" w:hanging="567"/>
        <w:rPr>
          <w:rFonts w:asciiTheme="majorBidi" w:eastAsia="Times New Roman" w:hAnsiTheme="majorBidi" w:cstheme="majorBidi"/>
          <w:noProof/>
        </w:rPr>
      </w:pPr>
      <w:r w:rsidRPr="00D4396B">
        <w:rPr>
          <w:rFonts w:asciiTheme="majorBidi" w:eastAsia="Times New Roman" w:hAnsiTheme="majorBidi" w:cstheme="majorBidi"/>
          <w:b/>
          <w:noProof/>
        </w:rPr>
        <w:t>Policy Option 1</w:t>
      </w:r>
      <w:r w:rsidRPr="00D4396B">
        <w:rPr>
          <w:rFonts w:asciiTheme="majorBidi" w:eastAsia="Times New Roman" w:hAnsiTheme="majorBidi" w:cstheme="majorBidi"/>
          <w:b/>
          <w:bCs/>
          <w:noProof/>
        </w:rPr>
        <w:t xml:space="preserve"> </w:t>
      </w:r>
      <w:r w:rsidR="00E55221" w:rsidRPr="00D4396B">
        <w:rPr>
          <w:rFonts w:asciiTheme="majorBidi" w:eastAsia="Times New Roman" w:hAnsiTheme="majorBidi" w:cstheme="majorBidi"/>
          <w:b/>
          <w:bCs/>
          <w:noProof/>
        </w:rPr>
        <w:t>(PO1)</w:t>
      </w:r>
      <w:r w:rsidRPr="00D4396B">
        <w:rPr>
          <w:rFonts w:asciiTheme="majorBidi" w:eastAsia="Times New Roman" w:hAnsiTheme="majorBidi" w:cstheme="majorBidi"/>
          <w:noProof/>
        </w:rPr>
        <w:t xml:space="preserve"> </w:t>
      </w:r>
      <w:r w:rsidR="00D53EE1" w:rsidRPr="00D4396B">
        <w:rPr>
          <w:rFonts w:asciiTheme="majorBidi" w:eastAsia="Times New Roman" w:hAnsiTheme="majorBidi" w:cstheme="majorBidi"/>
          <w:noProof/>
        </w:rPr>
        <w:t xml:space="preserve">presents </w:t>
      </w:r>
      <w:r w:rsidRPr="00D4396B">
        <w:rPr>
          <w:rFonts w:asciiTheme="majorBidi" w:eastAsia="Times New Roman" w:hAnsiTheme="majorBidi" w:cstheme="majorBidi"/>
          <w:noProof/>
        </w:rPr>
        <w:t xml:space="preserve">the lightest set of measures, which can be adopted and implemented </w:t>
      </w:r>
      <w:r w:rsidR="00D53EE1" w:rsidRPr="00D4396B">
        <w:rPr>
          <w:rFonts w:asciiTheme="majorBidi" w:eastAsia="Times New Roman" w:hAnsiTheme="majorBidi" w:cstheme="majorBidi"/>
          <w:noProof/>
        </w:rPr>
        <w:t>with relative ease</w:t>
      </w:r>
      <w:r w:rsidRPr="00D4396B">
        <w:rPr>
          <w:rFonts w:asciiTheme="majorBidi" w:eastAsia="Times New Roman" w:hAnsiTheme="majorBidi" w:cstheme="majorBidi"/>
          <w:noProof/>
        </w:rPr>
        <w:t xml:space="preserve"> and at limited cost</w:t>
      </w:r>
      <w:r w:rsidR="00D53EE1" w:rsidRPr="00D4396B">
        <w:rPr>
          <w:rFonts w:asciiTheme="majorBidi" w:eastAsia="Times New Roman" w:hAnsiTheme="majorBidi" w:cstheme="majorBidi"/>
          <w:noProof/>
        </w:rPr>
        <w:t>. However, their structural im</w:t>
      </w:r>
      <w:r w:rsidR="00E415A1" w:rsidRPr="00D4396B">
        <w:rPr>
          <w:rFonts w:asciiTheme="majorBidi" w:eastAsia="Times New Roman" w:hAnsiTheme="majorBidi" w:cstheme="majorBidi"/>
          <w:noProof/>
        </w:rPr>
        <w:t xml:space="preserve">pact is expected to be </w:t>
      </w:r>
      <w:r w:rsidR="00A33F3C" w:rsidRPr="00D4396B">
        <w:rPr>
          <w:rFonts w:asciiTheme="majorBidi" w:eastAsia="Times New Roman" w:hAnsiTheme="majorBidi" w:cstheme="majorBidi"/>
          <w:noProof/>
        </w:rPr>
        <w:t>limited.</w:t>
      </w:r>
    </w:p>
    <w:p w14:paraId="42058E20" w14:textId="2A360051" w:rsidR="00A63B53" w:rsidRPr="00D4396B" w:rsidRDefault="00A63B53" w:rsidP="003A049E">
      <w:pPr>
        <w:pStyle w:val="ListParagraph"/>
        <w:numPr>
          <w:ilvl w:val="0"/>
          <w:numId w:val="3"/>
        </w:numPr>
        <w:spacing w:after="120"/>
        <w:ind w:left="567" w:hanging="567"/>
        <w:rPr>
          <w:rFonts w:asciiTheme="majorBidi" w:eastAsia="Times New Roman" w:hAnsiTheme="majorBidi" w:cstheme="majorBidi"/>
          <w:noProof/>
        </w:rPr>
      </w:pPr>
      <w:r w:rsidRPr="00D4396B">
        <w:rPr>
          <w:rFonts w:asciiTheme="majorBidi" w:eastAsia="Times New Roman" w:hAnsiTheme="majorBidi" w:cstheme="majorBidi"/>
          <w:b/>
          <w:noProof/>
        </w:rPr>
        <w:t>Policy Option 2</w:t>
      </w:r>
      <w:r w:rsidRPr="00D4396B">
        <w:rPr>
          <w:rFonts w:asciiTheme="majorBidi" w:eastAsia="Times New Roman" w:hAnsiTheme="majorBidi" w:cstheme="majorBidi"/>
          <w:b/>
          <w:bCs/>
          <w:noProof/>
        </w:rPr>
        <w:t xml:space="preserve"> </w:t>
      </w:r>
      <w:r w:rsidR="00E55221" w:rsidRPr="00D4396B">
        <w:rPr>
          <w:rFonts w:asciiTheme="majorBidi" w:eastAsia="Times New Roman" w:hAnsiTheme="majorBidi" w:cstheme="majorBidi"/>
          <w:b/>
          <w:bCs/>
          <w:noProof/>
        </w:rPr>
        <w:t>(PO2)</w:t>
      </w:r>
      <w:r w:rsidRPr="00D4396B">
        <w:rPr>
          <w:rFonts w:asciiTheme="majorBidi" w:eastAsia="Times New Roman" w:hAnsiTheme="majorBidi" w:cstheme="majorBidi"/>
          <w:noProof/>
        </w:rPr>
        <w:t xml:space="preserve"> </w:t>
      </w:r>
      <w:r w:rsidR="00A33F3C" w:rsidRPr="00D4396B">
        <w:rPr>
          <w:rFonts w:asciiTheme="majorBidi" w:eastAsia="Times New Roman" w:hAnsiTheme="majorBidi" w:cstheme="majorBidi"/>
          <w:noProof/>
        </w:rPr>
        <w:t xml:space="preserve">introduces </w:t>
      </w:r>
      <w:r w:rsidRPr="00D4396B">
        <w:rPr>
          <w:rFonts w:asciiTheme="majorBidi" w:eastAsia="Times New Roman" w:hAnsiTheme="majorBidi" w:cstheme="majorBidi"/>
          <w:noProof/>
        </w:rPr>
        <w:t xml:space="preserve">moderately more incisive measures, which may </w:t>
      </w:r>
      <w:r w:rsidR="00E9652F" w:rsidRPr="00D4396B">
        <w:rPr>
          <w:rFonts w:asciiTheme="majorBidi" w:eastAsia="Times New Roman" w:hAnsiTheme="majorBidi" w:cstheme="majorBidi"/>
          <w:noProof/>
        </w:rPr>
        <w:t xml:space="preserve">require </w:t>
      </w:r>
      <w:r w:rsidRPr="00D4396B">
        <w:rPr>
          <w:rFonts w:asciiTheme="majorBidi" w:eastAsia="Times New Roman" w:hAnsiTheme="majorBidi" w:cstheme="majorBidi"/>
          <w:noProof/>
        </w:rPr>
        <w:t>legislative amendments, seeking to balance stronger impact with manageable implementation costs.</w:t>
      </w:r>
    </w:p>
    <w:p w14:paraId="6A2A4C2C" w14:textId="03B7C9FB" w:rsidR="00A63B53" w:rsidRPr="00D4396B" w:rsidRDefault="00A63B53" w:rsidP="003A049E">
      <w:pPr>
        <w:pStyle w:val="ListParagraph"/>
        <w:numPr>
          <w:ilvl w:val="0"/>
          <w:numId w:val="3"/>
        </w:numPr>
        <w:spacing w:after="120"/>
        <w:ind w:left="567" w:hanging="567"/>
        <w:rPr>
          <w:rFonts w:asciiTheme="majorBidi" w:eastAsia="Times New Roman" w:hAnsiTheme="majorBidi" w:cstheme="majorBidi"/>
          <w:noProof/>
        </w:rPr>
      </w:pPr>
      <w:r w:rsidRPr="00D4396B">
        <w:rPr>
          <w:rFonts w:asciiTheme="majorBidi" w:eastAsia="Times New Roman" w:hAnsiTheme="majorBidi" w:cstheme="majorBidi"/>
          <w:b/>
          <w:noProof/>
        </w:rPr>
        <w:t>Policy Option 3</w:t>
      </w:r>
      <w:r w:rsidRPr="00D4396B">
        <w:rPr>
          <w:rFonts w:asciiTheme="majorBidi" w:eastAsia="Times New Roman" w:hAnsiTheme="majorBidi" w:cstheme="majorBidi"/>
          <w:b/>
          <w:bCs/>
          <w:noProof/>
        </w:rPr>
        <w:t xml:space="preserve"> </w:t>
      </w:r>
      <w:r w:rsidR="00E55221" w:rsidRPr="00D4396B">
        <w:rPr>
          <w:rFonts w:asciiTheme="majorBidi" w:eastAsia="Times New Roman" w:hAnsiTheme="majorBidi" w:cstheme="majorBidi"/>
          <w:b/>
          <w:bCs/>
          <w:noProof/>
        </w:rPr>
        <w:t>(PO3)</w:t>
      </w:r>
      <w:r w:rsidRPr="00D4396B">
        <w:rPr>
          <w:rFonts w:asciiTheme="majorBidi" w:eastAsia="Times New Roman" w:hAnsiTheme="majorBidi" w:cstheme="majorBidi"/>
          <w:noProof/>
        </w:rPr>
        <w:t xml:space="preserve"> </w:t>
      </w:r>
      <w:r w:rsidR="00C647F1" w:rsidRPr="00D4396B">
        <w:rPr>
          <w:rFonts w:asciiTheme="majorBidi" w:eastAsia="Times New Roman" w:hAnsiTheme="majorBidi" w:cstheme="majorBidi"/>
          <w:noProof/>
        </w:rPr>
        <w:t>proposes</w:t>
      </w:r>
      <w:r w:rsidRPr="00D4396B">
        <w:rPr>
          <w:rFonts w:asciiTheme="majorBidi" w:eastAsia="Times New Roman" w:hAnsiTheme="majorBidi" w:cstheme="majorBidi"/>
          <w:noProof/>
        </w:rPr>
        <w:t xml:space="preserve"> </w:t>
      </w:r>
      <w:r w:rsidR="005218A1" w:rsidRPr="00D4396B">
        <w:rPr>
          <w:rFonts w:asciiTheme="majorBidi" w:eastAsia="Times New Roman" w:hAnsiTheme="majorBidi" w:cstheme="majorBidi"/>
          <w:noProof/>
        </w:rPr>
        <w:t>the most</w:t>
      </w:r>
      <w:r w:rsidRPr="00D4396B">
        <w:rPr>
          <w:rFonts w:asciiTheme="majorBidi" w:eastAsia="Times New Roman" w:hAnsiTheme="majorBidi" w:cstheme="majorBidi"/>
          <w:noProof/>
        </w:rPr>
        <w:t xml:space="preserve"> far-reaching set of measures</w:t>
      </w:r>
      <w:r w:rsidR="00A075C2" w:rsidRPr="00D4396B">
        <w:rPr>
          <w:rFonts w:asciiTheme="majorBidi" w:eastAsia="Times New Roman" w:hAnsiTheme="majorBidi" w:cstheme="majorBidi"/>
          <w:noProof/>
        </w:rPr>
        <w:t>,</w:t>
      </w:r>
      <w:r w:rsidRPr="00D4396B">
        <w:rPr>
          <w:rFonts w:asciiTheme="majorBidi" w:eastAsia="Times New Roman" w:hAnsiTheme="majorBidi" w:cstheme="majorBidi"/>
          <w:noProof/>
        </w:rPr>
        <w:t xml:space="preserve"> </w:t>
      </w:r>
      <w:r w:rsidR="007F2DF4" w:rsidRPr="00D4396B">
        <w:rPr>
          <w:rFonts w:asciiTheme="majorBidi" w:eastAsia="Times New Roman" w:hAnsiTheme="majorBidi" w:cstheme="majorBidi"/>
          <w:noProof/>
        </w:rPr>
        <w:t xml:space="preserve">necessitating </w:t>
      </w:r>
      <w:r w:rsidRPr="00D4396B">
        <w:rPr>
          <w:rFonts w:asciiTheme="majorBidi" w:eastAsia="Times New Roman" w:hAnsiTheme="majorBidi" w:cstheme="majorBidi"/>
          <w:noProof/>
        </w:rPr>
        <w:t>more substantive legislative changes. While this option may deliver the greatest impact, it may raise more complex institutional and political considerations.</w:t>
      </w:r>
    </w:p>
    <w:p w14:paraId="1AC6EA36" w14:textId="7EA9AAF8" w:rsidR="00BD4480" w:rsidRDefault="16099869" w:rsidP="003B0D3B">
      <w:pPr>
        <w:spacing w:after="120"/>
        <w:rPr>
          <w:rFonts w:asciiTheme="majorBidi" w:hAnsiTheme="majorBidi" w:cstheme="majorBidi"/>
          <w:noProof/>
        </w:rPr>
      </w:pPr>
      <w:r w:rsidRPr="00D4396B">
        <w:rPr>
          <w:rFonts w:asciiTheme="majorBidi" w:hAnsiTheme="majorBidi" w:cstheme="majorBidi"/>
          <w:noProof/>
        </w:rPr>
        <w:t xml:space="preserve">The policy options </w:t>
      </w:r>
      <w:r w:rsidR="00722DD0">
        <w:rPr>
          <w:rFonts w:asciiTheme="majorBidi" w:hAnsiTheme="majorBidi" w:cstheme="majorBidi"/>
          <w:noProof/>
        </w:rPr>
        <w:t>to address</w:t>
      </w:r>
      <w:r w:rsidR="00BD0B87" w:rsidRPr="00D4396B">
        <w:rPr>
          <w:rFonts w:asciiTheme="majorBidi" w:hAnsiTheme="majorBidi" w:cstheme="majorBidi"/>
          <w:noProof/>
        </w:rPr>
        <w:t xml:space="preserve"> S</w:t>
      </w:r>
      <w:r w:rsidRPr="00D4396B">
        <w:rPr>
          <w:rFonts w:asciiTheme="majorBidi" w:hAnsiTheme="majorBidi" w:cstheme="majorBidi"/>
          <w:noProof/>
        </w:rPr>
        <w:t xml:space="preserve">pecific </w:t>
      </w:r>
      <w:r w:rsidR="00BD0B87" w:rsidRPr="00D4396B">
        <w:rPr>
          <w:rFonts w:asciiTheme="majorBidi" w:hAnsiTheme="majorBidi" w:cstheme="majorBidi"/>
          <w:noProof/>
        </w:rPr>
        <w:t>O</w:t>
      </w:r>
      <w:r w:rsidRPr="00D4396B">
        <w:rPr>
          <w:rFonts w:asciiTheme="majorBidi" w:hAnsiTheme="majorBidi" w:cstheme="majorBidi"/>
          <w:noProof/>
        </w:rPr>
        <w:t>bjective</w:t>
      </w:r>
      <w:r w:rsidR="00BD0B87" w:rsidRPr="00D4396B">
        <w:rPr>
          <w:rFonts w:asciiTheme="majorBidi" w:hAnsiTheme="majorBidi" w:cstheme="majorBidi"/>
          <w:noProof/>
        </w:rPr>
        <w:t xml:space="preserve"> 1</w:t>
      </w:r>
      <w:r w:rsidR="002D3424">
        <w:rPr>
          <w:rFonts w:asciiTheme="majorBidi" w:hAnsiTheme="majorBidi" w:cstheme="majorBidi"/>
          <w:noProof/>
        </w:rPr>
        <w:t xml:space="preserve"> (areas A-C) are summarised in </w:t>
      </w:r>
      <w:r w:rsidR="002D3424" w:rsidRPr="00C75F4C">
        <w:rPr>
          <w:rFonts w:asciiTheme="majorBidi" w:hAnsiTheme="majorBidi" w:cstheme="majorBidi"/>
          <w:noProof/>
        </w:rPr>
        <w:t xml:space="preserve">Table </w:t>
      </w:r>
      <w:r w:rsidR="00452E66">
        <w:rPr>
          <w:rFonts w:asciiTheme="majorBidi" w:hAnsiTheme="majorBidi" w:cstheme="majorBidi"/>
          <w:noProof/>
        </w:rPr>
        <w:t>2</w:t>
      </w:r>
      <w:r w:rsidR="002D3424">
        <w:rPr>
          <w:rFonts w:asciiTheme="majorBidi" w:hAnsiTheme="majorBidi" w:cstheme="majorBidi"/>
          <w:noProof/>
        </w:rPr>
        <w:t xml:space="preserve"> and those to address Specific Objective</w:t>
      </w:r>
      <w:r w:rsidR="00BD0B87" w:rsidRPr="00D4396B" w:rsidDel="002D3424">
        <w:rPr>
          <w:rFonts w:asciiTheme="majorBidi" w:hAnsiTheme="majorBidi" w:cstheme="majorBidi"/>
          <w:noProof/>
        </w:rPr>
        <w:t xml:space="preserve"> </w:t>
      </w:r>
      <w:r w:rsidR="00BD0B87" w:rsidRPr="00D4396B">
        <w:rPr>
          <w:rFonts w:asciiTheme="majorBidi" w:hAnsiTheme="majorBidi" w:cstheme="majorBidi"/>
          <w:noProof/>
        </w:rPr>
        <w:t>2</w:t>
      </w:r>
      <w:r w:rsidR="002D3424">
        <w:rPr>
          <w:rFonts w:asciiTheme="majorBidi" w:hAnsiTheme="majorBidi" w:cstheme="majorBidi"/>
          <w:noProof/>
        </w:rPr>
        <w:t xml:space="preserve"> (areas D-F) are in </w:t>
      </w:r>
      <w:r w:rsidR="002D3424" w:rsidRPr="00C75F4C">
        <w:rPr>
          <w:rFonts w:asciiTheme="majorBidi" w:hAnsiTheme="majorBidi" w:cstheme="majorBidi"/>
          <w:noProof/>
        </w:rPr>
        <w:t xml:space="preserve">Table </w:t>
      </w:r>
      <w:r w:rsidR="00D25A08">
        <w:rPr>
          <w:rFonts w:asciiTheme="majorBidi" w:hAnsiTheme="majorBidi" w:cstheme="majorBidi"/>
          <w:noProof/>
        </w:rPr>
        <w:t>4</w:t>
      </w:r>
      <w:r w:rsidRPr="00D4396B">
        <w:rPr>
          <w:rFonts w:asciiTheme="majorBidi" w:hAnsiTheme="majorBidi" w:cstheme="majorBidi"/>
          <w:noProof/>
        </w:rPr>
        <w:t>.</w:t>
      </w:r>
      <w:r w:rsidRPr="00D4396B" w:rsidDel="000905F7">
        <w:rPr>
          <w:rFonts w:asciiTheme="majorBidi" w:hAnsiTheme="majorBidi" w:cstheme="majorBidi"/>
          <w:noProof/>
        </w:rPr>
        <w:t xml:space="preserve"> </w:t>
      </w:r>
      <w:r w:rsidR="000905F7">
        <w:rPr>
          <w:rFonts w:asciiTheme="majorBidi" w:hAnsiTheme="majorBidi" w:cstheme="majorBidi"/>
          <w:noProof/>
        </w:rPr>
        <w:t>A twostep process was then followed. First a</w:t>
      </w:r>
      <w:r w:rsidR="000905F7" w:rsidRPr="00D4396B">
        <w:rPr>
          <w:rFonts w:asciiTheme="majorBidi" w:hAnsiTheme="majorBidi" w:cstheme="majorBidi"/>
          <w:noProof/>
        </w:rPr>
        <w:t xml:space="preserve"> </w:t>
      </w:r>
      <w:r w:rsidRPr="00D4396B">
        <w:rPr>
          <w:rFonts w:asciiTheme="majorBidi" w:hAnsiTheme="majorBidi" w:cstheme="majorBidi"/>
          <w:noProof/>
        </w:rPr>
        <w:t xml:space="preserve">comparison of policy options </w:t>
      </w:r>
      <w:r w:rsidR="000905F7">
        <w:rPr>
          <w:rFonts w:asciiTheme="majorBidi" w:hAnsiTheme="majorBidi" w:cstheme="majorBidi"/>
          <w:noProof/>
        </w:rPr>
        <w:t>was</w:t>
      </w:r>
      <w:r w:rsidRPr="00D4396B" w:rsidDel="00B22C71">
        <w:rPr>
          <w:rFonts w:asciiTheme="majorBidi" w:hAnsiTheme="majorBidi" w:cstheme="majorBidi"/>
          <w:noProof/>
        </w:rPr>
        <w:t xml:space="preserve"> </w:t>
      </w:r>
      <w:r w:rsidRPr="00D4396B">
        <w:rPr>
          <w:rFonts w:asciiTheme="majorBidi" w:hAnsiTheme="majorBidi" w:cstheme="majorBidi"/>
          <w:noProof/>
        </w:rPr>
        <w:t>conducted</w:t>
      </w:r>
      <w:r w:rsidRPr="008C241D">
        <w:rPr>
          <w:rFonts w:asciiTheme="majorBidi" w:hAnsiTheme="majorBidi" w:cstheme="majorBidi"/>
          <w:noProof/>
        </w:rPr>
        <w:t xml:space="preserve"> within each area of intervention</w:t>
      </w:r>
      <w:r w:rsidR="00997D08" w:rsidRPr="008C241D">
        <w:rPr>
          <w:rFonts w:asciiTheme="majorBidi" w:hAnsiTheme="majorBidi" w:cstheme="majorBidi"/>
          <w:noProof/>
        </w:rPr>
        <w:t xml:space="preserve"> and the ‘winning’ option for each area was</w:t>
      </w:r>
      <w:r w:rsidR="00490116" w:rsidRPr="008C241D">
        <w:rPr>
          <w:rFonts w:asciiTheme="majorBidi" w:hAnsiTheme="majorBidi" w:cstheme="majorBidi"/>
          <w:noProof/>
        </w:rPr>
        <w:t xml:space="preserve"> then combined to identify the preferred package. This</w:t>
      </w:r>
      <w:r w:rsidR="00901DB5" w:rsidRPr="008C241D">
        <w:rPr>
          <w:rFonts w:asciiTheme="majorBidi" w:hAnsiTheme="majorBidi" w:cstheme="majorBidi"/>
          <w:noProof/>
        </w:rPr>
        <w:t xml:space="preserve"> combination is further analysed and tested in a second and final step to confirm the preferred option</w:t>
      </w:r>
      <w:r w:rsidRPr="00E24029">
        <w:rPr>
          <w:rFonts w:asciiTheme="majorBidi" w:hAnsiTheme="majorBidi" w:cstheme="majorBidi"/>
          <w:noProof/>
        </w:rPr>
        <w:t>.</w:t>
      </w:r>
    </w:p>
    <w:p w14:paraId="73B9190F" w14:textId="7D1ED114" w:rsidR="00A63B53" w:rsidRPr="00D4396B" w:rsidRDefault="00A07394" w:rsidP="003B0D3B">
      <w:pPr>
        <w:spacing w:after="120"/>
        <w:rPr>
          <w:rFonts w:asciiTheme="majorBidi" w:hAnsiTheme="majorBidi" w:cstheme="majorBidi"/>
          <w:noProof/>
        </w:rPr>
      </w:pPr>
      <w:r>
        <w:rPr>
          <w:rFonts w:eastAsia="Times New Roman"/>
          <w:noProof/>
          <w:lang w:eastAsia="en-GB"/>
        </w:rPr>
        <w:t>Whil</w:t>
      </w:r>
      <w:r w:rsidR="00FD18A0">
        <w:rPr>
          <w:rFonts w:eastAsia="Times New Roman"/>
          <w:noProof/>
          <w:lang w:eastAsia="en-GB"/>
        </w:rPr>
        <w:t>e</w:t>
      </w:r>
      <w:r>
        <w:rPr>
          <w:rFonts w:eastAsia="Times New Roman"/>
          <w:noProof/>
          <w:lang w:eastAsia="en-GB"/>
        </w:rPr>
        <w:t xml:space="preserve"> most of the proposed measures are expected to be implemented through</w:t>
      </w:r>
      <w:r w:rsidRPr="00D4396B">
        <w:rPr>
          <w:rFonts w:asciiTheme="majorBidi" w:hAnsiTheme="majorBidi" w:cstheme="majorBidi"/>
          <w:noProof/>
        </w:rPr>
        <w:t xml:space="preserve"> </w:t>
      </w:r>
      <w:r w:rsidR="16099869" w:rsidRPr="00D4396B">
        <w:rPr>
          <w:rFonts w:asciiTheme="majorBidi" w:hAnsiTheme="majorBidi" w:cstheme="majorBidi"/>
          <w:noProof/>
        </w:rPr>
        <w:t xml:space="preserve">legislative </w:t>
      </w:r>
      <w:r w:rsidR="00724050" w:rsidRPr="00D4396B">
        <w:rPr>
          <w:rFonts w:asciiTheme="majorBidi" w:hAnsiTheme="majorBidi" w:cstheme="majorBidi"/>
          <w:noProof/>
        </w:rPr>
        <w:t>actions</w:t>
      </w:r>
      <w:r>
        <w:rPr>
          <w:rFonts w:asciiTheme="majorBidi" w:hAnsiTheme="majorBidi" w:cstheme="majorBidi"/>
          <w:noProof/>
        </w:rPr>
        <w:t xml:space="preserve"> some can be implemented </w:t>
      </w:r>
      <w:r w:rsidR="00DA3550">
        <w:rPr>
          <w:rFonts w:asciiTheme="majorBidi" w:hAnsiTheme="majorBidi" w:cstheme="majorBidi"/>
          <w:noProof/>
        </w:rPr>
        <w:t>by non-legislative action</w:t>
      </w:r>
      <w:r w:rsidR="16099869" w:rsidRPr="00D4396B">
        <w:rPr>
          <w:rFonts w:asciiTheme="majorBidi" w:hAnsiTheme="majorBidi" w:cstheme="majorBidi"/>
          <w:noProof/>
        </w:rPr>
        <w:t>. In these cases, th</w:t>
      </w:r>
      <w:r w:rsidR="00DA3550">
        <w:rPr>
          <w:rFonts w:asciiTheme="majorBidi" w:hAnsiTheme="majorBidi" w:cstheme="majorBidi"/>
          <w:noProof/>
        </w:rPr>
        <w:t xml:space="preserve">e measure </w:t>
      </w:r>
      <w:r w:rsidR="16099869" w:rsidRPr="00D4396B" w:rsidDel="00DA3550">
        <w:rPr>
          <w:rFonts w:asciiTheme="majorBidi" w:hAnsiTheme="majorBidi" w:cstheme="majorBidi"/>
          <w:noProof/>
        </w:rPr>
        <w:t xml:space="preserve">is </w:t>
      </w:r>
      <w:r w:rsidR="16099869" w:rsidRPr="00D4396B">
        <w:rPr>
          <w:rFonts w:asciiTheme="majorBidi" w:hAnsiTheme="majorBidi" w:cstheme="majorBidi"/>
          <w:noProof/>
        </w:rPr>
        <w:t xml:space="preserve">labelled with </w:t>
      </w:r>
      <w:r w:rsidR="00DA3550">
        <w:rPr>
          <w:rFonts w:asciiTheme="majorBidi" w:hAnsiTheme="majorBidi" w:cstheme="majorBidi"/>
          <w:noProof/>
        </w:rPr>
        <w:t>‘</w:t>
      </w:r>
      <w:r w:rsidR="16099869" w:rsidRPr="00D4396B">
        <w:rPr>
          <w:rFonts w:asciiTheme="majorBidi" w:hAnsiTheme="majorBidi" w:cstheme="majorBidi"/>
          <w:noProof/>
        </w:rPr>
        <w:t>a</w:t>
      </w:r>
      <w:r w:rsidR="00DA3550">
        <w:rPr>
          <w:rFonts w:asciiTheme="majorBidi" w:hAnsiTheme="majorBidi" w:cstheme="majorBidi"/>
          <w:noProof/>
        </w:rPr>
        <w:t xml:space="preserve">’ to indicate non-legislative </w:t>
      </w:r>
      <w:r w:rsidR="00693BFD">
        <w:rPr>
          <w:rFonts w:asciiTheme="majorBidi" w:hAnsiTheme="majorBidi" w:cstheme="majorBidi"/>
          <w:noProof/>
        </w:rPr>
        <w:t xml:space="preserve">means, or ‘b’ if the proposed amendment has a legislative nature. </w:t>
      </w:r>
      <w:r w:rsidR="7F2CF61B" w:rsidRPr="00D4396B">
        <w:rPr>
          <w:rFonts w:asciiTheme="majorBidi" w:hAnsiTheme="majorBidi" w:cstheme="majorBidi"/>
          <w:noProof/>
        </w:rPr>
        <w:t>For</w:t>
      </w:r>
      <w:r w:rsidR="16099869" w:rsidRPr="00D4396B">
        <w:rPr>
          <w:rFonts w:asciiTheme="majorBidi" w:hAnsiTheme="majorBidi" w:cstheme="majorBidi"/>
          <w:noProof/>
        </w:rPr>
        <w:t xml:space="preserve"> example, </w:t>
      </w:r>
      <w:r w:rsidR="008E0199">
        <w:rPr>
          <w:rFonts w:asciiTheme="majorBidi" w:hAnsiTheme="majorBidi" w:cstheme="majorBidi"/>
          <w:noProof/>
        </w:rPr>
        <w:t xml:space="preserve">option </w:t>
      </w:r>
      <w:r w:rsidR="009F486B" w:rsidRPr="00D4396B">
        <w:rPr>
          <w:rFonts w:asciiTheme="majorBidi" w:hAnsiTheme="majorBidi" w:cstheme="majorBidi"/>
          <w:noProof/>
        </w:rPr>
        <w:t>A.</w:t>
      </w:r>
      <w:r w:rsidR="16099869" w:rsidRPr="00D4396B">
        <w:rPr>
          <w:rFonts w:asciiTheme="majorBidi" w:hAnsiTheme="majorBidi" w:cstheme="majorBidi"/>
          <w:noProof/>
        </w:rPr>
        <w:t xml:space="preserve">PO1 is </w:t>
      </w:r>
      <w:r w:rsidR="008E0199">
        <w:rPr>
          <w:rFonts w:asciiTheme="majorBidi" w:hAnsiTheme="majorBidi" w:cstheme="majorBidi"/>
          <w:noProof/>
        </w:rPr>
        <w:t xml:space="preserve">made up of </w:t>
      </w:r>
      <w:r w:rsidR="00A175B8">
        <w:rPr>
          <w:rFonts w:asciiTheme="majorBidi" w:hAnsiTheme="majorBidi" w:cstheme="majorBidi"/>
          <w:noProof/>
        </w:rPr>
        <w:t>non-legislative</w:t>
      </w:r>
      <w:r w:rsidR="16099869" w:rsidRPr="00D4396B">
        <w:rPr>
          <w:rFonts w:asciiTheme="majorBidi" w:hAnsiTheme="majorBidi" w:cstheme="majorBidi"/>
          <w:noProof/>
        </w:rPr>
        <w:t xml:space="preserve"> measures i.a, ii.a, iii.a; </w:t>
      </w:r>
      <w:r w:rsidR="00A175B8">
        <w:rPr>
          <w:rFonts w:asciiTheme="majorBidi" w:hAnsiTheme="majorBidi" w:cstheme="majorBidi"/>
          <w:noProof/>
        </w:rPr>
        <w:t xml:space="preserve">option </w:t>
      </w:r>
      <w:r w:rsidR="009F486B" w:rsidRPr="00D4396B">
        <w:rPr>
          <w:rFonts w:asciiTheme="majorBidi" w:hAnsiTheme="majorBidi" w:cstheme="majorBidi"/>
          <w:noProof/>
        </w:rPr>
        <w:t>A.</w:t>
      </w:r>
      <w:r w:rsidR="16099869" w:rsidRPr="00D4396B">
        <w:rPr>
          <w:rFonts w:asciiTheme="majorBidi" w:hAnsiTheme="majorBidi" w:cstheme="majorBidi"/>
          <w:noProof/>
        </w:rPr>
        <w:t xml:space="preserve">PO2 </w:t>
      </w:r>
      <w:r w:rsidR="00A175B8">
        <w:rPr>
          <w:rFonts w:asciiTheme="majorBidi" w:hAnsiTheme="majorBidi" w:cstheme="majorBidi"/>
          <w:noProof/>
        </w:rPr>
        <w:t xml:space="preserve">transforms </w:t>
      </w:r>
      <w:r w:rsidR="16099869" w:rsidRPr="00D4396B">
        <w:rPr>
          <w:rFonts w:asciiTheme="majorBidi" w:hAnsiTheme="majorBidi" w:cstheme="majorBidi"/>
          <w:noProof/>
        </w:rPr>
        <w:t xml:space="preserve">measures </w:t>
      </w:r>
      <w:r w:rsidR="16099869" w:rsidRPr="00D4396B" w:rsidDel="00A175B8">
        <w:rPr>
          <w:rFonts w:asciiTheme="majorBidi" w:hAnsiTheme="majorBidi" w:cstheme="majorBidi"/>
          <w:noProof/>
        </w:rPr>
        <w:t>i</w:t>
      </w:r>
      <w:r w:rsidR="00A175B8">
        <w:rPr>
          <w:rFonts w:asciiTheme="majorBidi" w:hAnsiTheme="majorBidi" w:cstheme="majorBidi"/>
          <w:noProof/>
        </w:rPr>
        <w:t>, ii and iii into legislative measur</w:t>
      </w:r>
      <w:r w:rsidR="00784135">
        <w:rPr>
          <w:rFonts w:asciiTheme="majorBidi" w:hAnsiTheme="majorBidi" w:cstheme="majorBidi"/>
          <w:noProof/>
        </w:rPr>
        <w:t>e</w:t>
      </w:r>
      <w:r w:rsidR="00A175B8">
        <w:rPr>
          <w:rFonts w:asciiTheme="majorBidi" w:hAnsiTheme="majorBidi" w:cstheme="majorBidi"/>
          <w:noProof/>
        </w:rPr>
        <w:t>s (i</w:t>
      </w:r>
      <w:r w:rsidR="16099869" w:rsidRPr="00D4396B">
        <w:rPr>
          <w:rFonts w:asciiTheme="majorBidi" w:hAnsiTheme="majorBidi" w:cstheme="majorBidi"/>
          <w:noProof/>
        </w:rPr>
        <w:t>.b, ii.b, iii.b</w:t>
      </w:r>
      <w:r w:rsidR="00A175B8">
        <w:rPr>
          <w:rFonts w:asciiTheme="majorBidi" w:hAnsiTheme="majorBidi" w:cstheme="majorBidi"/>
          <w:noProof/>
        </w:rPr>
        <w:t>) and then includes a</w:t>
      </w:r>
      <w:r w:rsidR="00784135">
        <w:rPr>
          <w:rFonts w:asciiTheme="majorBidi" w:hAnsiTheme="majorBidi" w:cstheme="majorBidi"/>
          <w:noProof/>
        </w:rPr>
        <w:t>n additional legislative measures</w:t>
      </w:r>
      <w:r w:rsidR="16099869" w:rsidRPr="00D4396B">
        <w:rPr>
          <w:rFonts w:asciiTheme="majorBidi" w:hAnsiTheme="majorBidi" w:cstheme="majorBidi"/>
          <w:noProof/>
        </w:rPr>
        <w:t xml:space="preserve">, iv. </w:t>
      </w:r>
    </w:p>
    <w:p w14:paraId="2B755391" w14:textId="63415C94" w:rsidR="00A63B53" w:rsidRPr="00D4396B" w:rsidRDefault="4DDD7C98" w:rsidP="327616A1">
      <w:pPr>
        <w:spacing w:after="120"/>
        <w:rPr>
          <w:rFonts w:asciiTheme="majorBidi" w:eastAsia="Times New Roman" w:hAnsiTheme="majorBidi" w:cstheme="majorBidi"/>
          <w:noProof/>
          <w:lang w:val="en-US"/>
        </w:rPr>
      </w:pPr>
      <w:r w:rsidRPr="00D4396B">
        <w:rPr>
          <w:rFonts w:asciiTheme="majorBidi" w:eastAsia="Times New Roman" w:hAnsiTheme="majorBidi" w:cstheme="majorBidi"/>
          <w:noProof/>
          <w:lang w:val="en-US"/>
        </w:rPr>
        <w:t xml:space="preserve">In addition to these </w:t>
      </w:r>
      <w:r w:rsidR="00DF6AB0" w:rsidRPr="1F24A97C">
        <w:rPr>
          <w:rFonts w:asciiTheme="majorBidi" w:eastAsia="Times New Roman" w:hAnsiTheme="majorBidi" w:cstheme="majorBidi"/>
          <w:noProof/>
          <w:lang w:val="en-US"/>
        </w:rPr>
        <w:t>six</w:t>
      </w:r>
      <w:r w:rsidR="00313899">
        <w:rPr>
          <w:rFonts w:asciiTheme="majorBidi" w:eastAsia="Times New Roman" w:hAnsiTheme="majorBidi" w:cstheme="majorBidi"/>
          <w:noProof/>
          <w:lang w:val="en-US"/>
        </w:rPr>
        <w:t xml:space="preserve"> sets of </w:t>
      </w:r>
      <w:r w:rsidRPr="00D4396B">
        <w:rPr>
          <w:rFonts w:asciiTheme="majorBidi" w:eastAsia="Times New Roman" w:hAnsiTheme="majorBidi" w:cstheme="majorBidi"/>
          <w:noProof/>
          <w:lang w:val="en-US"/>
        </w:rPr>
        <w:t>policy options</w:t>
      </w:r>
      <w:r w:rsidR="5034EAC9" w:rsidRPr="00D4396B">
        <w:rPr>
          <w:rFonts w:asciiTheme="majorBidi" w:eastAsia="Times New Roman" w:hAnsiTheme="majorBidi" w:cstheme="majorBidi"/>
          <w:noProof/>
          <w:lang w:val="en-US"/>
        </w:rPr>
        <w:t>,</w:t>
      </w:r>
      <w:r w:rsidRPr="00D4396B">
        <w:rPr>
          <w:rFonts w:asciiTheme="majorBidi" w:eastAsia="Times New Roman" w:hAnsiTheme="majorBidi" w:cstheme="majorBidi"/>
          <w:noProof/>
          <w:lang w:val="en-US"/>
        </w:rPr>
        <w:t xml:space="preserve"> </w:t>
      </w:r>
      <w:r w:rsidR="00533930" w:rsidRPr="1F24A97C">
        <w:rPr>
          <w:rFonts w:asciiTheme="majorBidi" w:eastAsia="Times New Roman" w:hAnsiTheme="majorBidi" w:cstheme="majorBidi"/>
          <w:noProof/>
          <w:lang w:val="en-US"/>
        </w:rPr>
        <w:t>targeted</w:t>
      </w:r>
      <w:r w:rsidR="00533930">
        <w:rPr>
          <w:rFonts w:asciiTheme="majorBidi" w:eastAsia="Times New Roman" w:hAnsiTheme="majorBidi" w:cstheme="majorBidi"/>
          <w:noProof/>
          <w:lang w:val="en-US"/>
        </w:rPr>
        <w:t xml:space="preserve"> amendments </w:t>
      </w:r>
      <w:r w:rsidR="00DA5F0A">
        <w:rPr>
          <w:rFonts w:asciiTheme="majorBidi" w:eastAsia="Times New Roman" w:hAnsiTheme="majorBidi" w:cstheme="majorBidi"/>
          <w:noProof/>
          <w:lang w:val="en-US"/>
        </w:rPr>
        <w:t xml:space="preserve">may be needed to </w:t>
      </w:r>
      <w:r w:rsidR="00DA5F0A" w:rsidRPr="1F24A97C">
        <w:rPr>
          <w:rFonts w:asciiTheme="majorBidi" w:eastAsia="Times New Roman" w:hAnsiTheme="majorBidi" w:cstheme="majorBidi"/>
          <w:b/>
          <w:noProof/>
          <w:lang w:val="en-US"/>
        </w:rPr>
        <w:t>update</w:t>
      </w:r>
      <w:r w:rsidRPr="00D4396B">
        <w:rPr>
          <w:rFonts w:asciiTheme="majorBidi" w:eastAsia="Times New Roman" w:hAnsiTheme="majorBidi" w:cstheme="majorBidi"/>
          <w:b/>
          <w:bCs/>
          <w:noProof/>
          <w:lang w:val="en-US"/>
        </w:rPr>
        <w:t xml:space="preserve"> the </w:t>
      </w:r>
      <w:r w:rsidR="00DA5F0A">
        <w:rPr>
          <w:rFonts w:asciiTheme="majorBidi" w:eastAsia="Times New Roman" w:hAnsiTheme="majorBidi" w:cstheme="majorBidi"/>
          <w:b/>
          <w:bCs/>
          <w:noProof/>
          <w:lang w:val="en-US"/>
        </w:rPr>
        <w:t>EJR</w:t>
      </w:r>
      <w:r w:rsidR="00DA5F0A" w:rsidRPr="00D4396B">
        <w:rPr>
          <w:rFonts w:asciiTheme="majorBidi" w:eastAsia="Times New Roman" w:hAnsiTheme="majorBidi" w:cstheme="majorBidi"/>
          <w:b/>
          <w:bCs/>
          <w:noProof/>
          <w:lang w:val="en-US"/>
        </w:rPr>
        <w:t xml:space="preserve"> </w:t>
      </w:r>
      <w:r w:rsidR="68CAC0A2" w:rsidRPr="00D4396B">
        <w:rPr>
          <w:rFonts w:asciiTheme="majorBidi" w:eastAsia="Times New Roman" w:hAnsiTheme="majorBidi" w:cstheme="majorBidi"/>
          <w:b/>
          <w:bCs/>
          <w:noProof/>
          <w:lang w:val="en-US"/>
        </w:rPr>
        <w:t>in terms of</w:t>
      </w:r>
      <w:r w:rsidRPr="00D4396B">
        <w:rPr>
          <w:rFonts w:asciiTheme="majorBidi" w:eastAsia="Times New Roman" w:hAnsiTheme="majorBidi" w:cstheme="majorBidi"/>
          <w:b/>
          <w:bCs/>
          <w:noProof/>
          <w:lang w:val="en-US"/>
        </w:rPr>
        <w:t xml:space="preserve"> links to other legal instruments, without affecting their substantive content</w:t>
      </w:r>
      <w:r w:rsidRPr="00D4396B">
        <w:rPr>
          <w:rFonts w:asciiTheme="majorBidi" w:eastAsia="Times New Roman" w:hAnsiTheme="majorBidi" w:cstheme="majorBidi"/>
          <w:noProof/>
          <w:lang w:val="en-US"/>
        </w:rPr>
        <w:t>.</w:t>
      </w:r>
      <w:r w:rsidR="00A63B53" w:rsidRPr="1F24A97C">
        <w:rPr>
          <w:rStyle w:val="FootnoteReference"/>
          <w:rFonts w:asciiTheme="majorBidi" w:eastAsia="Times New Roman" w:hAnsiTheme="majorBidi" w:cstheme="majorBidi"/>
          <w:noProof/>
          <w:lang w:val="en-US"/>
        </w:rPr>
        <w:footnoteReference w:id="102"/>
      </w:r>
      <w:r w:rsidR="00A02FED" w:rsidRPr="1F24A97C">
        <w:rPr>
          <w:rFonts w:asciiTheme="majorBidi" w:eastAsia="Times New Roman" w:hAnsiTheme="majorBidi" w:cstheme="majorBidi"/>
          <w:noProof/>
          <w:lang w:val="en-US"/>
        </w:rPr>
        <w:t xml:space="preserve"> </w:t>
      </w:r>
    </w:p>
    <w:p w14:paraId="02C15862" w14:textId="1FFD1788" w:rsidR="5D55A3A1" w:rsidRPr="00D4396B" w:rsidRDefault="00A02FED" w:rsidP="5D55A3A1">
      <w:pPr>
        <w:spacing w:after="120"/>
        <w:rPr>
          <w:rFonts w:asciiTheme="majorBidi" w:hAnsiTheme="majorBidi" w:cstheme="majorBidi"/>
          <w:noProof/>
        </w:rPr>
      </w:pPr>
      <w:r w:rsidRPr="0A37841C">
        <w:rPr>
          <w:rFonts w:asciiTheme="majorBidi" w:hAnsiTheme="majorBidi" w:cstheme="majorBidi"/>
          <w:noProof/>
        </w:rPr>
        <w:t>One</w:t>
      </w:r>
      <w:r>
        <w:rPr>
          <w:rFonts w:asciiTheme="majorBidi" w:hAnsiTheme="majorBidi" w:cstheme="majorBidi"/>
          <w:noProof/>
        </w:rPr>
        <w:t xml:space="preserve"> such </w:t>
      </w:r>
      <w:r w:rsidR="7CF2FCA9" w:rsidRPr="00D4396B">
        <w:rPr>
          <w:rFonts w:asciiTheme="majorBidi" w:hAnsiTheme="majorBidi" w:cstheme="majorBidi"/>
          <w:noProof/>
        </w:rPr>
        <w:t xml:space="preserve">measures </w:t>
      </w:r>
      <w:r w:rsidRPr="0A37841C">
        <w:rPr>
          <w:rFonts w:asciiTheme="majorBidi" w:hAnsiTheme="majorBidi" w:cstheme="majorBidi"/>
          <w:noProof/>
        </w:rPr>
        <w:t>addresses</w:t>
      </w:r>
      <w:r w:rsidR="7CF2FCA9" w:rsidRPr="00D4396B">
        <w:rPr>
          <w:rFonts w:asciiTheme="majorBidi" w:hAnsiTheme="majorBidi" w:cstheme="majorBidi"/>
          <w:noProof/>
        </w:rPr>
        <w:t xml:space="preserve"> the need to </w:t>
      </w:r>
      <w:r w:rsidR="7CF2FCA9" w:rsidRPr="00D4396B">
        <w:rPr>
          <w:rFonts w:asciiTheme="majorBidi" w:hAnsiTheme="majorBidi" w:cstheme="majorBidi"/>
          <w:b/>
          <w:bCs/>
          <w:noProof/>
        </w:rPr>
        <w:t>update the framework for the processing and protection of personal data</w:t>
      </w:r>
      <w:r w:rsidR="7CF2FCA9" w:rsidRPr="00D4396B">
        <w:rPr>
          <w:rFonts w:asciiTheme="majorBidi" w:hAnsiTheme="majorBidi" w:cstheme="majorBidi"/>
          <w:noProof/>
        </w:rPr>
        <w:t xml:space="preserve">. In view of the parallel revision of the overall </w:t>
      </w:r>
      <w:r w:rsidR="38B523DA" w:rsidRPr="00D4396B">
        <w:rPr>
          <w:rFonts w:asciiTheme="majorBidi" w:hAnsiTheme="majorBidi" w:cstheme="majorBidi"/>
          <w:noProof/>
        </w:rPr>
        <w:t xml:space="preserve">EU legislative </w:t>
      </w:r>
      <w:r w:rsidR="7CF2FCA9" w:rsidRPr="00D4396B">
        <w:rPr>
          <w:rFonts w:asciiTheme="majorBidi" w:hAnsiTheme="majorBidi" w:cstheme="majorBidi"/>
          <w:noProof/>
        </w:rPr>
        <w:t>framework applicable in this area (EUDPR), the measures envisaged concerning Eurojust are limited</w:t>
      </w:r>
      <w:r w:rsidR="00277D2F" w:rsidRPr="0A37841C">
        <w:rPr>
          <w:rFonts w:asciiTheme="majorBidi" w:hAnsiTheme="majorBidi" w:cstheme="majorBidi"/>
          <w:noProof/>
        </w:rPr>
        <w:t>. T</w:t>
      </w:r>
      <w:r w:rsidR="7CF2FCA9" w:rsidRPr="0A37841C">
        <w:rPr>
          <w:rFonts w:asciiTheme="majorBidi" w:hAnsiTheme="majorBidi" w:cstheme="majorBidi"/>
          <w:noProof/>
        </w:rPr>
        <w:t xml:space="preserve">he </w:t>
      </w:r>
      <w:r w:rsidR="7CF2FCA9" w:rsidRPr="00D4396B">
        <w:rPr>
          <w:rFonts w:asciiTheme="majorBidi" w:hAnsiTheme="majorBidi" w:cstheme="majorBidi"/>
          <w:noProof/>
        </w:rPr>
        <w:t>need for derogations from the EUDPR has not been demonstrated and was discarded at an early stage</w:t>
      </w:r>
      <w:r w:rsidR="7CF2FCA9" w:rsidRPr="0A37841C">
        <w:rPr>
          <w:rFonts w:asciiTheme="majorBidi" w:hAnsiTheme="majorBidi" w:cstheme="majorBidi"/>
          <w:noProof/>
        </w:rPr>
        <w:t>.</w:t>
      </w:r>
      <w:r w:rsidR="7CF2FCA9" w:rsidRPr="00D4396B">
        <w:rPr>
          <w:rFonts w:asciiTheme="majorBidi" w:hAnsiTheme="majorBidi" w:cstheme="majorBidi"/>
          <w:noProof/>
        </w:rPr>
        <w:t xml:space="preserve"> The measures address</w:t>
      </w:r>
      <w:r w:rsidR="003C68D0">
        <w:rPr>
          <w:rFonts w:asciiTheme="majorBidi" w:hAnsiTheme="majorBidi" w:cstheme="majorBidi"/>
          <w:noProof/>
        </w:rPr>
        <w:t>ing</w:t>
      </w:r>
      <w:r w:rsidR="7CF2FCA9" w:rsidRPr="00D4396B">
        <w:rPr>
          <w:rFonts w:asciiTheme="majorBidi" w:hAnsiTheme="majorBidi" w:cstheme="majorBidi"/>
          <w:noProof/>
        </w:rPr>
        <w:t xml:space="preserve"> problem driver #6 </w:t>
      </w:r>
      <w:r w:rsidR="003D7259">
        <w:rPr>
          <w:rFonts w:asciiTheme="majorBidi" w:hAnsiTheme="majorBidi" w:cstheme="majorBidi"/>
          <w:noProof/>
        </w:rPr>
        <w:t>–</w:t>
      </w:r>
      <w:r w:rsidR="003A1AED">
        <w:rPr>
          <w:rFonts w:asciiTheme="majorBidi" w:hAnsiTheme="majorBidi" w:cstheme="majorBidi"/>
          <w:noProof/>
        </w:rPr>
        <w:t xml:space="preserve"> from the </w:t>
      </w:r>
      <w:r w:rsidR="003D7259">
        <w:rPr>
          <w:rFonts w:asciiTheme="majorBidi" w:hAnsiTheme="majorBidi" w:cstheme="majorBidi"/>
          <w:noProof/>
        </w:rPr>
        <w:t>EJR angle –</w:t>
      </w:r>
      <w:r w:rsidR="7CF2FCA9" w:rsidRPr="00D4396B">
        <w:rPr>
          <w:rFonts w:asciiTheme="majorBidi" w:hAnsiTheme="majorBidi" w:cstheme="majorBidi"/>
          <w:noProof/>
        </w:rPr>
        <w:t xml:space="preserve"> are therefore limited</w:t>
      </w:r>
      <w:r w:rsidR="003C68D0" w:rsidRPr="0A37841C">
        <w:rPr>
          <w:rFonts w:asciiTheme="majorBidi" w:hAnsiTheme="majorBidi" w:cstheme="majorBidi"/>
          <w:noProof/>
        </w:rPr>
        <w:t>,</w:t>
      </w:r>
      <w:r w:rsidR="7CF2FCA9" w:rsidRPr="00D4396B" w:rsidDel="003C68D0">
        <w:rPr>
          <w:rFonts w:asciiTheme="majorBidi" w:hAnsiTheme="majorBidi" w:cstheme="majorBidi"/>
          <w:noProof/>
        </w:rPr>
        <w:t xml:space="preserve"> </w:t>
      </w:r>
      <w:r w:rsidR="003C68D0" w:rsidRPr="00D4396B">
        <w:rPr>
          <w:rFonts w:asciiTheme="majorBidi" w:hAnsiTheme="majorBidi" w:cstheme="majorBidi"/>
          <w:noProof/>
        </w:rPr>
        <w:t>involv</w:t>
      </w:r>
      <w:r w:rsidR="003C68D0">
        <w:rPr>
          <w:rFonts w:asciiTheme="majorBidi" w:hAnsiTheme="majorBidi" w:cstheme="majorBidi"/>
          <w:noProof/>
        </w:rPr>
        <w:t>ing</w:t>
      </w:r>
      <w:r w:rsidR="7CF2FCA9" w:rsidRPr="00D4396B">
        <w:rPr>
          <w:rFonts w:asciiTheme="majorBidi" w:hAnsiTheme="majorBidi" w:cstheme="majorBidi"/>
          <w:noProof/>
        </w:rPr>
        <w:t xml:space="preserve"> either a streamlining of the </w:t>
      </w:r>
      <w:r w:rsidR="00287770">
        <w:rPr>
          <w:rFonts w:asciiTheme="majorBidi" w:hAnsiTheme="majorBidi" w:cstheme="majorBidi"/>
          <w:noProof/>
        </w:rPr>
        <w:t>EJR</w:t>
      </w:r>
      <w:r w:rsidR="00287770" w:rsidRPr="00D4396B">
        <w:rPr>
          <w:rFonts w:asciiTheme="majorBidi" w:hAnsiTheme="majorBidi" w:cstheme="majorBidi"/>
          <w:noProof/>
        </w:rPr>
        <w:t xml:space="preserve"> </w:t>
      </w:r>
      <w:r w:rsidR="7CF2FCA9" w:rsidRPr="00D4396B">
        <w:rPr>
          <w:rFonts w:asciiTheme="majorBidi" w:hAnsiTheme="majorBidi" w:cstheme="majorBidi"/>
          <w:noProof/>
        </w:rPr>
        <w:t xml:space="preserve">(retaining only the most important provisions, with the other rules being referred to the EUDPR) or a more detailed clarification of the rules, in full compliance with the </w:t>
      </w:r>
      <w:r w:rsidR="00287770">
        <w:rPr>
          <w:rFonts w:asciiTheme="majorBidi" w:hAnsiTheme="majorBidi" w:cstheme="majorBidi"/>
          <w:noProof/>
        </w:rPr>
        <w:t>general</w:t>
      </w:r>
      <w:r w:rsidR="00287770" w:rsidRPr="00D4396B">
        <w:rPr>
          <w:rFonts w:asciiTheme="majorBidi" w:hAnsiTheme="majorBidi" w:cstheme="majorBidi"/>
          <w:noProof/>
        </w:rPr>
        <w:t xml:space="preserve"> </w:t>
      </w:r>
      <w:r w:rsidR="7CF2FCA9" w:rsidRPr="00D4396B">
        <w:rPr>
          <w:rFonts w:asciiTheme="majorBidi" w:hAnsiTheme="majorBidi" w:cstheme="majorBidi"/>
          <w:noProof/>
        </w:rPr>
        <w:t>framework.</w:t>
      </w:r>
    </w:p>
    <w:p w14:paraId="5E043A24" w14:textId="36910713" w:rsidR="00A63B53" w:rsidRDefault="00A63B53" w:rsidP="000C3545">
      <w:pPr>
        <w:pStyle w:val="Heading3"/>
        <w:rPr>
          <w:noProof/>
        </w:rPr>
      </w:pPr>
      <w:bookmarkStart w:id="145" w:name="_Toc232176415"/>
      <w:r w:rsidRPr="00D4396B">
        <w:rPr>
          <w:noProof/>
        </w:rPr>
        <w:t>5.2.1.</w:t>
      </w:r>
      <w:r w:rsidR="009673B0" w:rsidRPr="00D4396B">
        <w:rPr>
          <w:noProof/>
        </w:rPr>
        <w:tab/>
      </w:r>
      <w:r w:rsidRPr="00D4396B">
        <w:rPr>
          <w:noProof/>
          <w:u w:val="single"/>
        </w:rPr>
        <w:t xml:space="preserve">Specific Objective </w:t>
      </w:r>
      <w:r w:rsidR="006617B3" w:rsidRPr="00D4396B">
        <w:rPr>
          <w:noProof/>
          <w:u w:val="single"/>
        </w:rPr>
        <w:t>1</w:t>
      </w:r>
      <w:r w:rsidRPr="00D4396B">
        <w:rPr>
          <w:noProof/>
          <w:u w:val="single"/>
        </w:rPr>
        <w:t>:</w:t>
      </w:r>
      <w:r w:rsidRPr="00D4396B">
        <w:rPr>
          <w:noProof/>
        </w:rPr>
        <w:t xml:space="preserve"> Strengthen Eurojust’s Internal Functioning, Governance and Operational Performance</w:t>
      </w:r>
      <w:bookmarkEnd w:id="145"/>
    </w:p>
    <w:p w14:paraId="5C02D981" w14:textId="53B2D1DC" w:rsidR="00141A81" w:rsidRPr="000B19B0" w:rsidRDefault="00141A81" w:rsidP="000B19B0">
      <w:pPr>
        <w:rPr>
          <w:noProof/>
          <w:u w:val="single"/>
        </w:rPr>
      </w:pPr>
      <w:r>
        <w:rPr>
          <w:noProof/>
          <w:u w:val="single"/>
        </w:rPr>
        <w:t xml:space="preserve">Table </w:t>
      </w:r>
      <w:r w:rsidR="00BC3D41">
        <w:rPr>
          <w:noProof/>
          <w:u w:val="single"/>
        </w:rPr>
        <w:t>2</w:t>
      </w:r>
      <w:r>
        <w:rPr>
          <w:noProof/>
          <w:u w:val="single"/>
        </w:rPr>
        <w:t xml:space="preserve">: </w:t>
      </w:r>
      <w:r w:rsidR="0070104A">
        <w:rPr>
          <w:noProof/>
          <w:u w:val="single"/>
        </w:rPr>
        <w:t>Policy options and measures under Specific Objective 1</w:t>
      </w:r>
    </w:p>
    <w:tbl>
      <w:tblPr>
        <w:tblW w:w="6093" w:type="pct"/>
        <w:jc w:val="center"/>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7504"/>
        <w:gridCol w:w="992"/>
        <w:gridCol w:w="994"/>
        <w:gridCol w:w="992"/>
      </w:tblGrid>
      <w:tr w:rsidR="006A3773" w:rsidRPr="00D4396B" w14:paraId="44E86905" w14:textId="77777777" w:rsidTr="6E834B38">
        <w:trPr>
          <w:jc w:val="center"/>
        </w:trPr>
        <w:tc>
          <w:tcPr>
            <w:tcW w:w="3580" w:type="pct"/>
            <w:vMerge w:val="restart"/>
            <w:tcBorders>
              <w:top w:val="single" w:sz="4" w:space="0" w:color="auto"/>
              <w:left w:val="single" w:sz="6" w:space="0" w:color="auto"/>
              <w:right w:val="single" w:sz="4" w:space="0" w:color="auto"/>
            </w:tcBorders>
            <w:vAlign w:val="center"/>
            <w:hideMark/>
          </w:tcPr>
          <w:p w14:paraId="63375722" w14:textId="77777777" w:rsidR="00A63B53" w:rsidRPr="00D4396B" w:rsidRDefault="00A63B53">
            <w:pPr>
              <w:spacing w:after="0"/>
              <w:jc w:val="center"/>
              <w:rPr>
                <w:rFonts w:asciiTheme="majorBidi" w:hAnsiTheme="majorBidi" w:cstheme="majorBidi"/>
                <w:b/>
                <w:bCs/>
                <w:smallCaps/>
                <w:noProof/>
                <w:sz w:val="18"/>
                <w:szCs w:val="18"/>
              </w:rPr>
            </w:pPr>
            <w:r w:rsidRPr="00D4396B">
              <w:rPr>
                <w:rFonts w:asciiTheme="majorBidi" w:hAnsiTheme="majorBidi" w:cstheme="majorBidi"/>
                <w:b/>
                <w:bCs/>
                <w:smallCaps/>
                <w:noProof/>
                <w:sz w:val="18"/>
                <w:szCs w:val="18"/>
              </w:rPr>
              <w:t xml:space="preserve">Specific objective 1 (Internal): </w:t>
            </w:r>
          </w:p>
          <w:p w14:paraId="5D16AE4F" w14:textId="04B31274" w:rsidR="00A63B53" w:rsidRPr="00D4396B" w:rsidRDefault="006617B3">
            <w:pPr>
              <w:spacing w:after="0"/>
              <w:jc w:val="center"/>
              <w:rPr>
                <w:rFonts w:asciiTheme="majorBidi" w:hAnsiTheme="majorBidi" w:cstheme="majorBidi"/>
                <w:noProof/>
                <w:sz w:val="18"/>
                <w:szCs w:val="18"/>
              </w:rPr>
            </w:pPr>
            <w:r w:rsidRPr="00D4396B">
              <w:rPr>
                <w:rFonts w:asciiTheme="majorBidi" w:hAnsiTheme="majorBidi" w:cstheme="majorBidi"/>
                <w:b/>
                <w:bCs/>
                <w:smallCaps/>
                <w:noProof/>
                <w:sz w:val="18"/>
                <w:szCs w:val="18"/>
              </w:rPr>
              <w:t>Strengthen Eurojust’s Internal Functioning, Governance and Operational Performance</w:t>
            </w:r>
          </w:p>
        </w:tc>
        <w:tc>
          <w:tcPr>
            <w:tcW w:w="1420" w:type="pct"/>
            <w:gridSpan w:val="3"/>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hideMark/>
          </w:tcPr>
          <w:p w14:paraId="4A29E94F" w14:textId="77777777" w:rsidR="00A63B53" w:rsidRPr="00D4396B" w:rsidRDefault="00A63B53">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Options</w:t>
            </w:r>
          </w:p>
        </w:tc>
      </w:tr>
      <w:tr w:rsidR="006A3773" w:rsidRPr="00D4396B" w14:paraId="7CEC716F" w14:textId="77777777" w:rsidTr="6E834B38">
        <w:trPr>
          <w:jc w:val="center"/>
        </w:trPr>
        <w:tc>
          <w:tcPr>
            <w:tcW w:w="3580" w:type="pct"/>
            <w:vMerge/>
            <w:vAlign w:val="center"/>
          </w:tcPr>
          <w:p w14:paraId="2311BF2F" w14:textId="77777777" w:rsidR="00A63B53" w:rsidRPr="00D4396B" w:rsidRDefault="00A63B53">
            <w:pPr>
              <w:spacing w:after="0"/>
              <w:jc w:val="center"/>
              <w:rPr>
                <w:rFonts w:asciiTheme="majorBidi" w:hAnsiTheme="majorBidi" w:cstheme="majorBidi"/>
                <w:b/>
                <w:bCs/>
                <w:noProof/>
                <w:sz w:val="18"/>
                <w:szCs w:val="18"/>
              </w:rPr>
            </w:pPr>
          </w:p>
        </w:tc>
        <w:tc>
          <w:tcPr>
            <w:tcW w:w="473"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AE023CB" w14:textId="77777777" w:rsidR="00A63B53" w:rsidRPr="00D4396B" w:rsidRDefault="00A63B53">
            <w:pPr>
              <w:spacing w:after="0"/>
              <w:jc w:val="center"/>
              <w:rPr>
                <w:noProof/>
              </w:rPr>
            </w:pPr>
            <w:r w:rsidRPr="00D4396B">
              <w:rPr>
                <w:rFonts w:asciiTheme="majorBidi" w:hAnsiTheme="majorBidi" w:cstheme="majorBidi"/>
                <w:noProof/>
                <w:sz w:val="18"/>
                <w:szCs w:val="18"/>
              </w:rPr>
              <w:t>Light change</w:t>
            </w:r>
          </w:p>
        </w:tc>
        <w:tc>
          <w:tcPr>
            <w:tcW w:w="474" w:type="pct"/>
            <w:tcBorders>
              <w:top w:val="single" w:sz="4" w:space="0" w:color="auto"/>
              <w:left w:val="single" w:sz="4" w:space="0" w:color="auto"/>
              <w:bottom w:val="single" w:sz="6" w:space="0" w:color="auto"/>
              <w:right w:val="single" w:sz="6" w:space="0" w:color="auto"/>
            </w:tcBorders>
            <w:shd w:val="clear" w:color="auto" w:fill="BFBFBF" w:themeFill="background1" w:themeFillShade="BF"/>
            <w:vAlign w:val="center"/>
          </w:tcPr>
          <w:p w14:paraId="03CA2C05" w14:textId="77777777" w:rsidR="00A63B53" w:rsidRPr="00D4396B" w:rsidRDefault="00A63B53">
            <w:pPr>
              <w:spacing w:after="0"/>
              <w:jc w:val="center"/>
              <w:rPr>
                <w:noProof/>
              </w:rPr>
            </w:pPr>
            <w:r w:rsidRPr="00D4396B">
              <w:rPr>
                <w:rFonts w:asciiTheme="majorBidi" w:hAnsiTheme="majorBidi" w:cstheme="majorBidi"/>
                <w:noProof/>
                <w:sz w:val="18"/>
                <w:szCs w:val="18"/>
              </w:rPr>
              <w:t>Moderate change</w:t>
            </w:r>
          </w:p>
        </w:tc>
        <w:tc>
          <w:tcPr>
            <w:tcW w:w="473" w:type="pct"/>
            <w:tcBorders>
              <w:top w:val="single" w:sz="4" w:space="0" w:color="auto"/>
              <w:left w:val="nil"/>
              <w:bottom w:val="single" w:sz="6" w:space="0" w:color="auto"/>
              <w:right w:val="single" w:sz="6" w:space="0" w:color="auto"/>
            </w:tcBorders>
            <w:shd w:val="clear" w:color="auto" w:fill="A6A6A6" w:themeFill="background1" w:themeFillShade="A6"/>
            <w:vAlign w:val="center"/>
          </w:tcPr>
          <w:p w14:paraId="7E07664C"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Substantial change</w:t>
            </w:r>
          </w:p>
        </w:tc>
      </w:tr>
      <w:tr w:rsidR="00A63B53" w:rsidRPr="00D4396B" w14:paraId="4E56278C" w14:textId="77777777" w:rsidTr="6E834B38">
        <w:trPr>
          <w:jc w:val="center"/>
        </w:trPr>
        <w:tc>
          <w:tcPr>
            <w:tcW w:w="5000" w:type="pct"/>
            <w:gridSpan w:val="4"/>
            <w:tcBorders>
              <w:top w:val="single" w:sz="6" w:space="0" w:color="auto"/>
              <w:left w:val="single" w:sz="6" w:space="0" w:color="auto"/>
              <w:bottom w:val="nil"/>
              <w:right w:val="single" w:sz="6" w:space="0" w:color="000000" w:themeColor="text1"/>
            </w:tcBorders>
            <w:shd w:val="clear" w:color="auto" w:fill="EBF5FF"/>
            <w:vAlign w:val="center"/>
            <w:hideMark/>
          </w:tcPr>
          <w:p w14:paraId="15C8AB09" w14:textId="77777777" w:rsidR="00A63B53" w:rsidRPr="00D4396B" w:rsidRDefault="00A63B53">
            <w:pPr>
              <w:spacing w:after="0"/>
              <w:jc w:val="center"/>
              <w:rPr>
                <w:rFonts w:asciiTheme="majorBidi" w:hAnsiTheme="majorBidi" w:cstheme="majorBidi"/>
                <w:b/>
                <w:bCs/>
                <w:noProof/>
                <w:sz w:val="18"/>
                <w:szCs w:val="18"/>
              </w:rPr>
            </w:pPr>
            <w:bookmarkStart w:id="146" w:name="_Hlk223969786"/>
            <w:r w:rsidRPr="00D4396B">
              <w:rPr>
                <w:rFonts w:asciiTheme="majorBidi" w:hAnsiTheme="majorBidi" w:cstheme="majorBidi"/>
                <w:b/>
                <w:bCs/>
                <w:noProof/>
                <w:sz w:val="18"/>
                <w:szCs w:val="18"/>
              </w:rPr>
              <w:t>A. Extending the scope of material competences to face the new judicial landscape</w:t>
            </w:r>
          </w:p>
        </w:tc>
      </w:tr>
      <w:tr w:rsidR="006A3773" w:rsidRPr="00D4396B" w14:paraId="577C551E" w14:textId="77777777" w:rsidTr="6E834B38">
        <w:trPr>
          <w:jc w:val="center"/>
        </w:trPr>
        <w:tc>
          <w:tcPr>
            <w:tcW w:w="3580" w:type="pct"/>
            <w:tcBorders>
              <w:top w:val="nil"/>
              <w:left w:val="single" w:sz="6" w:space="0" w:color="auto"/>
              <w:bottom w:val="single" w:sz="6" w:space="0" w:color="auto"/>
              <w:right w:val="single" w:sz="4" w:space="0" w:color="auto"/>
            </w:tcBorders>
            <w:shd w:val="clear" w:color="auto" w:fill="EBF5FF"/>
            <w:vAlign w:val="center"/>
          </w:tcPr>
          <w:p w14:paraId="5A38174D" w14:textId="77777777" w:rsidR="00A63B53" w:rsidRPr="00D4396B" w:rsidRDefault="00A63B53">
            <w:pPr>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34E2BEF6" w14:textId="77777777" w:rsidR="00A63B53" w:rsidRPr="00D4396B" w:rsidRDefault="00A63B53">
            <w:pPr>
              <w:spacing w:after="0"/>
              <w:rPr>
                <w:rFonts w:asciiTheme="majorBidi" w:hAnsiTheme="majorBidi" w:cstheme="majorBidi"/>
                <w:b/>
                <w:bCs/>
                <w:noProof/>
                <w:sz w:val="18"/>
                <w:szCs w:val="18"/>
              </w:rPr>
            </w:pPr>
            <w:r w:rsidRPr="00D4396B">
              <w:rPr>
                <w:rFonts w:asciiTheme="majorBidi" w:hAnsiTheme="majorBidi" w:cstheme="majorBidi"/>
                <w:noProof/>
                <w:sz w:val="18"/>
                <w:szCs w:val="18"/>
              </w:rPr>
              <w:t>#2 Insufficient competences and associated toolset</w:t>
            </w:r>
          </w:p>
        </w:tc>
        <w:tc>
          <w:tcPr>
            <w:tcW w:w="473" w:type="pct"/>
            <w:tcBorders>
              <w:top w:val="single" w:sz="4" w:space="0" w:color="auto"/>
              <w:left w:val="single" w:sz="4" w:space="0" w:color="auto"/>
              <w:bottom w:val="single" w:sz="6" w:space="0" w:color="auto"/>
              <w:right w:val="single" w:sz="4" w:space="0" w:color="auto"/>
            </w:tcBorders>
            <w:shd w:val="clear" w:color="auto" w:fill="E1EEFC"/>
            <w:vAlign w:val="center"/>
          </w:tcPr>
          <w:p w14:paraId="79C4C2F9" w14:textId="69F6D2A8" w:rsidR="00A63B53" w:rsidRPr="00D4396B" w:rsidRDefault="00FF0A09">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A.</w:t>
            </w:r>
            <w:r w:rsidR="00A63B53" w:rsidRPr="00D4396B">
              <w:rPr>
                <w:rFonts w:asciiTheme="majorBidi" w:hAnsiTheme="majorBidi" w:cstheme="majorBidi"/>
                <w:b/>
                <w:bCs/>
                <w:noProof/>
                <w:sz w:val="18"/>
                <w:szCs w:val="18"/>
              </w:rPr>
              <w:t>PO1</w:t>
            </w:r>
          </w:p>
        </w:tc>
        <w:tc>
          <w:tcPr>
            <w:tcW w:w="474" w:type="pct"/>
            <w:tcBorders>
              <w:top w:val="single" w:sz="4" w:space="0" w:color="auto"/>
              <w:left w:val="single" w:sz="4" w:space="0" w:color="auto"/>
              <w:bottom w:val="single" w:sz="6" w:space="0" w:color="auto"/>
              <w:right w:val="single" w:sz="4" w:space="0" w:color="auto"/>
            </w:tcBorders>
            <w:shd w:val="clear" w:color="auto" w:fill="D7E6F8"/>
            <w:vAlign w:val="center"/>
          </w:tcPr>
          <w:p w14:paraId="0C78C1F9" w14:textId="1EF7CDE6" w:rsidR="00A63B53" w:rsidRPr="00D4396B" w:rsidRDefault="00FF0A09">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A.</w:t>
            </w:r>
            <w:r w:rsidR="00A63B53" w:rsidRPr="00D4396B">
              <w:rPr>
                <w:rFonts w:asciiTheme="majorBidi" w:hAnsiTheme="majorBidi" w:cstheme="majorBidi"/>
                <w:b/>
                <w:bCs/>
                <w:noProof/>
                <w:sz w:val="18"/>
                <w:szCs w:val="18"/>
              </w:rPr>
              <w:t>PO2</w:t>
            </w:r>
          </w:p>
        </w:tc>
        <w:tc>
          <w:tcPr>
            <w:tcW w:w="473" w:type="pct"/>
            <w:tcBorders>
              <w:top w:val="single" w:sz="4" w:space="0" w:color="auto"/>
              <w:left w:val="single" w:sz="4" w:space="0" w:color="auto"/>
              <w:bottom w:val="single" w:sz="6" w:space="0" w:color="auto"/>
              <w:right w:val="single" w:sz="6" w:space="0" w:color="000000" w:themeColor="text1"/>
            </w:tcBorders>
            <w:shd w:val="clear" w:color="auto" w:fill="CDDEF4"/>
            <w:vAlign w:val="center"/>
          </w:tcPr>
          <w:p w14:paraId="0FB61625" w14:textId="17F2C24A" w:rsidR="00A63B53" w:rsidRPr="00D4396B" w:rsidRDefault="00FF0A09">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A.</w:t>
            </w:r>
            <w:r w:rsidR="00A63B53" w:rsidRPr="00D4396B">
              <w:rPr>
                <w:rFonts w:asciiTheme="majorBidi" w:hAnsiTheme="majorBidi" w:cstheme="majorBidi"/>
                <w:b/>
                <w:bCs/>
                <w:noProof/>
                <w:sz w:val="18"/>
                <w:szCs w:val="18"/>
              </w:rPr>
              <w:t>PO3</w:t>
            </w:r>
          </w:p>
        </w:tc>
      </w:tr>
      <w:tr w:rsidR="006A3773" w:rsidRPr="00D4396B" w14:paraId="03E0394B" w14:textId="77777777" w:rsidTr="6E834B38">
        <w:trPr>
          <w:jc w:val="center"/>
        </w:trPr>
        <w:tc>
          <w:tcPr>
            <w:tcW w:w="3580" w:type="pct"/>
            <w:tcBorders>
              <w:top w:val="nil"/>
              <w:left w:val="single" w:sz="6" w:space="0" w:color="auto"/>
              <w:bottom w:val="single" w:sz="6" w:space="0" w:color="auto"/>
              <w:right w:val="single" w:sz="6" w:space="0" w:color="auto"/>
            </w:tcBorders>
            <w:vAlign w:val="center"/>
            <w:hideMark/>
          </w:tcPr>
          <w:p w14:paraId="57DA4B45" w14:textId="60EE28C1"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xml:space="preserve"> Enhancing Eurojust’s </w:t>
            </w:r>
            <w:r w:rsidR="75BDEDB6" w:rsidRPr="00D4396B">
              <w:rPr>
                <w:rFonts w:asciiTheme="majorBidi" w:hAnsiTheme="majorBidi" w:cstheme="majorBidi"/>
                <w:noProof/>
                <w:sz w:val="18"/>
                <w:szCs w:val="18"/>
              </w:rPr>
              <w:t>support</w:t>
            </w:r>
            <w:r w:rsidRPr="00D4396B">
              <w:rPr>
                <w:rFonts w:asciiTheme="majorBidi" w:hAnsiTheme="majorBidi" w:cstheme="majorBidi"/>
                <w:noProof/>
                <w:sz w:val="18"/>
                <w:szCs w:val="18"/>
              </w:rPr>
              <w:t xml:space="preserve"> in EU policy-making and strategic cycles – through working arrangements with IBOAs (i.a) or by introducing a dedicated provision in the EJR (i.b)</w:t>
            </w:r>
          </w:p>
        </w:tc>
        <w:tc>
          <w:tcPr>
            <w:tcW w:w="473" w:type="pct"/>
            <w:tcBorders>
              <w:top w:val="nil"/>
              <w:left w:val="nil"/>
              <w:bottom w:val="single" w:sz="6" w:space="0" w:color="auto"/>
              <w:right w:val="single" w:sz="6" w:space="0" w:color="auto"/>
            </w:tcBorders>
            <w:shd w:val="clear" w:color="auto" w:fill="E1EEFC"/>
            <w:vAlign w:val="center"/>
            <w:hideMark/>
          </w:tcPr>
          <w:p w14:paraId="6C867B11"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i.a</w:t>
            </w:r>
          </w:p>
        </w:tc>
        <w:tc>
          <w:tcPr>
            <w:tcW w:w="474" w:type="pct"/>
            <w:tcBorders>
              <w:top w:val="nil"/>
              <w:left w:val="nil"/>
              <w:bottom w:val="single" w:sz="6" w:space="0" w:color="auto"/>
              <w:right w:val="single" w:sz="4" w:space="0" w:color="auto"/>
            </w:tcBorders>
            <w:shd w:val="clear" w:color="auto" w:fill="D7E6F8"/>
            <w:vAlign w:val="center"/>
            <w:hideMark/>
          </w:tcPr>
          <w:p w14:paraId="7E2C35AE"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c>
          <w:tcPr>
            <w:tcW w:w="473" w:type="pct"/>
            <w:tcBorders>
              <w:top w:val="nil"/>
              <w:left w:val="single" w:sz="4" w:space="0" w:color="auto"/>
              <w:bottom w:val="single" w:sz="6" w:space="0" w:color="auto"/>
              <w:right w:val="single" w:sz="6" w:space="0" w:color="auto"/>
            </w:tcBorders>
            <w:shd w:val="clear" w:color="auto" w:fill="CDDEF4"/>
            <w:vAlign w:val="center"/>
            <w:hideMark/>
          </w:tcPr>
          <w:p w14:paraId="011453D1"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r>
      <w:tr w:rsidR="006A3773" w:rsidRPr="00D4396B" w14:paraId="02BAFB7A" w14:textId="77777777" w:rsidTr="6E834B38">
        <w:trPr>
          <w:jc w:val="center"/>
        </w:trPr>
        <w:tc>
          <w:tcPr>
            <w:tcW w:w="3580" w:type="pct"/>
            <w:tcBorders>
              <w:top w:val="nil"/>
              <w:left w:val="single" w:sz="6" w:space="0" w:color="auto"/>
              <w:bottom w:val="single" w:sz="6" w:space="0" w:color="auto"/>
              <w:right w:val="single" w:sz="6" w:space="0" w:color="auto"/>
            </w:tcBorders>
            <w:vAlign w:val="center"/>
            <w:hideMark/>
          </w:tcPr>
          <w:p w14:paraId="4C02A6D9" w14:textId="15022A15"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xml:space="preserve"> Entrusting Eurojust with new operational functions (in the areas of e-evidence, victims’ rights </w:t>
            </w:r>
            <w:r w:rsidR="00C1734C" w:rsidRPr="00D4396B">
              <w:rPr>
                <w:rFonts w:asciiTheme="majorBidi" w:hAnsiTheme="majorBidi" w:cstheme="majorBidi"/>
                <w:noProof/>
                <w:sz w:val="18"/>
                <w:szCs w:val="18"/>
              </w:rPr>
              <w:t>support to asset recovery</w:t>
            </w:r>
            <w:r w:rsidRPr="00D4396B">
              <w:rPr>
                <w:rFonts w:asciiTheme="majorBidi" w:hAnsiTheme="majorBidi" w:cstheme="majorBidi"/>
                <w:noProof/>
                <w:sz w:val="18"/>
                <w:szCs w:val="18"/>
              </w:rPr>
              <w:t>) – through non-binding guidelines (ii.a) or by introducing a dedicated provision in the EJR (ii.b)</w:t>
            </w:r>
          </w:p>
        </w:tc>
        <w:tc>
          <w:tcPr>
            <w:tcW w:w="473" w:type="pct"/>
            <w:tcBorders>
              <w:top w:val="nil"/>
              <w:left w:val="nil"/>
              <w:bottom w:val="single" w:sz="6" w:space="0" w:color="auto"/>
              <w:right w:val="single" w:sz="6" w:space="0" w:color="auto"/>
            </w:tcBorders>
            <w:shd w:val="clear" w:color="auto" w:fill="E1EEFC"/>
            <w:vAlign w:val="center"/>
            <w:hideMark/>
          </w:tcPr>
          <w:p w14:paraId="1CC7A570"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ii.a</w:t>
            </w:r>
          </w:p>
        </w:tc>
        <w:tc>
          <w:tcPr>
            <w:tcW w:w="474" w:type="pct"/>
            <w:tcBorders>
              <w:top w:val="nil"/>
              <w:left w:val="nil"/>
              <w:bottom w:val="single" w:sz="6" w:space="0" w:color="auto"/>
              <w:right w:val="single" w:sz="6" w:space="0" w:color="auto"/>
            </w:tcBorders>
            <w:shd w:val="clear" w:color="auto" w:fill="D7E6F8"/>
            <w:vAlign w:val="center"/>
            <w:hideMark/>
          </w:tcPr>
          <w:p w14:paraId="322282AB"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c>
          <w:tcPr>
            <w:tcW w:w="473" w:type="pct"/>
            <w:tcBorders>
              <w:top w:val="nil"/>
              <w:left w:val="nil"/>
              <w:bottom w:val="single" w:sz="6" w:space="0" w:color="auto"/>
              <w:right w:val="single" w:sz="6" w:space="0" w:color="auto"/>
            </w:tcBorders>
            <w:shd w:val="clear" w:color="auto" w:fill="CDDEF4"/>
            <w:vAlign w:val="center"/>
            <w:hideMark/>
          </w:tcPr>
          <w:p w14:paraId="70FBB0CF"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r>
      <w:tr w:rsidR="006A3773" w:rsidRPr="00D4396B" w14:paraId="4A76FCB7" w14:textId="77777777" w:rsidTr="6E834B38">
        <w:trPr>
          <w:jc w:val="center"/>
        </w:trPr>
        <w:tc>
          <w:tcPr>
            <w:tcW w:w="3580" w:type="pct"/>
            <w:tcBorders>
              <w:top w:val="nil"/>
              <w:left w:val="single" w:sz="6" w:space="0" w:color="auto"/>
              <w:bottom w:val="single" w:sz="6" w:space="0" w:color="auto"/>
              <w:right w:val="single" w:sz="6" w:space="0" w:color="auto"/>
            </w:tcBorders>
            <w:vAlign w:val="center"/>
            <w:hideMark/>
          </w:tcPr>
          <w:p w14:paraId="5A4E179D"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Introducing semi-permanent operational platforms to support JITs – through operational arrangements (iii.a) or by introducing a reference in the EJR (iii.b)</w:t>
            </w:r>
          </w:p>
        </w:tc>
        <w:tc>
          <w:tcPr>
            <w:tcW w:w="473" w:type="pct"/>
            <w:tcBorders>
              <w:top w:val="nil"/>
              <w:left w:val="nil"/>
              <w:bottom w:val="single" w:sz="6" w:space="0" w:color="auto"/>
              <w:right w:val="single" w:sz="6" w:space="0" w:color="auto"/>
            </w:tcBorders>
            <w:shd w:val="clear" w:color="auto" w:fill="E1EEFC"/>
            <w:vAlign w:val="center"/>
            <w:hideMark/>
          </w:tcPr>
          <w:p w14:paraId="00ECC6E5"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iii.a</w:t>
            </w:r>
          </w:p>
        </w:tc>
        <w:tc>
          <w:tcPr>
            <w:tcW w:w="474" w:type="pct"/>
            <w:tcBorders>
              <w:top w:val="nil"/>
              <w:left w:val="nil"/>
              <w:bottom w:val="single" w:sz="6" w:space="0" w:color="auto"/>
              <w:right w:val="single" w:sz="6" w:space="0" w:color="auto"/>
            </w:tcBorders>
            <w:shd w:val="clear" w:color="auto" w:fill="D7E6F8"/>
            <w:vAlign w:val="center"/>
            <w:hideMark/>
          </w:tcPr>
          <w:p w14:paraId="1696F60B"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iii.b</w:t>
            </w:r>
          </w:p>
        </w:tc>
        <w:tc>
          <w:tcPr>
            <w:tcW w:w="473" w:type="pct"/>
            <w:tcBorders>
              <w:top w:val="nil"/>
              <w:left w:val="nil"/>
              <w:bottom w:val="single" w:sz="6" w:space="0" w:color="auto"/>
              <w:right w:val="single" w:sz="6" w:space="0" w:color="auto"/>
            </w:tcBorders>
            <w:shd w:val="clear" w:color="auto" w:fill="CDDEF4"/>
            <w:vAlign w:val="center"/>
            <w:hideMark/>
          </w:tcPr>
          <w:p w14:paraId="3869B5FA"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iii.b</w:t>
            </w:r>
          </w:p>
        </w:tc>
      </w:tr>
      <w:tr w:rsidR="006A3773" w:rsidRPr="00D4396B" w14:paraId="1976F26E" w14:textId="77777777" w:rsidTr="6E834B38">
        <w:trPr>
          <w:jc w:val="center"/>
        </w:trPr>
        <w:tc>
          <w:tcPr>
            <w:tcW w:w="3580" w:type="pct"/>
            <w:tcBorders>
              <w:top w:val="nil"/>
              <w:left w:val="single" w:sz="6" w:space="0" w:color="auto"/>
              <w:bottom w:val="single" w:sz="6" w:space="0" w:color="auto"/>
              <w:right w:val="single" w:sz="6" w:space="0" w:color="auto"/>
            </w:tcBorders>
            <w:vAlign w:val="center"/>
            <w:hideMark/>
          </w:tcPr>
          <w:p w14:paraId="51C9E62D" w14:textId="6DCE0FCD"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iv.</w:t>
            </w:r>
            <w:r w:rsidRPr="00D4396B">
              <w:rPr>
                <w:rFonts w:asciiTheme="majorBidi" w:hAnsiTheme="majorBidi" w:cstheme="majorBidi"/>
                <w:noProof/>
                <w:sz w:val="18"/>
                <w:szCs w:val="18"/>
              </w:rPr>
              <w:t xml:space="preserve"> Extending Eurojust’s material competence to new crimes (VURM, cybercrime, GBV)</w:t>
            </w:r>
          </w:p>
        </w:tc>
        <w:tc>
          <w:tcPr>
            <w:tcW w:w="473" w:type="pct"/>
            <w:tcBorders>
              <w:top w:val="nil"/>
              <w:left w:val="nil"/>
              <w:bottom w:val="single" w:sz="6" w:space="0" w:color="auto"/>
              <w:right w:val="single" w:sz="6" w:space="0" w:color="auto"/>
            </w:tcBorders>
            <w:shd w:val="clear" w:color="auto" w:fill="E1EEFC"/>
            <w:vAlign w:val="center"/>
            <w:hideMark/>
          </w:tcPr>
          <w:p w14:paraId="49902330"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474" w:type="pct"/>
            <w:tcBorders>
              <w:top w:val="nil"/>
              <w:left w:val="nil"/>
              <w:bottom w:val="single" w:sz="6" w:space="0" w:color="auto"/>
              <w:right w:val="single" w:sz="6" w:space="0" w:color="auto"/>
            </w:tcBorders>
            <w:shd w:val="clear" w:color="auto" w:fill="D7E6F8"/>
            <w:vAlign w:val="center"/>
            <w:hideMark/>
          </w:tcPr>
          <w:p w14:paraId="39A2D648"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c>
          <w:tcPr>
            <w:tcW w:w="473" w:type="pct"/>
            <w:tcBorders>
              <w:top w:val="nil"/>
              <w:left w:val="nil"/>
              <w:bottom w:val="single" w:sz="6" w:space="0" w:color="auto"/>
              <w:right w:val="single" w:sz="6" w:space="0" w:color="auto"/>
            </w:tcBorders>
            <w:shd w:val="clear" w:color="auto" w:fill="CDDEF4"/>
            <w:vAlign w:val="center"/>
            <w:hideMark/>
          </w:tcPr>
          <w:p w14:paraId="37036CF0"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r>
      <w:tr w:rsidR="006A3773" w:rsidRPr="00D4396B" w14:paraId="1D89D8FF" w14:textId="77777777" w:rsidTr="6E834B38">
        <w:trPr>
          <w:jc w:val="center"/>
        </w:trPr>
        <w:tc>
          <w:tcPr>
            <w:tcW w:w="3580" w:type="pct"/>
            <w:tcBorders>
              <w:top w:val="nil"/>
              <w:left w:val="single" w:sz="6" w:space="0" w:color="auto"/>
              <w:bottom w:val="single" w:sz="6" w:space="0" w:color="auto"/>
              <w:right w:val="single" w:sz="4" w:space="0" w:color="auto"/>
            </w:tcBorders>
            <w:vAlign w:val="center"/>
            <w:hideMark/>
          </w:tcPr>
          <w:p w14:paraId="033F2521"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v.</w:t>
            </w:r>
            <w:r w:rsidRPr="00D4396B">
              <w:rPr>
                <w:rFonts w:asciiTheme="majorBidi" w:hAnsiTheme="majorBidi" w:cstheme="majorBidi"/>
                <w:noProof/>
                <w:sz w:val="18"/>
                <w:szCs w:val="18"/>
              </w:rPr>
              <w:t> Expanding Eurojust’s analytical function to key crime areas (organised crime and accessory crimes)</w:t>
            </w:r>
          </w:p>
        </w:tc>
        <w:tc>
          <w:tcPr>
            <w:tcW w:w="473" w:type="pct"/>
            <w:tcBorders>
              <w:top w:val="nil"/>
              <w:left w:val="single" w:sz="4" w:space="0" w:color="auto"/>
              <w:bottom w:val="single" w:sz="6" w:space="0" w:color="auto"/>
              <w:right w:val="single" w:sz="4" w:space="0" w:color="auto"/>
            </w:tcBorders>
            <w:shd w:val="clear" w:color="auto" w:fill="E1EEFC"/>
            <w:vAlign w:val="center"/>
            <w:hideMark/>
          </w:tcPr>
          <w:p w14:paraId="28801B30" w14:textId="77777777" w:rsidR="00A63B53" w:rsidRPr="00D4396B" w:rsidRDefault="00A63B53">
            <w:pPr>
              <w:spacing w:after="0"/>
              <w:jc w:val="center"/>
              <w:rPr>
                <w:rFonts w:asciiTheme="majorBidi" w:hAnsiTheme="majorBidi" w:cstheme="majorBidi"/>
                <w:noProof/>
                <w:sz w:val="18"/>
                <w:szCs w:val="18"/>
              </w:rPr>
            </w:pPr>
          </w:p>
        </w:tc>
        <w:tc>
          <w:tcPr>
            <w:tcW w:w="474" w:type="pct"/>
            <w:tcBorders>
              <w:top w:val="nil"/>
              <w:left w:val="single" w:sz="4" w:space="0" w:color="auto"/>
              <w:bottom w:val="single" w:sz="6" w:space="0" w:color="auto"/>
              <w:right w:val="single" w:sz="4" w:space="0" w:color="auto"/>
            </w:tcBorders>
            <w:shd w:val="clear" w:color="auto" w:fill="D7E6F8"/>
            <w:vAlign w:val="center"/>
            <w:hideMark/>
          </w:tcPr>
          <w:p w14:paraId="559FBCC2"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473" w:type="pct"/>
            <w:tcBorders>
              <w:top w:val="nil"/>
              <w:left w:val="single" w:sz="4" w:space="0" w:color="auto"/>
              <w:bottom w:val="single" w:sz="6" w:space="0" w:color="auto"/>
              <w:right w:val="single" w:sz="6" w:space="0" w:color="auto"/>
            </w:tcBorders>
            <w:shd w:val="clear" w:color="auto" w:fill="CDDEF4"/>
            <w:vAlign w:val="center"/>
            <w:hideMark/>
          </w:tcPr>
          <w:p w14:paraId="6C19316B"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v</w:t>
            </w:r>
          </w:p>
        </w:tc>
      </w:tr>
      <w:tr w:rsidR="00A63B53" w:rsidRPr="00D4396B" w14:paraId="2E068A45" w14:textId="77777777" w:rsidTr="6E834B38">
        <w:trPr>
          <w:jc w:val="center"/>
        </w:trPr>
        <w:tc>
          <w:tcPr>
            <w:tcW w:w="5000" w:type="pct"/>
            <w:gridSpan w:val="4"/>
            <w:tcBorders>
              <w:top w:val="single" w:sz="6" w:space="0" w:color="auto"/>
              <w:left w:val="single" w:sz="6" w:space="0" w:color="auto"/>
              <w:bottom w:val="nil"/>
              <w:right w:val="single" w:sz="6" w:space="0" w:color="000000" w:themeColor="text1"/>
            </w:tcBorders>
            <w:shd w:val="clear" w:color="auto" w:fill="EEFAEE"/>
            <w:vAlign w:val="center"/>
            <w:hideMark/>
          </w:tcPr>
          <w:p w14:paraId="4C5683AE" w14:textId="332B6E4E" w:rsidR="00A63B53" w:rsidRPr="00D4396B" w:rsidRDefault="00A63B53">
            <w:pPr>
              <w:spacing w:after="0"/>
              <w:jc w:val="center"/>
              <w:rPr>
                <w:rFonts w:asciiTheme="majorBidi" w:hAnsiTheme="majorBidi" w:cstheme="majorBidi"/>
                <w:b/>
                <w:bCs/>
                <w:noProof/>
                <w:sz w:val="18"/>
                <w:szCs w:val="18"/>
              </w:rPr>
            </w:pPr>
            <w:bookmarkStart w:id="147" w:name="_Hlk224049608"/>
            <w:bookmarkEnd w:id="146"/>
            <w:r w:rsidRPr="00D4396B">
              <w:rPr>
                <w:rFonts w:asciiTheme="majorBidi" w:hAnsiTheme="majorBidi" w:cstheme="majorBidi"/>
                <w:b/>
                <w:bCs/>
                <w:noProof/>
                <w:sz w:val="18"/>
                <w:szCs w:val="18"/>
              </w:rPr>
              <w:t>B. Harmoni</w:t>
            </w:r>
            <w:r w:rsidR="00C8123F">
              <w:rPr>
                <w:rFonts w:asciiTheme="majorBidi" w:hAnsiTheme="majorBidi" w:cstheme="majorBidi"/>
                <w:b/>
                <w:bCs/>
                <w:noProof/>
                <w:sz w:val="18"/>
                <w:szCs w:val="18"/>
              </w:rPr>
              <w:t>s</w:t>
            </w:r>
            <w:r w:rsidRPr="00D4396B">
              <w:rPr>
                <w:rFonts w:asciiTheme="majorBidi" w:hAnsiTheme="majorBidi" w:cstheme="majorBidi"/>
                <w:b/>
                <w:bCs/>
                <w:noProof/>
                <w:sz w:val="18"/>
                <w:szCs w:val="18"/>
              </w:rPr>
              <w:t>ing Member State implementation of the EJR, including on allocation of cases</w:t>
            </w:r>
            <w:bookmarkEnd w:id="147"/>
          </w:p>
        </w:tc>
      </w:tr>
      <w:tr w:rsidR="006A3773" w:rsidRPr="00D4396B" w14:paraId="14CE1618" w14:textId="77777777" w:rsidTr="6E834B38">
        <w:trPr>
          <w:jc w:val="center"/>
        </w:trPr>
        <w:tc>
          <w:tcPr>
            <w:tcW w:w="3580" w:type="pct"/>
            <w:tcBorders>
              <w:top w:val="nil"/>
              <w:left w:val="single" w:sz="6" w:space="0" w:color="auto"/>
              <w:bottom w:val="single" w:sz="6" w:space="0" w:color="auto"/>
              <w:right w:val="single" w:sz="4" w:space="0" w:color="auto"/>
            </w:tcBorders>
            <w:shd w:val="clear" w:color="auto" w:fill="EEFAEE"/>
            <w:vAlign w:val="center"/>
          </w:tcPr>
          <w:p w14:paraId="4BF34DA9" w14:textId="77777777" w:rsidR="00A63B53" w:rsidRPr="00D4396B" w:rsidRDefault="00A63B53">
            <w:pPr>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4FF72901"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rPr>
              <w:t>#1 Inadequate model to select and prioritise cases;</w:t>
            </w:r>
          </w:p>
          <w:p w14:paraId="57ECF8AF" w14:textId="77777777" w:rsidR="00A63B53" w:rsidRPr="00D4396B" w:rsidRDefault="00A63B53">
            <w:pPr>
              <w:spacing w:after="0"/>
              <w:rPr>
                <w:rFonts w:asciiTheme="majorBidi" w:hAnsiTheme="majorBidi" w:cstheme="majorBidi"/>
                <w:b/>
                <w:bCs/>
                <w:noProof/>
                <w:sz w:val="18"/>
                <w:szCs w:val="18"/>
              </w:rPr>
            </w:pPr>
            <w:r w:rsidRPr="00D4396B">
              <w:rPr>
                <w:rFonts w:asciiTheme="majorBidi" w:hAnsiTheme="majorBidi" w:cstheme="majorBidi"/>
                <w:noProof/>
                <w:sz w:val="18"/>
                <w:szCs w:val="18"/>
              </w:rPr>
              <w:t>#3 Divergent Member State engagement and implementation of the EJR</w:t>
            </w:r>
          </w:p>
        </w:tc>
        <w:tc>
          <w:tcPr>
            <w:tcW w:w="473" w:type="pct"/>
            <w:tcBorders>
              <w:top w:val="single" w:sz="4" w:space="0" w:color="auto"/>
              <w:left w:val="single" w:sz="4" w:space="0" w:color="auto"/>
              <w:bottom w:val="single" w:sz="6" w:space="0" w:color="auto"/>
              <w:right w:val="single" w:sz="4" w:space="0" w:color="auto"/>
            </w:tcBorders>
            <w:shd w:val="clear" w:color="auto" w:fill="E4F5E4"/>
            <w:vAlign w:val="center"/>
          </w:tcPr>
          <w:p w14:paraId="390D2BF0" w14:textId="22CA987B" w:rsidR="00A63B53" w:rsidRPr="00D4396B" w:rsidRDefault="00FF0A09">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B.</w:t>
            </w:r>
            <w:r w:rsidR="00A63B53" w:rsidRPr="00D4396B">
              <w:rPr>
                <w:rFonts w:asciiTheme="majorBidi" w:hAnsiTheme="majorBidi" w:cstheme="majorBidi"/>
                <w:b/>
                <w:bCs/>
                <w:noProof/>
                <w:sz w:val="18"/>
                <w:szCs w:val="18"/>
              </w:rPr>
              <w:t>PO1</w:t>
            </w:r>
          </w:p>
        </w:tc>
        <w:tc>
          <w:tcPr>
            <w:tcW w:w="474" w:type="pct"/>
            <w:tcBorders>
              <w:top w:val="single" w:sz="4" w:space="0" w:color="auto"/>
              <w:left w:val="single" w:sz="4" w:space="0" w:color="auto"/>
              <w:bottom w:val="single" w:sz="6" w:space="0" w:color="auto"/>
              <w:right w:val="single" w:sz="4" w:space="0" w:color="auto"/>
            </w:tcBorders>
            <w:shd w:val="clear" w:color="auto" w:fill="DAEEDA"/>
            <w:vAlign w:val="center"/>
          </w:tcPr>
          <w:p w14:paraId="495B7246" w14:textId="37482370" w:rsidR="00A63B53" w:rsidRPr="00D4396B" w:rsidRDefault="00FF0A09">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B.</w:t>
            </w:r>
            <w:r w:rsidR="00A63B53" w:rsidRPr="00D4396B">
              <w:rPr>
                <w:rFonts w:asciiTheme="majorBidi" w:hAnsiTheme="majorBidi" w:cstheme="majorBidi"/>
                <w:b/>
                <w:bCs/>
                <w:noProof/>
                <w:sz w:val="18"/>
                <w:szCs w:val="18"/>
              </w:rPr>
              <w:t>PO2</w:t>
            </w:r>
          </w:p>
        </w:tc>
        <w:tc>
          <w:tcPr>
            <w:tcW w:w="473" w:type="pct"/>
            <w:tcBorders>
              <w:top w:val="single" w:sz="4" w:space="0" w:color="auto"/>
              <w:left w:val="single" w:sz="4" w:space="0" w:color="auto"/>
              <w:bottom w:val="single" w:sz="6" w:space="0" w:color="auto"/>
              <w:right w:val="single" w:sz="6" w:space="0" w:color="000000" w:themeColor="text1"/>
            </w:tcBorders>
            <w:shd w:val="clear" w:color="auto" w:fill="D0E6D0"/>
            <w:vAlign w:val="center"/>
          </w:tcPr>
          <w:p w14:paraId="543BCA56" w14:textId="6CA62AC6" w:rsidR="00A63B53" w:rsidRPr="00D4396B" w:rsidRDefault="00FF0A09">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B.</w:t>
            </w:r>
            <w:r w:rsidR="00A63B53" w:rsidRPr="00D4396B">
              <w:rPr>
                <w:rFonts w:asciiTheme="majorBidi" w:hAnsiTheme="majorBidi" w:cstheme="majorBidi"/>
                <w:b/>
                <w:bCs/>
                <w:noProof/>
                <w:sz w:val="18"/>
                <w:szCs w:val="18"/>
              </w:rPr>
              <w:t>PO3</w:t>
            </w:r>
          </w:p>
        </w:tc>
      </w:tr>
      <w:tr w:rsidR="006A3773" w:rsidRPr="00D4396B" w14:paraId="0458CAAD" w14:textId="77777777" w:rsidTr="6E834B38">
        <w:trPr>
          <w:jc w:val="center"/>
        </w:trPr>
        <w:tc>
          <w:tcPr>
            <w:tcW w:w="3580" w:type="pct"/>
            <w:tcBorders>
              <w:top w:val="nil"/>
              <w:left w:val="single" w:sz="6" w:space="0" w:color="auto"/>
              <w:bottom w:val="single" w:sz="4" w:space="0" w:color="auto"/>
              <w:right w:val="single" w:sz="4" w:space="0" w:color="auto"/>
            </w:tcBorders>
            <w:vAlign w:val="center"/>
            <w:hideMark/>
          </w:tcPr>
          <w:p w14:paraId="413249D2"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Introduce a Eurojust-EJN case-allocation system – through non-binding guidelines (i.a) or by introducing a EJR provision defining a ‘Eurojust case’ (i.b)</w:t>
            </w:r>
          </w:p>
        </w:tc>
        <w:tc>
          <w:tcPr>
            <w:tcW w:w="473" w:type="pct"/>
            <w:tcBorders>
              <w:top w:val="nil"/>
              <w:left w:val="single" w:sz="4" w:space="0" w:color="auto"/>
              <w:bottom w:val="single" w:sz="6" w:space="0" w:color="auto"/>
              <w:right w:val="single" w:sz="6" w:space="0" w:color="auto"/>
            </w:tcBorders>
            <w:shd w:val="clear" w:color="auto" w:fill="E4F5E4"/>
            <w:vAlign w:val="center"/>
            <w:hideMark/>
          </w:tcPr>
          <w:p w14:paraId="4146D27C"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i.a</w:t>
            </w:r>
          </w:p>
        </w:tc>
        <w:tc>
          <w:tcPr>
            <w:tcW w:w="474" w:type="pct"/>
            <w:tcBorders>
              <w:top w:val="nil"/>
              <w:left w:val="nil"/>
              <w:bottom w:val="single" w:sz="6" w:space="0" w:color="auto"/>
              <w:right w:val="single" w:sz="6" w:space="0" w:color="auto"/>
            </w:tcBorders>
            <w:shd w:val="clear" w:color="auto" w:fill="DAEEDA"/>
            <w:vAlign w:val="center"/>
            <w:hideMark/>
          </w:tcPr>
          <w:p w14:paraId="5505A6AD"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c>
          <w:tcPr>
            <w:tcW w:w="473" w:type="pct"/>
            <w:tcBorders>
              <w:top w:val="nil"/>
              <w:left w:val="nil"/>
              <w:bottom w:val="single" w:sz="6" w:space="0" w:color="auto"/>
              <w:right w:val="single" w:sz="6" w:space="0" w:color="auto"/>
            </w:tcBorders>
            <w:shd w:val="clear" w:color="auto" w:fill="D0E6D0"/>
            <w:vAlign w:val="center"/>
            <w:hideMark/>
          </w:tcPr>
          <w:p w14:paraId="54D82D90"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r>
      <w:tr w:rsidR="006A3773" w:rsidRPr="00D4396B" w14:paraId="241540B7" w14:textId="77777777" w:rsidTr="6E834B38">
        <w:trPr>
          <w:jc w:val="center"/>
        </w:trPr>
        <w:tc>
          <w:tcPr>
            <w:tcW w:w="3580" w:type="pct"/>
            <w:tcBorders>
              <w:top w:val="nil"/>
              <w:left w:val="single" w:sz="6" w:space="0" w:color="auto"/>
              <w:bottom w:val="single" w:sz="4" w:space="0" w:color="auto"/>
              <w:right w:val="single" w:sz="6" w:space="0" w:color="auto"/>
            </w:tcBorders>
            <w:vAlign w:val="center"/>
          </w:tcPr>
          <w:p w14:paraId="5D640EC3" w14:textId="7F80AE63" w:rsidR="00A63B53" w:rsidRPr="00D4396B" w:rsidRDefault="001462DF" w:rsidP="6E834B38">
            <w:pPr>
              <w:spacing w:after="0"/>
              <w:rPr>
                <w:rFonts w:asciiTheme="majorBidi" w:hAnsiTheme="majorBidi" w:cstheme="majorBidi"/>
                <w:noProof/>
                <w:sz w:val="18"/>
                <w:szCs w:val="18"/>
              </w:rPr>
            </w:pPr>
            <w:r w:rsidRPr="6E834B38">
              <w:rPr>
                <w:rFonts w:asciiTheme="majorBidi" w:hAnsiTheme="majorBidi" w:cstheme="majorBidi"/>
                <w:noProof/>
                <w:sz w:val="18"/>
                <w:szCs w:val="18"/>
                <w:u w:val="single"/>
              </w:rPr>
              <w:t>i</w:t>
            </w:r>
            <w:r w:rsidR="00A63B53" w:rsidRPr="6E834B38">
              <w:rPr>
                <w:rFonts w:asciiTheme="majorBidi" w:hAnsiTheme="majorBidi" w:cstheme="majorBidi"/>
                <w:noProof/>
                <w:sz w:val="18"/>
                <w:szCs w:val="18"/>
                <w:u w:val="single"/>
              </w:rPr>
              <w:t>i.</w:t>
            </w:r>
            <w:r w:rsidR="00A63B53" w:rsidRPr="6E834B38">
              <w:rPr>
                <w:rFonts w:asciiTheme="majorBidi" w:hAnsiTheme="majorBidi" w:cstheme="majorBidi"/>
                <w:noProof/>
                <w:sz w:val="18"/>
                <w:szCs w:val="18"/>
              </w:rPr>
              <w:t> Re</w:t>
            </w:r>
            <w:r w:rsidR="11AB07BA" w:rsidRPr="6E834B38">
              <w:rPr>
                <w:rFonts w:asciiTheme="majorBidi" w:hAnsiTheme="majorBidi" w:cstheme="majorBidi"/>
                <w:noProof/>
                <w:sz w:val="18"/>
                <w:szCs w:val="18"/>
              </w:rPr>
              <w:t xml:space="preserve">inforce </w:t>
            </w:r>
            <w:r w:rsidR="1A62F35F" w:rsidRPr="6E834B38">
              <w:rPr>
                <w:rFonts w:asciiTheme="majorBidi" w:hAnsiTheme="majorBidi" w:cstheme="majorBidi"/>
                <w:noProof/>
                <w:sz w:val="18"/>
                <w:szCs w:val="18"/>
              </w:rPr>
              <w:t xml:space="preserve">the status of </w:t>
            </w:r>
            <w:r w:rsidR="00A63B53" w:rsidRPr="6E834B38">
              <w:rPr>
                <w:rFonts w:asciiTheme="majorBidi" w:hAnsiTheme="majorBidi" w:cstheme="majorBidi"/>
                <w:noProof/>
                <w:sz w:val="18"/>
                <w:szCs w:val="18"/>
              </w:rPr>
              <w:t xml:space="preserve">National Members </w:t>
            </w:r>
            <w:r w:rsidR="5AFDB50C" w:rsidRPr="6E834B38">
              <w:rPr>
                <w:rFonts w:asciiTheme="majorBidi" w:hAnsiTheme="majorBidi" w:cstheme="majorBidi"/>
                <w:noProof/>
                <w:sz w:val="18"/>
                <w:szCs w:val="18"/>
              </w:rPr>
              <w:t xml:space="preserve">to give </w:t>
            </w:r>
            <w:r w:rsidR="5AE8934B" w:rsidRPr="6E834B38">
              <w:rPr>
                <w:rFonts w:asciiTheme="majorBidi" w:hAnsiTheme="majorBidi" w:cstheme="majorBidi"/>
                <w:noProof/>
                <w:sz w:val="18"/>
                <w:szCs w:val="18"/>
              </w:rPr>
              <w:t>them</w:t>
            </w:r>
            <w:r w:rsidR="00A63B53" w:rsidRPr="6E834B38">
              <w:rPr>
                <w:rFonts w:asciiTheme="majorBidi" w:hAnsiTheme="majorBidi" w:cstheme="majorBidi"/>
                <w:noProof/>
                <w:sz w:val="18"/>
                <w:szCs w:val="18"/>
              </w:rPr>
              <w:t xml:space="preserve"> full operational powers – through advocacy and political push (ii.a) or by amending the relevant EJR provisions (ii.b)</w:t>
            </w:r>
          </w:p>
        </w:tc>
        <w:tc>
          <w:tcPr>
            <w:tcW w:w="473" w:type="pct"/>
            <w:tcBorders>
              <w:top w:val="nil"/>
              <w:left w:val="single" w:sz="6" w:space="0" w:color="auto"/>
              <w:bottom w:val="single" w:sz="6" w:space="0" w:color="auto"/>
              <w:right w:val="single" w:sz="6" w:space="0" w:color="auto"/>
            </w:tcBorders>
            <w:shd w:val="clear" w:color="auto" w:fill="E4F5E4"/>
            <w:vAlign w:val="center"/>
          </w:tcPr>
          <w:p w14:paraId="6297265B"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ii.a</w:t>
            </w:r>
          </w:p>
        </w:tc>
        <w:tc>
          <w:tcPr>
            <w:tcW w:w="474" w:type="pct"/>
            <w:tcBorders>
              <w:top w:val="nil"/>
              <w:left w:val="nil"/>
              <w:bottom w:val="single" w:sz="6" w:space="0" w:color="auto"/>
              <w:right w:val="single" w:sz="6" w:space="0" w:color="auto"/>
            </w:tcBorders>
            <w:shd w:val="clear" w:color="auto" w:fill="DAEEDA"/>
            <w:vAlign w:val="center"/>
          </w:tcPr>
          <w:p w14:paraId="5BA750E4"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c>
          <w:tcPr>
            <w:tcW w:w="473" w:type="pct"/>
            <w:tcBorders>
              <w:top w:val="nil"/>
              <w:left w:val="nil"/>
              <w:bottom w:val="single" w:sz="6" w:space="0" w:color="auto"/>
              <w:right w:val="single" w:sz="6" w:space="0" w:color="auto"/>
            </w:tcBorders>
            <w:shd w:val="clear" w:color="auto" w:fill="D0E6D0"/>
            <w:vAlign w:val="center"/>
          </w:tcPr>
          <w:p w14:paraId="3CD720E2"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r>
      <w:tr w:rsidR="006A3773" w:rsidRPr="00D4396B" w14:paraId="3CAC561F" w14:textId="77777777" w:rsidTr="6E834B38">
        <w:trPr>
          <w:jc w:val="center"/>
        </w:trPr>
        <w:tc>
          <w:tcPr>
            <w:tcW w:w="3580" w:type="pct"/>
            <w:tcBorders>
              <w:top w:val="nil"/>
              <w:left w:val="single" w:sz="6" w:space="0" w:color="auto"/>
              <w:bottom w:val="single" w:sz="6" w:space="0" w:color="auto"/>
              <w:right w:val="single" w:sz="6" w:space="0" w:color="auto"/>
            </w:tcBorders>
            <w:vAlign w:val="center"/>
          </w:tcPr>
          <w:p w14:paraId="5E607250" w14:textId="0E84D8FB" w:rsidR="00A63B53" w:rsidRPr="00D4396B" w:rsidRDefault="7CC4898A" w:rsidP="522EFC56">
            <w:pPr>
              <w:spacing w:after="0"/>
              <w:rPr>
                <w:rFonts w:asciiTheme="majorBidi" w:hAnsiTheme="majorBidi" w:cstheme="majorBidi"/>
                <w:noProof/>
                <w:sz w:val="18"/>
                <w:szCs w:val="18"/>
              </w:rPr>
            </w:pPr>
            <w:r w:rsidRPr="522EFC56">
              <w:rPr>
                <w:rFonts w:asciiTheme="majorBidi" w:hAnsiTheme="majorBidi" w:cstheme="majorBidi"/>
                <w:noProof/>
                <w:sz w:val="18"/>
                <w:szCs w:val="18"/>
                <w:u w:val="single"/>
              </w:rPr>
              <w:t>iii.</w:t>
            </w:r>
            <w:r w:rsidRPr="522EFC56">
              <w:rPr>
                <w:rFonts w:asciiTheme="majorBidi" w:hAnsiTheme="majorBidi" w:cstheme="majorBidi"/>
                <w:noProof/>
                <w:sz w:val="18"/>
                <w:szCs w:val="18"/>
              </w:rPr>
              <w:t xml:space="preserve"> Entrusting National Members with new </w:t>
            </w:r>
            <w:r w:rsidR="70F9981B" w:rsidRPr="522EFC56">
              <w:rPr>
                <w:rFonts w:asciiTheme="majorBidi" w:hAnsiTheme="majorBidi" w:cstheme="majorBidi"/>
                <w:noProof/>
                <w:sz w:val="18"/>
                <w:szCs w:val="18"/>
              </w:rPr>
              <w:t xml:space="preserve">competences </w:t>
            </w:r>
            <w:r w:rsidRPr="522EFC56">
              <w:rPr>
                <w:rFonts w:asciiTheme="majorBidi" w:hAnsiTheme="majorBidi" w:cstheme="majorBidi"/>
                <w:noProof/>
                <w:sz w:val="18"/>
                <w:szCs w:val="18"/>
              </w:rPr>
              <w:t>(subject to their attributions under national law): issuing freezing orders</w:t>
            </w:r>
            <w:r w:rsidR="6CA5225A" w:rsidRPr="522EFC56">
              <w:rPr>
                <w:rFonts w:asciiTheme="majorBidi" w:hAnsiTheme="majorBidi" w:cstheme="majorBidi"/>
                <w:noProof/>
                <w:sz w:val="18"/>
                <w:szCs w:val="18"/>
              </w:rPr>
              <w:t xml:space="preserve"> (or immediate action)</w:t>
            </w:r>
            <w:r w:rsidRPr="522EFC56">
              <w:rPr>
                <w:rFonts w:asciiTheme="majorBidi" w:hAnsiTheme="majorBidi" w:cstheme="majorBidi"/>
                <w:noProof/>
                <w:sz w:val="18"/>
                <w:szCs w:val="18"/>
              </w:rPr>
              <w:t>, European Production and Preservation Orders (e-evidence), and signing JIT agreements</w:t>
            </w:r>
          </w:p>
        </w:tc>
        <w:tc>
          <w:tcPr>
            <w:tcW w:w="473" w:type="pct"/>
            <w:tcBorders>
              <w:top w:val="nil"/>
              <w:left w:val="single" w:sz="6" w:space="0" w:color="auto"/>
              <w:bottom w:val="single" w:sz="6" w:space="0" w:color="auto"/>
              <w:right w:val="single" w:sz="6" w:space="0" w:color="auto"/>
            </w:tcBorders>
            <w:shd w:val="clear" w:color="auto" w:fill="E4F5E4"/>
            <w:vAlign w:val="center"/>
          </w:tcPr>
          <w:p w14:paraId="350E4BFE" w14:textId="77777777" w:rsidR="00A63B53" w:rsidRPr="00D4396B" w:rsidRDefault="00A63B53">
            <w:pPr>
              <w:spacing w:after="0"/>
              <w:jc w:val="center"/>
              <w:rPr>
                <w:rFonts w:asciiTheme="majorBidi" w:hAnsiTheme="majorBidi" w:cstheme="majorBidi"/>
                <w:noProof/>
                <w:sz w:val="18"/>
                <w:szCs w:val="18"/>
              </w:rPr>
            </w:pPr>
          </w:p>
        </w:tc>
        <w:tc>
          <w:tcPr>
            <w:tcW w:w="474" w:type="pct"/>
            <w:tcBorders>
              <w:top w:val="nil"/>
              <w:left w:val="nil"/>
              <w:bottom w:val="single" w:sz="6" w:space="0" w:color="auto"/>
              <w:right w:val="single" w:sz="6" w:space="0" w:color="auto"/>
            </w:tcBorders>
            <w:shd w:val="clear" w:color="auto" w:fill="DAEEDA"/>
            <w:vAlign w:val="center"/>
          </w:tcPr>
          <w:p w14:paraId="00861C74"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c>
          <w:tcPr>
            <w:tcW w:w="473" w:type="pct"/>
            <w:tcBorders>
              <w:top w:val="nil"/>
              <w:left w:val="nil"/>
              <w:bottom w:val="single" w:sz="6" w:space="0" w:color="auto"/>
              <w:right w:val="single" w:sz="6" w:space="0" w:color="auto"/>
            </w:tcBorders>
            <w:shd w:val="clear" w:color="auto" w:fill="D0E6D0"/>
            <w:vAlign w:val="center"/>
          </w:tcPr>
          <w:p w14:paraId="33FE4510"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r>
      <w:tr w:rsidR="006A3773" w:rsidRPr="00D4396B" w14:paraId="2CDFA307" w14:textId="77777777" w:rsidTr="6E834B38">
        <w:trPr>
          <w:jc w:val="center"/>
        </w:trPr>
        <w:tc>
          <w:tcPr>
            <w:tcW w:w="3580" w:type="pct"/>
            <w:tcBorders>
              <w:top w:val="nil"/>
              <w:left w:val="single" w:sz="6" w:space="0" w:color="auto"/>
              <w:bottom w:val="single" w:sz="6" w:space="0" w:color="auto"/>
              <w:right w:val="single" w:sz="4" w:space="0" w:color="auto"/>
            </w:tcBorders>
            <w:vAlign w:val="center"/>
            <w:hideMark/>
          </w:tcPr>
          <w:p w14:paraId="3A70CA67" w14:textId="39FD7692" w:rsidR="00A63B53" w:rsidRPr="00D4396B" w:rsidRDefault="00A63B53" w:rsidP="6E834B38">
            <w:pPr>
              <w:spacing w:after="0"/>
              <w:rPr>
                <w:rFonts w:asciiTheme="majorBidi" w:hAnsiTheme="majorBidi" w:cstheme="majorBidi"/>
                <w:noProof/>
                <w:sz w:val="18"/>
                <w:szCs w:val="18"/>
              </w:rPr>
            </w:pPr>
            <w:r w:rsidRPr="6E834B38">
              <w:rPr>
                <w:rFonts w:asciiTheme="majorBidi" w:hAnsiTheme="majorBidi" w:cstheme="majorBidi"/>
                <w:noProof/>
                <w:sz w:val="18"/>
                <w:szCs w:val="18"/>
                <w:u w:val="single"/>
              </w:rPr>
              <w:t>iv.</w:t>
            </w:r>
            <w:r w:rsidRPr="6E834B38">
              <w:rPr>
                <w:rFonts w:asciiTheme="majorBidi" w:hAnsiTheme="majorBidi" w:cstheme="majorBidi"/>
                <w:noProof/>
                <w:sz w:val="18"/>
                <w:szCs w:val="18"/>
              </w:rPr>
              <w:t xml:space="preserve"> Grant National Members the authority to open</w:t>
            </w:r>
            <w:r w:rsidR="597EA4F1" w:rsidRPr="6E834B38">
              <w:rPr>
                <w:rFonts w:asciiTheme="majorBidi" w:hAnsiTheme="majorBidi" w:cstheme="majorBidi"/>
                <w:noProof/>
                <w:sz w:val="18"/>
                <w:szCs w:val="18"/>
              </w:rPr>
              <w:t xml:space="preserve"> Eurojust</w:t>
            </w:r>
            <w:r w:rsidRPr="6E834B38">
              <w:rPr>
                <w:rFonts w:asciiTheme="majorBidi" w:hAnsiTheme="majorBidi" w:cstheme="majorBidi"/>
                <w:noProof/>
                <w:sz w:val="18"/>
                <w:szCs w:val="18"/>
              </w:rPr>
              <w:t xml:space="preserve"> cases</w:t>
            </w:r>
          </w:p>
        </w:tc>
        <w:tc>
          <w:tcPr>
            <w:tcW w:w="473" w:type="pct"/>
            <w:tcBorders>
              <w:top w:val="nil"/>
              <w:left w:val="single" w:sz="4" w:space="0" w:color="auto"/>
              <w:bottom w:val="single" w:sz="6" w:space="0" w:color="auto"/>
              <w:right w:val="single" w:sz="4" w:space="0" w:color="auto"/>
            </w:tcBorders>
            <w:shd w:val="clear" w:color="auto" w:fill="E4F5E4"/>
            <w:vAlign w:val="center"/>
            <w:hideMark/>
          </w:tcPr>
          <w:p w14:paraId="14119934"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474" w:type="pct"/>
            <w:tcBorders>
              <w:top w:val="nil"/>
              <w:left w:val="single" w:sz="4" w:space="0" w:color="auto"/>
              <w:bottom w:val="single" w:sz="6" w:space="0" w:color="auto"/>
              <w:right w:val="single" w:sz="4" w:space="0" w:color="auto"/>
            </w:tcBorders>
            <w:shd w:val="clear" w:color="auto" w:fill="DAEEDA"/>
            <w:vAlign w:val="center"/>
            <w:hideMark/>
          </w:tcPr>
          <w:p w14:paraId="022F13D2"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473" w:type="pct"/>
            <w:tcBorders>
              <w:top w:val="nil"/>
              <w:left w:val="single" w:sz="4" w:space="0" w:color="auto"/>
              <w:bottom w:val="single" w:sz="6" w:space="0" w:color="auto"/>
              <w:right w:val="single" w:sz="6" w:space="0" w:color="auto"/>
            </w:tcBorders>
            <w:shd w:val="clear" w:color="auto" w:fill="D0E6D0"/>
            <w:vAlign w:val="center"/>
            <w:hideMark/>
          </w:tcPr>
          <w:p w14:paraId="63180E0B"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r>
      <w:tr w:rsidR="00A63B53" w:rsidRPr="00D4396B" w14:paraId="6F8574F3" w14:textId="77777777" w:rsidTr="6E834B38">
        <w:trPr>
          <w:jc w:val="center"/>
        </w:trPr>
        <w:tc>
          <w:tcPr>
            <w:tcW w:w="5000" w:type="pct"/>
            <w:gridSpan w:val="4"/>
            <w:tcBorders>
              <w:top w:val="single" w:sz="6" w:space="0" w:color="auto"/>
              <w:left w:val="single" w:sz="6" w:space="0" w:color="auto"/>
              <w:bottom w:val="nil"/>
              <w:right w:val="single" w:sz="6" w:space="0" w:color="000000" w:themeColor="text1"/>
            </w:tcBorders>
            <w:shd w:val="clear" w:color="auto" w:fill="FFF5EB"/>
            <w:vAlign w:val="center"/>
            <w:hideMark/>
          </w:tcPr>
          <w:p w14:paraId="1A7E04A9" w14:textId="77777777" w:rsidR="00A63B53" w:rsidRPr="00D4396B" w:rsidRDefault="00A63B53">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C. Establishing a streamlined, coherent and role-clear governance system that accelerates decision-making</w:t>
            </w:r>
          </w:p>
        </w:tc>
      </w:tr>
      <w:tr w:rsidR="006A3773" w:rsidRPr="00D4396B" w14:paraId="0185CC57" w14:textId="77777777" w:rsidTr="6E834B38">
        <w:trPr>
          <w:jc w:val="center"/>
        </w:trPr>
        <w:tc>
          <w:tcPr>
            <w:tcW w:w="3580" w:type="pct"/>
            <w:tcBorders>
              <w:top w:val="nil"/>
              <w:left w:val="single" w:sz="6" w:space="0" w:color="auto"/>
              <w:bottom w:val="nil"/>
              <w:right w:val="single" w:sz="4" w:space="0" w:color="auto"/>
            </w:tcBorders>
            <w:shd w:val="clear" w:color="auto" w:fill="FFF5EB"/>
            <w:vAlign w:val="center"/>
          </w:tcPr>
          <w:p w14:paraId="6DE478E6" w14:textId="77777777" w:rsidR="00A63B53" w:rsidRPr="00D4396B" w:rsidRDefault="00A63B53">
            <w:pPr>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70FEFBAC"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rPr>
              <w:t>#4 Lack of clear separation between operational and administrative responsibilities</w:t>
            </w:r>
          </w:p>
          <w:p w14:paraId="0109F9E3" w14:textId="77777777" w:rsidR="00A63B53" w:rsidRPr="00D4396B" w:rsidRDefault="00A63B53">
            <w:pPr>
              <w:spacing w:after="0"/>
              <w:rPr>
                <w:rFonts w:asciiTheme="majorBidi" w:hAnsiTheme="majorBidi" w:cstheme="majorBidi"/>
                <w:b/>
                <w:bCs/>
                <w:noProof/>
                <w:sz w:val="18"/>
                <w:szCs w:val="18"/>
              </w:rPr>
            </w:pPr>
            <w:r w:rsidRPr="00D4396B">
              <w:rPr>
                <w:rFonts w:asciiTheme="majorBidi" w:hAnsiTheme="majorBidi" w:cstheme="majorBidi"/>
                <w:noProof/>
                <w:sz w:val="18"/>
                <w:szCs w:val="18"/>
              </w:rPr>
              <w:t>#5</w:t>
            </w:r>
            <w:r w:rsidRPr="00D4396B">
              <w:rPr>
                <w:rFonts w:asciiTheme="majorBidi" w:hAnsiTheme="majorBidi" w:cstheme="majorBidi"/>
                <w:b/>
                <w:bCs/>
                <w:noProof/>
                <w:sz w:val="18"/>
                <w:szCs w:val="18"/>
              </w:rPr>
              <w:t> </w:t>
            </w:r>
            <w:r w:rsidRPr="00D4396B">
              <w:rPr>
                <w:rFonts w:asciiTheme="majorBidi" w:hAnsiTheme="majorBidi" w:cstheme="majorBidi"/>
                <w:noProof/>
                <w:sz w:val="18"/>
                <w:szCs w:val="18"/>
              </w:rPr>
              <w:t>Complex governance structure and outdated legacy organisational culture</w:t>
            </w:r>
          </w:p>
        </w:tc>
        <w:tc>
          <w:tcPr>
            <w:tcW w:w="473" w:type="pct"/>
            <w:tcBorders>
              <w:top w:val="single" w:sz="4" w:space="0" w:color="auto"/>
              <w:left w:val="single" w:sz="4" w:space="0" w:color="auto"/>
              <w:bottom w:val="nil"/>
              <w:right w:val="single" w:sz="4" w:space="0" w:color="auto"/>
            </w:tcBorders>
            <w:shd w:val="clear" w:color="auto" w:fill="FCEEE1"/>
            <w:vAlign w:val="center"/>
          </w:tcPr>
          <w:p w14:paraId="76C42B70" w14:textId="01D02644" w:rsidR="00A63B53" w:rsidRPr="00D4396B" w:rsidRDefault="00FF0A09">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C.</w:t>
            </w:r>
            <w:r w:rsidR="00A63B53" w:rsidRPr="00D4396B">
              <w:rPr>
                <w:rFonts w:asciiTheme="majorBidi" w:hAnsiTheme="majorBidi" w:cstheme="majorBidi"/>
                <w:b/>
                <w:bCs/>
                <w:noProof/>
                <w:sz w:val="18"/>
                <w:szCs w:val="18"/>
              </w:rPr>
              <w:t>PO1</w:t>
            </w:r>
          </w:p>
        </w:tc>
        <w:tc>
          <w:tcPr>
            <w:tcW w:w="474" w:type="pct"/>
            <w:tcBorders>
              <w:top w:val="single" w:sz="4" w:space="0" w:color="auto"/>
              <w:left w:val="single" w:sz="4" w:space="0" w:color="auto"/>
              <w:bottom w:val="nil"/>
              <w:right w:val="single" w:sz="4" w:space="0" w:color="auto"/>
            </w:tcBorders>
            <w:shd w:val="clear" w:color="auto" w:fill="F8E6D7"/>
            <w:vAlign w:val="center"/>
          </w:tcPr>
          <w:p w14:paraId="5EC36DCF" w14:textId="280FA5F9" w:rsidR="00A63B53" w:rsidRPr="00D4396B" w:rsidRDefault="00FF0A09">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C.</w:t>
            </w:r>
            <w:r w:rsidR="00A63B53" w:rsidRPr="00D4396B">
              <w:rPr>
                <w:rFonts w:asciiTheme="majorBidi" w:hAnsiTheme="majorBidi" w:cstheme="majorBidi"/>
                <w:b/>
                <w:bCs/>
                <w:noProof/>
                <w:sz w:val="18"/>
                <w:szCs w:val="18"/>
              </w:rPr>
              <w:t>PO2</w:t>
            </w:r>
          </w:p>
        </w:tc>
        <w:tc>
          <w:tcPr>
            <w:tcW w:w="473" w:type="pct"/>
            <w:tcBorders>
              <w:top w:val="single" w:sz="4" w:space="0" w:color="auto"/>
              <w:left w:val="single" w:sz="4" w:space="0" w:color="auto"/>
              <w:bottom w:val="nil"/>
              <w:right w:val="single" w:sz="6" w:space="0" w:color="000000" w:themeColor="text1"/>
            </w:tcBorders>
            <w:shd w:val="clear" w:color="auto" w:fill="F4DECD"/>
            <w:vAlign w:val="center"/>
          </w:tcPr>
          <w:p w14:paraId="0A5888D3" w14:textId="5E19BA3D" w:rsidR="00A63B53" w:rsidRPr="00D4396B" w:rsidRDefault="00FF0A09">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C.</w:t>
            </w:r>
            <w:r w:rsidR="00A63B53" w:rsidRPr="00D4396B">
              <w:rPr>
                <w:rFonts w:asciiTheme="majorBidi" w:hAnsiTheme="majorBidi" w:cstheme="majorBidi"/>
                <w:b/>
                <w:bCs/>
                <w:noProof/>
                <w:sz w:val="18"/>
                <w:szCs w:val="18"/>
              </w:rPr>
              <w:t>PO3</w:t>
            </w:r>
          </w:p>
        </w:tc>
      </w:tr>
      <w:tr w:rsidR="00EB721D" w:rsidRPr="00D4396B" w14:paraId="2FB0E153" w14:textId="77777777" w:rsidTr="6E834B38">
        <w:trPr>
          <w:jc w:val="center"/>
        </w:trPr>
        <w:tc>
          <w:tcPr>
            <w:tcW w:w="3580" w:type="pct"/>
            <w:tcBorders>
              <w:top w:val="single" w:sz="6" w:space="0" w:color="auto"/>
              <w:left w:val="single" w:sz="6" w:space="0" w:color="auto"/>
              <w:bottom w:val="single" w:sz="6" w:space="0" w:color="auto"/>
              <w:right w:val="single" w:sz="6" w:space="0" w:color="auto"/>
            </w:tcBorders>
            <w:vAlign w:val="center"/>
            <w:hideMark/>
          </w:tcPr>
          <w:p w14:paraId="04FCD63D"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Revision of the allocation of responsibilities between governance bodies</w:t>
            </w:r>
          </w:p>
        </w:tc>
        <w:tc>
          <w:tcPr>
            <w:tcW w:w="473" w:type="pct"/>
            <w:tcBorders>
              <w:top w:val="single" w:sz="6" w:space="0" w:color="auto"/>
              <w:left w:val="nil"/>
              <w:bottom w:val="single" w:sz="6" w:space="0" w:color="auto"/>
              <w:right w:val="single" w:sz="6" w:space="0" w:color="auto"/>
            </w:tcBorders>
            <w:shd w:val="clear" w:color="auto" w:fill="FCEEE1"/>
            <w:vAlign w:val="center"/>
            <w:hideMark/>
          </w:tcPr>
          <w:p w14:paraId="72B39137"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w:t>
            </w:r>
          </w:p>
        </w:tc>
        <w:tc>
          <w:tcPr>
            <w:tcW w:w="474" w:type="pct"/>
            <w:tcBorders>
              <w:top w:val="single" w:sz="6" w:space="0" w:color="auto"/>
              <w:left w:val="nil"/>
              <w:bottom w:val="single" w:sz="6" w:space="0" w:color="auto"/>
              <w:right w:val="single" w:sz="6" w:space="0" w:color="auto"/>
            </w:tcBorders>
            <w:shd w:val="clear" w:color="auto" w:fill="F8E6D7"/>
            <w:vAlign w:val="center"/>
            <w:hideMark/>
          </w:tcPr>
          <w:p w14:paraId="6DD6D303" w14:textId="50D88F32"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r w:rsidR="009E37D8" w:rsidRPr="00D4396B">
              <w:rPr>
                <w:rFonts w:asciiTheme="majorBidi" w:hAnsiTheme="majorBidi" w:cstheme="majorBidi"/>
                <w:noProof/>
                <w:sz w:val="18"/>
                <w:szCs w:val="18"/>
              </w:rPr>
              <w:t>i</w:t>
            </w:r>
            <w:r w:rsidR="008020C0" w:rsidRPr="00D4396B">
              <w:rPr>
                <w:rFonts w:asciiTheme="majorBidi" w:hAnsiTheme="majorBidi" w:cstheme="majorBidi"/>
                <w:noProof/>
                <w:sz w:val="18"/>
                <w:szCs w:val="18"/>
              </w:rPr>
              <w:t xml:space="preserve"> </w:t>
            </w:r>
          </w:p>
        </w:tc>
        <w:tc>
          <w:tcPr>
            <w:tcW w:w="473" w:type="pct"/>
            <w:tcBorders>
              <w:top w:val="single" w:sz="6" w:space="0" w:color="auto"/>
              <w:left w:val="nil"/>
              <w:bottom w:val="single" w:sz="6" w:space="0" w:color="auto"/>
              <w:right w:val="single" w:sz="6" w:space="0" w:color="auto"/>
            </w:tcBorders>
            <w:shd w:val="clear" w:color="auto" w:fill="F4DECD"/>
            <w:vAlign w:val="center"/>
            <w:hideMark/>
          </w:tcPr>
          <w:p w14:paraId="656A078F" w14:textId="1EFA5366" w:rsidR="00A63B53" w:rsidRPr="00D4396B" w:rsidRDefault="008020C0">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w:t>
            </w:r>
            <w:r w:rsidR="00A63B53" w:rsidRPr="00D4396B">
              <w:rPr>
                <w:rFonts w:asciiTheme="majorBidi" w:hAnsiTheme="majorBidi" w:cstheme="majorBidi"/>
                <w:noProof/>
                <w:sz w:val="18"/>
                <w:szCs w:val="18"/>
              </w:rPr>
              <w:t> </w:t>
            </w:r>
          </w:p>
        </w:tc>
      </w:tr>
      <w:tr w:rsidR="006A3773" w:rsidRPr="00D4396B" w14:paraId="4BA625DD" w14:textId="77777777" w:rsidTr="6E834B38">
        <w:trPr>
          <w:jc w:val="center"/>
        </w:trPr>
        <w:tc>
          <w:tcPr>
            <w:tcW w:w="3580" w:type="pct"/>
            <w:tcBorders>
              <w:top w:val="nil"/>
              <w:left w:val="single" w:sz="6" w:space="0" w:color="auto"/>
              <w:bottom w:val="single" w:sz="6" w:space="0" w:color="auto"/>
              <w:right w:val="single" w:sz="6" w:space="0" w:color="auto"/>
            </w:tcBorders>
            <w:vAlign w:val="center"/>
            <w:hideMark/>
          </w:tcPr>
          <w:p w14:paraId="2FC107F7"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Reform of the Executive Board</w:t>
            </w:r>
          </w:p>
        </w:tc>
        <w:tc>
          <w:tcPr>
            <w:tcW w:w="473" w:type="pct"/>
            <w:tcBorders>
              <w:top w:val="nil"/>
              <w:left w:val="nil"/>
              <w:bottom w:val="single" w:sz="6" w:space="0" w:color="auto"/>
              <w:right w:val="single" w:sz="6" w:space="0" w:color="auto"/>
            </w:tcBorders>
            <w:shd w:val="clear" w:color="auto" w:fill="FCEEE1"/>
            <w:vAlign w:val="center"/>
            <w:hideMark/>
          </w:tcPr>
          <w:p w14:paraId="1B5B6E44"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474" w:type="pct"/>
            <w:tcBorders>
              <w:top w:val="nil"/>
              <w:left w:val="nil"/>
              <w:bottom w:val="single" w:sz="6" w:space="0" w:color="auto"/>
              <w:right w:val="single" w:sz="6" w:space="0" w:color="auto"/>
            </w:tcBorders>
            <w:shd w:val="clear" w:color="auto" w:fill="F8E6D7"/>
            <w:vAlign w:val="center"/>
            <w:hideMark/>
          </w:tcPr>
          <w:p w14:paraId="1DA1F0E2"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w:t>
            </w:r>
          </w:p>
        </w:tc>
        <w:tc>
          <w:tcPr>
            <w:tcW w:w="473" w:type="pct"/>
            <w:tcBorders>
              <w:top w:val="nil"/>
              <w:left w:val="nil"/>
              <w:bottom w:val="single" w:sz="6" w:space="0" w:color="auto"/>
              <w:right w:val="single" w:sz="6" w:space="0" w:color="auto"/>
            </w:tcBorders>
            <w:shd w:val="clear" w:color="auto" w:fill="F4DECD"/>
            <w:vAlign w:val="center"/>
            <w:hideMark/>
          </w:tcPr>
          <w:p w14:paraId="68A2E132" w14:textId="2B46816A" w:rsidR="00A63B53" w:rsidRPr="00D4396B" w:rsidRDefault="008020C0">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w:t>
            </w:r>
            <w:r w:rsidR="00A63B53" w:rsidRPr="00D4396B">
              <w:rPr>
                <w:rFonts w:asciiTheme="majorBidi" w:hAnsiTheme="majorBidi" w:cstheme="majorBidi"/>
                <w:noProof/>
                <w:sz w:val="18"/>
                <w:szCs w:val="18"/>
              </w:rPr>
              <w:t> </w:t>
            </w:r>
          </w:p>
        </w:tc>
      </w:tr>
      <w:tr w:rsidR="006A3773" w:rsidRPr="00D4396B" w14:paraId="071BD0C1" w14:textId="77777777" w:rsidTr="6E834B38">
        <w:trPr>
          <w:jc w:val="center"/>
        </w:trPr>
        <w:tc>
          <w:tcPr>
            <w:tcW w:w="3580" w:type="pct"/>
            <w:tcBorders>
              <w:top w:val="nil"/>
              <w:left w:val="single" w:sz="6" w:space="0" w:color="auto"/>
              <w:bottom w:val="single" w:sz="6" w:space="0" w:color="auto"/>
              <w:right w:val="single" w:sz="6" w:space="0" w:color="auto"/>
            </w:tcBorders>
            <w:vAlign w:val="center"/>
            <w:hideMark/>
          </w:tcPr>
          <w:p w14:paraId="40075BF0" w14:textId="7E4E3B4B"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Introduction of a Management Board</w:t>
            </w:r>
          </w:p>
        </w:tc>
        <w:tc>
          <w:tcPr>
            <w:tcW w:w="473" w:type="pct"/>
            <w:tcBorders>
              <w:top w:val="nil"/>
              <w:left w:val="nil"/>
              <w:bottom w:val="single" w:sz="6" w:space="0" w:color="auto"/>
              <w:right w:val="single" w:sz="6" w:space="0" w:color="auto"/>
            </w:tcBorders>
            <w:shd w:val="clear" w:color="auto" w:fill="FCEEE1"/>
            <w:vAlign w:val="center"/>
            <w:hideMark/>
          </w:tcPr>
          <w:p w14:paraId="755ED90E"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474" w:type="pct"/>
            <w:tcBorders>
              <w:top w:val="nil"/>
              <w:left w:val="nil"/>
              <w:bottom w:val="single" w:sz="6" w:space="0" w:color="auto"/>
              <w:right w:val="single" w:sz="6" w:space="0" w:color="auto"/>
            </w:tcBorders>
            <w:shd w:val="clear" w:color="auto" w:fill="F8E6D7"/>
            <w:vAlign w:val="center"/>
            <w:hideMark/>
          </w:tcPr>
          <w:p w14:paraId="52B9EA3E"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473" w:type="pct"/>
            <w:tcBorders>
              <w:top w:val="nil"/>
              <w:left w:val="nil"/>
              <w:bottom w:val="single" w:sz="6" w:space="0" w:color="auto"/>
              <w:right w:val="single" w:sz="6" w:space="0" w:color="auto"/>
            </w:tcBorders>
            <w:shd w:val="clear" w:color="auto" w:fill="F4DECD"/>
            <w:vAlign w:val="center"/>
            <w:hideMark/>
          </w:tcPr>
          <w:p w14:paraId="415C259D"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r>
    </w:tbl>
    <w:p w14:paraId="7C345A04" w14:textId="4815340B" w:rsidR="4B98F4DA" w:rsidRPr="00D4396B" w:rsidRDefault="4B98F4DA" w:rsidP="4B98F4DA">
      <w:pPr>
        <w:spacing w:after="120"/>
        <w:ind w:firstLine="284"/>
        <w:rPr>
          <w:rFonts w:eastAsia="Times New Roman"/>
          <w:b/>
          <w:bCs/>
          <w:noProof/>
        </w:rPr>
      </w:pPr>
    </w:p>
    <w:p w14:paraId="749E8163" w14:textId="7F52F252" w:rsidR="00A63B53" w:rsidRPr="000B19B0" w:rsidRDefault="21605396" w:rsidP="000B19B0">
      <w:pPr>
        <w:pStyle w:val="Heading4"/>
        <w:spacing w:after="120"/>
        <w:ind w:left="567" w:firstLine="0"/>
        <w:rPr>
          <w:noProof/>
        </w:rPr>
      </w:pPr>
      <w:bookmarkStart w:id="148" w:name="_Toc232176416"/>
      <w:r w:rsidRPr="000B19B0">
        <w:rPr>
          <w:noProof/>
        </w:rPr>
        <w:t>5.2.1.1</w:t>
      </w:r>
      <w:r w:rsidR="009673B0" w:rsidRPr="000B19B0">
        <w:rPr>
          <w:noProof/>
        </w:rPr>
        <w:tab/>
      </w:r>
      <w:r w:rsidR="16099869" w:rsidRPr="000B19B0">
        <w:rPr>
          <w:noProof/>
        </w:rPr>
        <w:t>Area of intervention A. Extending the scope of material competences to face the new judicial landscape</w:t>
      </w:r>
      <w:bookmarkEnd w:id="148"/>
    </w:p>
    <w:p w14:paraId="7FD6A1EE" w14:textId="6B70DBA7" w:rsidR="00A63B53" w:rsidRPr="00D4396B" w:rsidRDefault="16099869" w:rsidP="003B0D3B">
      <w:pPr>
        <w:spacing w:after="120"/>
        <w:rPr>
          <w:noProof/>
        </w:rPr>
      </w:pPr>
      <w:r w:rsidRPr="00D4396B">
        <w:rPr>
          <w:rFonts w:eastAsia="Times New Roman"/>
          <w:noProof/>
        </w:rPr>
        <w:t xml:space="preserve">Eurojust must evolve to face new criminal threats and preserve its </w:t>
      </w:r>
      <w:r w:rsidR="1C49476D" w:rsidRPr="00D4396B">
        <w:rPr>
          <w:rFonts w:eastAsia="Times New Roman"/>
          <w:noProof/>
        </w:rPr>
        <w:t>key</w:t>
      </w:r>
      <w:r w:rsidRPr="00D4396B">
        <w:rPr>
          <w:rFonts w:eastAsia="Times New Roman"/>
          <w:noProof/>
        </w:rPr>
        <w:t xml:space="preserve"> role in the field of </w:t>
      </w:r>
      <w:r w:rsidR="1C49476D" w:rsidRPr="00D4396B">
        <w:rPr>
          <w:rFonts w:eastAsia="Times New Roman"/>
          <w:noProof/>
        </w:rPr>
        <w:t xml:space="preserve">European </w:t>
      </w:r>
      <w:r w:rsidRPr="00D4396B">
        <w:rPr>
          <w:rFonts w:eastAsia="Times New Roman"/>
          <w:noProof/>
        </w:rPr>
        <w:t xml:space="preserve">judicial cooperation. The policy options </w:t>
      </w:r>
      <w:r w:rsidR="1C49476D" w:rsidRPr="00D4396B">
        <w:rPr>
          <w:rFonts w:eastAsia="Times New Roman"/>
          <w:noProof/>
        </w:rPr>
        <w:t xml:space="preserve">presented </w:t>
      </w:r>
      <w:r w:rsidRPr="00D4396B">
        <w:rPr>
          <w:rFonts w:eastAsia="Times New Roman"/>
          <w:noProof/>
        </w:rPr>
        <w:t xml:space="preserve">aim </w:t>
      </w:r>
      <w:r w:rsidR="1C49476D" w:rsidRPr="00D4396B">
        <w:rPr>
          <w:rFonts w:eastAsia="Times New Roman"/>
          <w:noProof/>
        </w:rPr>
        <w:t>at</w:t>
      </w:r>
      <w:r w:rsidRPr="00D4396B">
        <w:rPr>
          <w:rFonts w:eastAsia="Times New Roman"/>
          <w:noProof/>
        </w:rPr>
        <w:t xml:space="preserve"> </w:t>
      </w:r>
      <w:r w:rsidR="326F3E75" w:rsidRPr="00D4396B">
        <w:rPr>
          <w:rFonts w:eastAsia="Times New Roman"/>
          <w:noProof/>
        </w:rPr>
        <w:t xml:space="preserve">updating the </w:t>
      </w:r>
      <w:r w:rsidRPr="00D4396B">
        <w:rPr>
          <w:rFonts w:eastAsia="Times New Roman"/>
          <w:noProof/>
        </w:rPr>
        <w:t>Eurojust tasks and competences to face new judicial challenges (#2).</w:t>
      </w:r>
    </w:p>
    <w:p w14:paraId="680F281C" w14:textId="452C8975" w:rsidR="00A63B53" w:rsidRPr="00D4396B" w:rsidRDefault="00BC458F" w:rsidP="003B0D3B">
      <w:pPr>
        <w:spacing w:after="120"/>
        <w:rPr>
          <w:rFonts w:eastAsia="Times New Roman"/>
          <w:noProof/>
          <w:lang w:val="en-US"/>
        </w:rPr>
      </w:pPr>
      <w:r w:rsidRPr="00D4396B">
        <w:rPr>
          <w:rFonts w:eastAsia="Times New Roman"/>
          <w:b/>
          <w:bCs/>
          <w:noProof/>
          <w:u w:val="single"/>
          <w:lang w:val="en-US"/>
        </w:rPr>
        <w:t>A.</w:t>
      </w:r>
      <w:r w:rsidR="16099869" w:rsidRPr="00D4396B">
        <w:rPr>
          <w:rFonts w:eastAsia="Times New Roman"/>
          <w:b/>
          <w:bCs/>
          <w:noProof/>
          <w:u w:val="single"/>
          <w:lang w:val="en-US"/>
        </w:rPr>
        <w:t>PO1:</w:t>
      </w:r>
      <w:r w:rsidR="16099869" w:rsidRPr="00D4396B">
        <w:rPr>
          <w:rFonts w:eastAsia="Times New Roman"/>
          <w:noProof/>
          <w:lang w:val="en-US"/>
        </w:rPr>
        <w:t xml:space="preserve"> Under this option, Eurojust would not be formally </w:t>
      </w:r>
      <w:r w:rsidR="5278B9F3" w:rsidRPr="00D4396B">
        <w:rPr>
          <w:rFonts w:eastAsia="Times New Roman"/>
          <w:noProof/>
          <w:lang w:val="en-US"/>
        </w:rPr>
        <w:t>given</w:t>
      </w:r>
      <w:r w:rsidR="16099869" w:rsidRPr="00D4396B">
        <w:rPr>
          <w:rFonts w:eastAsia="Times New Roman"/>
          <w:noProof/>
          <w:lang w:val="en-US"/>
        </w:rPr>
        <w:t xml:space="preserve"> new competences </w:t>
      </w:r>
      <w:r w:rsidR="49634EA4" w:rsidRPr="00D4396B">
        <w:rPr>
          <w:rFonts w:eastAsia="Times New Roman"/>
          <w:noProof/>
          <w:lang w:val="en-US"/>
        </w:rPr>
        <w:t>or</w:t>
      </w:r>
      <w:r w:rsidR="16099869" w:rsidRPr="00D4396B">
        <w:rPr>
          <w:rFonts w:eastAsia="Times New Roman"/>
          <w:noProof/>
          <w:lang w:val="en-US"/>
        </w:rPr>
        <w:t xml:space="preserve"> attributions, but arrangements at technical and operational level would reinforce Eurojust’s action in areas where its contribution would provide added value. Such measures would include:</w:t>
      </w:r>
    </w:p>
    <w:p w14:paraId="2882B5BB" w14:textId="254A7D5C" w:rsidR="00A63B53" w:rsidRPr="00D4396B" w:rsidRDefault="16099869" w:rsidP="00E16DF6">
      <w:pPr>
        <w:spacing w:after="120"/>
        <w:rPr>
          <w:noProof/>
        </w:rPr>
      </w:pPr>
      <w:r w:rsidRPr="00D4396B">
        <w:rPr>
          <w:noProof/>
        </w:rPr>
        <w:t>(i.a) Concluding working arrangements with IBOAs</w:t>
      </w:r>
      <w:r w:rsidR="00727362" w:rsidRPr="00D4396B">
        <w:rPr>
          <w:noProof/>
        </w:rPr>
        <w:t>, or updating them when already concluded,</w:t>
      </w:r>
      <w:r w:rsidRPr="00D4396B">
        <w:rPr>
          <w:noProof/>
        </w:rPr>
        <w:t xml:space="preserve"> providing for a more structured involvement of Eurojust in policymaking and strategic cycles related to the administration of EU criminal justice and judicial cooperation, allowing policymakers to draw from Eurojust’s expertise.</w:t>
      </w:r>
    </w:p>
    <w:p w14:paraId="39828E91" w14:textId="1984DC5E" w:rsidR="00A63B53" w:rsidRPr="00D4396B" w:rsidRDefault="4DDD7C98" w:rsidP="000B19B0">
      <w:pPr>
        <w:spacing w:after="120"/>
        <w:rPr>
          <w:rFonts w:eastAsia="Times New Roman"/>
          <w:noProof/>
        </w:rPr>
      </w:pPr>
      <w:r w:rsidRPr="00D4396B">
        <w:rPr>
          <w:noProof/>
        </w:rPr>
        <w:t xml:space="preserve">(ii.a) </w:t>
      </w:r>
      <w:r w:rsidR="78E64DB2" w:rsidRPr="00D4396B">
        <w:rPr>
          <w:noProof/>
        </w:rPr>
        <w:t xml:space="preserve">Setting </w:t>
      </w:r>
      <w:r w:rsidRPr="00D4396B">
        <w:rPr>
          <w:noProof/>
        </w:rPr>
        <w:t>up guidelines and operational arrangements to</w:t>
      </w:r>
      <w:r w:rsidR="392A238B" w:rsidRPr="00D4396B">
        <w:rPr>
          <w:noProof/>
        </w:rPr>
        <w:t>:</w:t>
      </w:r>
      <w:r w:rsidRPr="00D4396B">
        <w:rPr>
          <w:noProof/>
        </w:rPr>
        <w:t xml:space="preserve"> make Eurojust </w:t>
      </w:r>
      <w:r w:rsidR="4299E589" w:rsidRPr="00D4396B">
        <w:rPr>
          <w:noProof/>
        </w:rPr>
        <w:t>more effective</w:t>
      </w:r>
      <w:r w:rsidRPr="00D4396B">
        <w:rPr>
          <w:noProof/>
        </w:rPr>
        <w:t xml:space="preserve"> in assisting Member States in handling e-evidence (further supporting the SIRIUS project</w:t>
      </w:r>
      <w:r w:rsidR="00D736A4" w:rsidRPr="00031CFA">
        <w:rPr>
          <w:rStyle w:val="FootnoteReference"/>
          <w:noProof/>
        </w:rPr>
        <w:footnoteReference w:id="103"/>
      </w:r>
      <w:r w:rsidRPr="00031CFA">
        <w:rPr>
          <w:noProof/>
        </w:rPr>
        <w:t>),</w:t>
      </w:r>
      <w:r w:rsidRPr="00D4396B">
        <w:rPr>
          <w:noProof/>
        </w:rPr>
        <w:t xml:space="preserve"> provid</w:t>
      </w:r>
      <w:r w:rsidR="46270C6C" w:rsidRPr="00D4396B">
        <w:rPr>
          <w:noProof/>
        </w:rPr>
        <w:t xml:space="preserve">e </w:t>
      </w:r>
      <w:r w:rsidRPr="00D4396B">
        <w:rPr>
          <w:noProof/>
        </w:rPr>
        <w:t>services and assistance to victims of serious</w:t>
      </w:r>
      <w:r w:rsidR="26FE8E77" w:rsidRPr="00D4396B">
        <w:rPr>
          <w:noProof/>
        </w:rPr>
        <w:t xml:space="preserve"> and</w:t>
      </w:r>
      <w:r w:rsidRPr="00D4396B">
        <w:rPr>
          <w:noProof/>
        </w:rPr>
        <w:t xml:space="preserve"> cross-border crime</w:t>
      </w:r>
      <w:r w:rsidR="000B19B0">
        <w:rPr>
          <w:noProof/>
        </w:rPr>
        <w:t xml:space="preserve"> </w:t>
      </w:r>
      <w:r w:rsidR="00F63848" w:rsidRPr="00D4396B">
        <w:rPr>
          <w:noProof/>
        </w:rPr>
        <w:t xml:space="preserve">support </w:t>
      </w:r>
      <w:r w:rsidR="000452D3" w:rsidRPr="00D4396B">
        <w:rPr>
          <w:noProof/>
        </w:rPr>
        <w:t xml:space="preserve">the actions of the national </w:t>
      </w:r>
      <w:r w:rsidR="000452D3">
        <w:rPr>
          <w:noProof/>
        </w:rPr>
        <w:t>A</w:t>
      </w:r>
      <w:r w:rsidR="1AD41F6F">
        <w:rPr>
          <w:noProof/>
        </w:rPr>
        <w:t>ROs</w:t>
      </w:r>
      <w:r w:rsidR="32D6DBAB" w:rsidRPr="00D4396B">
        <w:rPr>
          <w:noProof/>
        </w:rPr>
        <w:t>.</w:t>
      </w:r>
    </w:p>
    <w:p w14:paraId="60A41D07" w14:textId="5BDD872E" w:rsidR="00A63B53" w:rsidRPr="00D4396B" w:rsidRDefault="16099869" w:rsidP="00685F9C">
      <w:pPr>
        <w:spacing w:after="120"/>
        <w:rPr>
          <w:rFonts w:eastAsia="Times New Roman"/>
          <w:noProof/>
        </w:rPr>
      </w:pPr>
      <w:r>
        <w:rPr>
          <w:noProof/>
        </w:rPr>
        <w:t xml:space="preserve">(iii.a) </w:t>
      </w:r>
      <w:r w:rsidRPr="7E8FC249">
        <w:rPr>
          <w:rFonts w:eastAsia="Times New Roman"/>
          <w:noProof/>
        </w:rPr>
        <w:t>Strengthening Eurojust’s support to J</w:t>
      </w:r>
      <w:r w:rsidR="7756AEAB" w:rsidRPr="7E8FC249">
        <w:rPr>
          <w:rFonts w:eastAsia="Times New Roman"/>
          <w:noProof/>
        </w:rPr>
        <w:t>IT</w:t>
      </w:r>
      <w:r w:rsidRPr="7E8FC249">
        <w:rPr>
          <w:rFonts w:eastAsia="Times New Roman"/>
          <w:noProof/>
        </w:rPr>
        <w:t xml:space="preserve">s </w:t>
      </w:r>
      <w:r w:rsidR="42F3AB13" w:rsidRPr="7E8FC249">
        <w:rPr>
          <w:rFonts w:eastAsia="Times New Roman"/>
          <w:noProof/>
        </w:rPr>
        <w:t>by</w:t>
      </w:r>
      <w:r w:rsidRPr="7E8FC249">
        <w:rPr>
          <w:rFonts w:eastAsia="Times New Roman"/>
          <w:noProof/>
        </w:rPr>
        <w:t xml:space="preserve"> establish</w:t>
      </w:r>
      <w:r w:rsidR="42F3AB13" w:rsidRPr="7E8FC249">
        <w:rPr>
          <w:rFonts w:eastAsia="Times New Roman"/>
          <w:noProof/>
        </w:rPr>
        <w:t>ing</w:t>
      </w:r>
      <w:r w:rsidRPr="7E8FC249">
        <w:rPr>
          <w:rFonts w:eastAsia="Times New Roman"/>
          <w:noProof/>
        </w:rPr>
        <w:t xml:space="preserve">, at operational level, semi-permanent platforms enabling the temporary secondment of JIT members to Eurojust, </w:t>
      </w:r>
      <w:r w:rsidR="000400BF" w:rsidRPr="7E8FC249">
        <w:rPr>
          <w:rFonts w:eastAsia="Times New Roman"/>
          <w:noProof/>
        </w:rPr>
        <w:t xml:space="preserve">who </w:t>
      </w:r>
      <w:r w:rsidRPr="7E8FC249">
        <w:rPr>
          <w:rFonts w:eastAsia="Times New Roman"/>
          <w:noProof/>
        </w:rPr>
        <w:t>would provide logistical and coordination support.</w:t>
      </w:r>
    </w:p>
    <w:p w14:paraId="12FA72E8" w14:textId="12D4D5CB" w:rsidR="00A63B53" w:rsidRPr="00D4396B" w:rsidRDefault="00BC458F" w:rsidP="003B0D3B">
      <w:pPr>
        <w:spacing w:after="120"/>
        <w:rPr>
          <w:rFonts w:eastAsia="Times New Roman"/>
          <w:noProof/>
        </w:rPr>
      </w:pPr>
      <w:r w:rsidRPr="00D4396B">
        <w:rPr>
          <w:rFonts w:eastAsia="Times New Roman"/>
          <w:b/>
          <w:bCs/>
          <w:noProof/>
          <w:u w:val="single"/>
        </w:rPr>
        <w:t>A.</w:t>
      </w:r>
      <w:r w:rsidR="16099869" w:rsidRPr="00D4396B">
        <w:rPr>
          <w:rFonts w:eastAsia="Times New Roman"/>
          <w:b/>
          <w:bCs/>
          <w:noProof/>
          <w:u w:val="single"/>
        </w:rPr>
        <w:t>PO2:</w:t>
      </w:r>
      <w:r w:rsidR="16099869" w:rsidRPr="00D4396B">
        <w:rPr>
          <w:rFonts w:eastAsia="Times New Roman"/>
          <w:noProof/>
        </w:rPr>
        <w:t xml:space="preserve"> </w:t>
      </w:r>
      <w:r w:rsidR="7B1A1E3D" w:rsidRPr="00D4396B">
        <w:rPr>
          <w:rFonts w:eastAsia="Times New Roman"/>
          <w:noProof/>
        </w:rPr>
        <w:t>T</w:t>
      </w:r>
      <w:r w:rsidR="16099869" w:rsidRPr="00D4396B">
        <w:rPr>
          <w:rFonts w:eastAsia="Times New Roman"/>
          <w:noProof/>
        </w:rPr>
        <w:t>his option</w:t>
      </w:r>
      <w:r w:rsidR="3D2505A3" w:rsidRPr="00D4396B">
        <w:rPr>
          <w:rFonts w:eastAsia="Times New Roman"/>
          <w:noProof/>
        </w:rPr>
        <w:t xml:space="preserve"> would introduce</w:t>
      </w:r>
      <w:r w:rsidR="16099869" w:rsidRPr="00D4396B">
        <w:rPr>
          <w:rFonts w:eastAsia="Times New Roman"/>
          <w:noProof/>
        </w:rPr>
        <w:t xml:space="preserve"> targeted amendments to the </w:t>
      </w:r>
      <w:r w:rsidR="16099869" w:rsidRPr="0044F6DD">
        <w:rPr>
          <w:rFonts w:eastAsia="Times New Roman"/>
          <w:noProof/>
        </w:rPr>
        <w:t>E</w:t>
      </w:r>
      <w:r w:rsidR="3971C5E3" w:rsidRPr="0044F6DD">
        <w:rPr>
          <w:rFonts w:eastAsia="Times New Roman"/>
          <w:noProof/>
        </w:rPr>
        <w:t>JR</w:t>
      </w:r>
      <w:r w:rsidR="16099869" w:rsidRPr="00D4396B">
        <w:rPr>
          <w:rFonts w:eastAsia="Times New Roman"/>
          <w:noProof/>
        </w:rPr>
        <w:t xml:space="preserve"> in order to formally attribute new tasks and competences to the Agency, entrusting it with the connected powers. Such measures would include:</w:t>
      </w:r>
    </w:p>
    <w:p w14:paraId="2D16EE32" w14:textId="537A11B6" w:rsidR="00A63B53" w:rsidRPr="00D4396B" w:rsidRDefault="64E1CC96" w:rsidP="000B19B0">
      <w:pPr>
        <w:spacing w:after="120"/>
        <w:rPr>
          <w:rStyle w:val="FootnoteReference"/>
          <w:rFonts w:eastAsia="Times New Roman"/>
          <w:noProof/>
          <w:szCs w:val="20"/>
        </w:rPr>
      </w:pPr>
      <w:r w:rsidRPr="00D4396B">
        <w:rPr>
          <w:rFonts w:eastAsia="Times New Roman"/>
          <w:noProof/>
        </w:rPr>
        <w:t xml:space="preserve">(i.b), (ii.b), (iii.b) Implementing the measures outlined under </w:t>
      </w:r>
      <w:r w:rsidR="27FC3543" w:rsidRPr="00D4396B">
        <w:rPr>
          <w:rFonts w:eastAsia="Times New Roman"/>
          <w:noProof/>
        </w:rPr>
        <w:t>A.</w:t>
      </w:r>
      <w:r w:rsidRPr="00D4396B">
        <w:rPr>
          <w:rFonts w:eastAsia="Times New Roman"/>
          <w:noProof/>
        </w:rPr>
        <w:t xml:space="preserve">PO1, but </w:t>
      </w:r>
      <w:r w:rsidR="4E47CD99" w:rsidRPr="00D4396B">
        <w:rPr>
          <w:rFonts w:eastAsia="Times New Roman"/>
          <w:noProof/>
        </w:rPr>
        <w:t xml:space="preserve">giving them </w:t>
      </w:r>
      <w:r w:rsidRPr="00D4396B">
        <w:rPr>
          <w:rFonts w:eastAsia="Times New Roman"/>
          <w:noProof/>
        </w:rPr>
        <w:t xml:space="preserve">a legal basis </w:t>
      </w:r>
      <w:r w:rsidR="4E210795" w:rsidRPr="00D4396B">
        <w:rPr>
          <w:rFonts w:eastAsia="Times New Roman"/>
          <w:noProof/>
        </w:rPr>
        <w:t>with</w:t>
      </w:r>
      <w:r w:rsidRPr="00D4396B">
        <w:rPr>
          <w:rFonts w:eastAsia="Times New Roman"/>
          <w:noProof/>
        </w:rPr>
        <w:t>in the Regulation</w:t>
      </w:r>
      <w:r w:rsidR="2614D7D5" w:rsidRPr="00D4396B">
        <w:rPr>
          <w:rFonts w:eastAsia="Times New Roman"/>
          <w:noProof/>
        </w:rPr>
        <w:t>.</w:t>
      </w:r>
    </w:p>
    <w:p w14:paraId="63BCCBAE" w14:textId="66560DC2" w:rsidR="00A63B53" w:rsidRPr="00D4396B" w:rsidRDefault="4DDD7C98" w:rsidP="00685F9C">
      <w:pPr>
        <w:spacing w:after="120"/>
        <w:rPr>
          <w:rFonts w:eastAsia="Times New Roman"/>
          <w:noProof/>
        </w:rPr>
      </w:pPr>
      <w:r w:rsidRPr="00D4396B">
        <w:rPr>
          <w:rFonts w:eastAsia="Times New Roman"/>
          <w:noProof/>
        </w:rPr>
        <w:t>(iv) In addition, extending Eurojust’s material competence to new</w:t>
      </w:r>
      <w:r w:rsidR="2D29B7F7" w:rsidRPr="00D4396B">
        <w:rPr>
          <w:rFonts w:eastAsia="Times New Roman"/>
          <w:noProof/>
        </w:rPr>
        <w:t xml:space="preserve"> or</w:t>
      </w:r>
      <w:r w:rsidRPr="00D4396B">
        <w:rPr>
          <w:rFonts w:eastAsia="Times New Roman"/>
          <w:noProof/>
        </w:rPr>
        <w:t xml:space="preserve"> emerging crimes, such as violati</w:t>
      </w:r>
      <w:r w:rsidR="7ACADBC1" w:rsidRPr="00D4396B">
        <w:rPr>
          <w:rFonts w:eastAsia="Times New Roman"/>
          <w:noProof/>
        </w:rPr>
        <w:t>ng EU</w:t>
      </w:r>
      <w:r w:rsidRPr="00D4396B">
        <w:rPr>
          <w:rFonts w:eastAsia="Times New Roman"/>
          <w:noProof/>
        </w:rPr>
        <w:t xml:space="preserve"> restrictive measures</w:t>
      </w:r>
      <w:r w:rsidR="00D32458">
        <w:rPr>
          <w:rFonts w:eastAsia="Times New Roman"/>
          <w:noProof/>
        </w:rPr>
        <w:t>,</w:t>
      </w:r>
      <w:r w:rsidR="16099869" w:rsidRPr="00D4396B">
        <w:rPr>
          <w:rStyle w:val="FootnoteReference"/>
          <w:rFonts w:eastAsia="Times New Roman"/>
          <w:noProof/>
        </w:rPr>
        <w:footnoteReference w:id="104"/>
      </w:r>
      <w:r w:rsidRPr="00D4396B">
        <w:rPr>
          <w:rFonts w:eastAsia="Times New Roman"/>
          <w:noProof/>
        </w:rPr>
        <w:t xml:space="preserve"> cybercrime (beyond the currently envisaged computer crimes)</w:t>
      </w:r>
      <w:r w:rsidR="0011766E">
        <w:rPr>
          <w:rFonts w:eastAsia="Times New Roman"/>
          <w:noProof/>
        </w:rPr>
        <w:t xml:space="preserve"> and</w:t>
      </w:r>
      <w:r w:rsidRPr="00D4396B">
        <w:rPr>
          <w:rFonts w:eastAsia="Times New Roman"/>
          <w:noProof/>
        </w:rPr>
        <w:t xml:space="preserve"> gender-based violence</w:t>
      </w:r>
      <w:r w:rsidR="0011766E">
        <w:rPr>
          <w:rFonts w:eastAsia="Times New Roman"/>
          <w:noProof/>
        </w:rPr>
        <w:t>.</w:t>
      </w:r>
      <w:r w:rsidRPr="00D4396B">
        <w:rPr>
          <w:rFonts w:eastAsia="Times New Roman"/>
          <w:noProof/>
        </w:rPr>
        <w:t xml:space="preserve"> This extension requires amend</w:t>
      </w:r>
      <w:r w:rsidR="2D29B7F7" w:rsidRPr="00D4396B">
        <w:rPr>
          <w:rFonts w:eastAsia="Times New Roman"/>
          <w:noProof/>
        </w:rPr>
        <w:t>ing</w:t>
      </w:r>
      <w:r w:rsidRPr="00D4396B">
        <w:rPr>
          <w:rFonts w:eastAsia="Times New Roman"/>
          <w:noProof/>
        </w:rPr>
        <w:t xml:space="preserve"> Annex I to the E</w:t>
      </w:r>
      <w:r w:rsidR="327AC3E7" w:rsidRPr="00D4396B">
        <w:rPr>
          <w:rFonts w:eastAsia="Times New Roman"/>
          <w:noProof/>
        </w:rPr>
        <w:t>JR</w:t>
      </w:r>
      <w:r w:rsidR="2D29B7F7" w:rsidRPr="00D4396B">
        <w:rPr>
          <w:rFonts w:eastAsia="Times New Roman"/>
          <w:noProof/>
        </w:rPr>
        <w:t xml:space="preserve"> which</w:t>
      </w:r>
      <w:r w:rsidRPr="00D4396B">
        <w:rPr>
          <w:rFonts w:eastAsia="Times New Roman"/>
          <w:noProof/>
        </w:rPr>
        <w:t xml:space="preserve"> list</w:t>
      </w:r>
      <w:r w:rsidR="2D29B7F7" w:rsidRPr="00D4396B">
        <w:rPr>
          <w:rFonts w:eastAsia="Times New Roman"/>
          <w:noProof/>
        </w:rPr>
        <w:t>s</w:t>
      </w:r>
      <w:r w:rsidRPr="00D4396B">
        <w:rPr>
          <w:rFonts w:eastAsia="Times New Roman"/>
          <w:noProof/>
        </w:rPr>
        <w:t xml:space="preserve"> crimes for which Eurojust is competent.</w:t>
      </w:r>
    </w:p>
    <w:p w14:paraId="5CDEB20B" w14:textId="217F994F" w:rsidR="00A63B53" w:rsidRPr="00D4396B" w:rsidRDefault="00BC458F" w:rsidP="003B0D3B">
      <w:pPr>
        <w:spacing w:after="120"/>
        <w:rPr>
          <w:rFonts w:eastAsia="Times New Roman"/>
          <w:noProof/>
        </w:rPr>
      </w:pPr>
      <w:r w:rsidRPr="00D4396B">
        <w:rPr>
          <w:rFonts w:eastAsia="Times New Roman"/>
          <w:b/>
          <w:bCs/>
          <w:noProof/>
          <w:u w:val="single"/>
        </w:rPr>
        <w:t>A.</w:t>
      </w:r>
      <w:r w:rsidR="16099869" w:rsidRPr="00D4396B">
        <w:rPr>
          <w:rFonts w:eastAsia="Times New Roman"/>
          <w:b/>
          <w:bCs/>
          <w:noProof/>
          <w:u w:val="single"/>
        </w:rPr>
        <w:t>PO3:</w:t>
      </w:r>
      <w:r w:rsidR="16099869" w:rsidRPr="00D4396B">
        <w:rPr>
          <w:rFonts w:eastAsia="Times New Roman"/>
          <w:noProof/>
        </w:rPr>
        <w:t xml:space="preserve"> This policy option includes a </w:t>
      </w:r>
      <w:r w:rsidR="4E864D2A" w:rsidRPr="00D4396B">
        <w:rPr>
          <w:rFonts w:eastAsia="Times New Roman"/>
          <w:noProof/>
        </w:rPr>
        <w:t>bundle</w:t>
      </w:r>
      <w:r w:rsidR="16099869" w:rsidRPr="00D4396B">
        <w:rPr>
          <w:rFonts w:eastAsia="Times New Roman"/>
          <w:noProof/>
        </w:rPr>
        <w:t xml:space="preserve"> of legislative measures which, as a </w:t>
      </w:r>
      <w:r w:rsidR="4E864D2A" w:rsidRPr="00D4396B">
        <w:rPr>
          <w:rFonts w:eastAsia="Times New Roman"/>
          <w:noProof/>
        </w:rPr>
        <w:t>whole</w:t>
      </w:r>
      <w:r w:rsidR="16099869" w:rsidRPr="00D4396B">
        <w:rPr>
          <w:rFonts w:eastAsia="Times New Roman"/>
          <w:noProof/>
        </w:rPr>
        <w:t xml:space="preserve">, would fundamentally shift the scope of </w:t>
      </w:r>
      <w:r w:rsidR="4E864D2A" w:rsidRPr="00D4396B">
        <w:rPr>
          <w:rFonts w:eastAsia="Times New Roman"/>
          <w:noProof/>
        </w:rPr>
        <w:t>the</w:t>
      </w:r>
      <w:r w:rsidR="16099869" w:rsidRPr="00D4396B">
        <w:rPr>
          <w:rFonts w:eastAsia="Times New Roman"/>
          <w:noProof/>
        </w:rPr>
        <w:t xml:space="preserve"> Eurojust activities, structurally embedding in its legal framework not only its contribution to policymaking, but also a broadened and enhanced analytical capacity. Measures would include:</w:t>
      </w:r>
    </w:p>
    <w:p w14:paraId="6661360C" w14:textId="2C984E28" w:rsidR="00A63B53" w:rsidRPr="00D4396B" w:rsidRDefault="16099869" w:rsidP="000B19B0">
      <w:pPr>
        <w:spacing w:after="120"/>
        <w:rPr>
          <w:noProof/>
        </w:rPr>
      </w:pPr>
      <w:r w:rsidRPr="00D4396B">
        <w:rPr>
          <w:noProof/>
        </w:rPr>
        <w:t xml:space="preserve">(i.b), (ii.b), (iii.b), (iv) Implementing the measures outlined under </w:t>
      </w:r>
      <w:r w:rsidR="009F486B" w:rsidRPr="00D4396B">
        <w:rPr>
          <w:noProof/>
        </w:rPr>
        <w:t>A.</w:t>
      </w:r>
      <w:r w:rsidRPr="00D4396B">
        <w:rPr>
          <w:noProof/>
        </w:rPr>
        <w:t>PO2</w:t>
      </w:r>
      <w:r w:rsidR="374018A0" w:rsidRPr="00D4396B">
        <w:rPr>
          <w:noProof/>
        </w:rPr>
        <w:t xml:space="preserve"> </w:t>
      </w:r>
      <w:r w:rsidR="7D3AD89C" w:rsidRPr="00D4396B">
        <w:rPr>
          <w:noProof/>
        </w:rPr>
        <w:t>by</w:t>
      </w:r>
      <w:r w:rsidRPr="00D4396B">
        <w:rPr>
          <w:noProof/>
        </w:rPr>
        <w:t xml:space="preserve"> introducing specific amendments to the </w:t>
      </w:r>
      <w:r>
        <w:rPr>
          <w:noProof/>
        </w:rPr>
        <w:t>E</w:t>
      </w:r>
      <w:r w:rsidR="4B79F3DA">
        <w:rPr>
          <w:noProof/>
        </w:rPr>
        <w:t>JR</w:t>
      </w:r>
      <w:r w:rsidRPr="00D4396B">
        <w:rPr>
          <w:noProof/>
        </w:rPr>
        <w:t>.</w:t>
      </w:r>
    </w:p>
    <w:p w14:paraId="3A635356" w14:textId="6AE71A18" w:rsidR="00A63B53" w:rsidRPr="00D4396B" w:rsidRDefault="16099869" w:rsidP="00685F9C">
      <w:pPr>
        <w:spacing w:after="120"/>
        <w:rPr>
          <w:noProof/>
        </w:rPr>
      </w:pPr>
      <w:r w:rsidRPr="00D4396B">
        <w:rPr>
          <w:noProof/>
        </w:rPr>
        <w:t xml:space="preserve">(v) In addition, expanding Eurojust’s analytical competence and capacity. Building on the success of </w:t>
      </w:r>
      <w:r w:rsidRPr="00D4396B">
        <w:rPr>
          <w:rFonts w:eastAsia="Times New Roman"/>
          <w:noProof/>
        </w:rPr>
        <w:t xml:space="preserve">CICED (Regulation (EU) 2022/838) and CTR (Regulation (EU) 2023/2131), Eurojust would receive </w:t>
      </w:r>
      <w:r w:rsidR="6F9B8548" w:rsidRPr="00D4396B">
        <w:rPr>
          <w:rFonts w:eastAsia="Times New Roman"/>
          <w:noProof/>
        </w:rPr>
        <w:t>the</w:t>
      </w:r>
      <w:r w:rsidRPr="00D4396B">
        <w:rPr>
          <w:rFonts w:eastAsia="Times New Roman"/>
          <w:noProof/>
        </w:rPr>
        <w:t xml:space="preserve"> mandate to collect, store and analyse judicial data related to organised crime – with the aim to provide consistent sets of evidence to national authorities, contributing to case-building</w:t>
      </w:r>
      <w:r w:rsidR="620A047B" w:rsidRPr="00D4396B">
        <w:rPr>
          <w:rFonts w:eastAsia="Times New Roman"/>
          <w:noProof/>
        </w:rPr>
        <w:t xml:space="preserve"> and facilitating cross-border cooperation</w:t>
      </w:r>
      <w:r w:rsidRPr="00D4396B">
        <w:rPr>
          <w:rFonts w:eastAsia="Times New Roman"/>
          <w:noProof/>
        </w:rPr>
        <w:t>.</w:t>
      </w:r>
    </w:p>
    <w:p w14:paraId="5BBB4DD4" w14:textId="5325CDA5" w:rsidR="00A63B53" w:rsidRPr="000B19B0" w:rsidRDefault="78E46255" w:rsidP="00213B91">
      <w:pPr>
        <w:pStyle w:val="Heading4"/>
        <w:ind w:left="567" w:firstLine="0"/>
        <w:rPr>
          <w:noProof/>
        </w:rPr>
      </w:pPr>
      <w:bookmarkStart w:id="149" w:name="_Toc232176417"/>
      <w:r w:rsidRPr="000B19B0">
        <w:rPr>
          <w:noProof/>
        </w:rPr>
        <w:t>5.2.1.2</w:t>
      </w:r>
      <w:r w:rsidR="009673B0" w:rsidRPr="000B19B0">
        <w:rPr>
          <w:noProof/>
        </w:rPr>
        <w:tab/>
      </w:r>
      <w:r w:rsidR="16099869" w:rsidRPr="000B19B0">
        <w:rPr>
          <w:noProof/>
        </w:rPr>
        <w:t>Area of intervention B. Harmoni</w:t>
      </w:r>
      <w:r w:rsidR="00AF584F" w:rsidRPr="000B19B0">
        <w:rPr>
          <w:noProof/>
        </w:rPr>
        <w:t>s</w:t>
      </w:r>
      <w:r w:rsidR="16099869" w:rsidRPr="000B19B0">
        <w:rPr>
          <w:noProof/>
        </w:rPr>
        <w:t>ing Member State implementation of the EJR, including on allocation of cases</w:t>
      </w:r>
      <w:bookmarkEnd w:id="149"/>
    </w:p>
    <w:p w14:paraId="3BA5B18E" w14:textId="0E5AB222" w:rsidR="00A63B53" w:rsidRPr="00D4396B" w:rsidRDefault="00A63B53" w:rsidP="003B0D3B">
      <w:pPr>
        <w:spacing w:after="120"/>
        <w:rPr>
          <w:rFonts w:eastAsia="Times New Roman"/>
          <w:noProof/>
        </w:rPr>
      </w:pPr>
      <w:r w:rsidRPr="00D4396B">
        <w:rPr>
          <w:rFonts w:eastAsia="Times New Roman"/>
          <w:noProof/>
        </w:rPr>
        <w:t xml:space="preserve">Eurojust faces challenges in distributing and prioritising the intake of requests received from Member States, with the consequence that resources are diverted to deal with </w:t>
      </w:r>
      <w:r w:rsidR="007D5715">
        <w:rPr>
          <w:rFonts w:eastAsia="Times New Roman"/>
          <w:noProof/>
        </w:rPr>
        <w:t>lower-complexity</w:t>
      </w:r>
      <w:r w:rsidR="007D5715" w:rsidRPr="00D4396B">
        <w:rPr>
          <w:rFonts w:eastAsia="Times New Roman"/>
          <w:noProof/>
        </w:rPr>
        <w:t xml:space="preserve"> </w:t>
      </w:r>
      <w:r w:rsidRPr="00D4396B">
        <w:rPr>
          <w:rFonts w:eastAsia="Times New Roman"/>
          <w:noProof/>
        </w:rPr>
        <w:t xml:space="preserve">cases, which could be handled through different channels. Uneven implementation of the </w:t>
      </w:r>
      <w:r w:rsidRPr="764CCD95">
        <w:rPr>
          <w:rFonts w:eastAsia="Times New Roman"/>
          <w:noProof/>
        </w:rPr>
        <w:t>E</w:t>
      </w:r>
      <w:r w:rsidR="6FA19D81" w:rsidRPr="764CCD95">
        <w:rPr>
          <w:rFonts w:eastAsia="Times New Roman"/>
          <w:noProof/>
        </w:rPr>
        <w:t>JR</w:t>
      </w:r>
      <w:r w:rsidRPr="00D4396B">
        <w:rPr>
          <w:rFonts w:eastAsia="Times New Roman"/>
          <w:noProof/>
        </w:rPr>
        <w:t xml:space="preserve"> across Member States amplifies this issue and constrains Eurojust’s capacity to </w:t>
      </w:r>
      <w:r w:rsidR="4D18116C" w:rsidRPr="00D4396B">
        <w:rPr>
          <w:rFonts w:eastAsia="Times New Roman"/>
          <w:noProof/>
        </w:rPr>
        <w:t>deploy</w:t>
      </w:r>
      <w:r w:rsidRPr="00D4396B">
        <w:rPr>
          <w:rFonts w:eastAsia="Times New Roman"/>
          <w:noProof/>
        </w:rPr>
        <w:t xml:space="preserve"> its full potential. The presented policy options aim to harmonise implementation of the </w:t>
      </w:r>
      <w:r w:rsidRPr="05AA6DD2">
        <w:rPr>
          <w:rFonts w:eastAsia="Times New Roman"/>
          <w:noProof/>
        </w:rPr>
        <w:t>E</w:t>
      </w:r>
      <w:r w:rsidR="44C5E594" w:rsidRPr="05AA6DD2">
        <w:rPr>
          <w:rFonts w:eastAsia="Times New Roman"/>
          <w:noProof/>
        </w:rPr>
        <w:t>JR</w:t>
      </w:r>
      <w:r w:rsidRPr="00D4396B">
        <w:rPr>
          <w:rFonts w:eastAsia="Times New Roman"/>
          <w:noProof/>
        </w:rPr>
        <w:t xml:space="preserve"> and streamline the allocation of cases (#1, #3).</w:t>
      </w:r>
    </w:p>
    <w:p w14:paraId="5E9971DF" w14:textId="1A61EFE9" w:rsidR="00A63B53" w:rsidRPr="00D4396B" w:rsidRDefault="00BC458F" w:rsidP="003B0D3B">
      <w:pPr>
        <w:spacing w:after="120"/>
        <w:rPr>
          <w:rFonts w:eastAsia="Times New Roman"/>
          <w:noProof/>
        </w:rPr>
      </w:pPr>
      <w:r w:rsidRPr="00D4396B">
        <w:rPr>
          <w:rFonts w:eastAsia="Times New Roman"/>
          <w:b/>
          <w:bCs/>
          <w:noProof/>
          <w:u w:val="single"/>
        </w:rPr>
        <w:t>B.</w:t>
      </w:r>
      <w:r w:rsidR="00A63B53" w:rsidRPr="00D4396B">
        <w:rPr>
          <w:rFonts w:eastAsia="Times New Roman"/>
          <w:b/>
          <w:bCs/>
          <w:noProof/>
          <w:u w:val="single"/>
        </w:rPr>
        <w:t>PO1:</w:t>
      </w:r>
      <w:r w:rsidR="00A63B53" w:rsidRPr="00D4396B">
        <w:rPr>
          <w:rFonts w:eastAsia="Times New Roman"/>
          <w:b/>
          <w:bCs/>
          <w:noProof/>
        </w:rPr>
        <w:t xml:space="preserve"> </w:t>
      </w:r>
      <w:r w:rsidR="00A63B53" w:rsidRPr="00D4396B">
        <w:rPr>
          <w:rFonts w:eastAsia="Times New Roman"/>
          <w:noProof/>
        </w:rPr>
        <w:t xml:space="preserve">Under this policy option, the objective of improving the allocation of cases and aligning powers of </w:t>
      </w:r>
      <w:r w:rsidR="00A63B53" w:rsidRPr="22790B69">
        <w:rPr>
          <w:rFonts w:eastAsia="Times New Roman"/>
          <w:noProof/>
        </w:rPr>
        <w:t>N</w:t>
      </w:r>
      <w:r w:rsidR="2240134C" w:rsidRPr="22790B69">
        <w:rPr>
          <w:rFonts w:eastAsia="Times New Roman"/>
          <w:noProof/>
        </w:rPr>
        <w:t>M</w:t>
      </w:r>
      <w:r w:rsidR="00A63B53" w:rsidRPr="00D4396B">
        <w:rPr>
          <w:rFonts w:eastAsia="Times New Roman"/>
          <w:noProof/>
        </w:rPr>
        <w:t>s would be pursued through the adoption of guidelines and political incentive addressed to Member States. The envisaged measures would include:</w:t>
      </w:r>
    </w:p>
    <w:p w14:paraId="3FB25752" w14:textId="5025FAE1" w:rsidR="00A63B53" w:rsidRPr="00D4396B" w:rsidRDefault="00A63B53" w:rsidP="00685F9C">
      <w:pPr>
        <w:spacing w:after="120"/>
        <w:rPr>
          <w:rFonts w:eastAsia="Times New Roman"/>
          <w:noProof/>
        </w:rPr>
      </w:pPr>
      <w:r w:rsidRPr="00D4396B">
        <w:rPr>
          <w:rFonts w:eastAsia="Times New Roman"/>
          <w:noProof/>
        </w:rPr>
        <w:t xml:space="preserve">(i.a) Adopting non-binding guidelines providing for the definition of a </w:t>
      </w:r>
      <w:r w:rsidR="00A318A0">
        <w:rPr>
          <w:rFonts w:eastAsia="Times New Roman"/>
          <w:noProof/>
        </w:rPr>
        <w:t>“</w:t>
      </w:r>
      <w:r w:rsidRPr="00D4396B">
        <w:rPr>
          <w:rFonts w:eastAsia="Times New Roman"/>
          <w:noProof/>
        </w:rPr>
        <w:t xml:space="preserve">Eurojust </w:t>
      </w:r>
      <w:r w:rsidR="00A318A0" w:rsidRPr="00D4396B">
        <w:rPr>
          <w:rFonts w:eastAsia="Times New Roman"/>
          <w:noProof/>
        </w:rPr>
        <w:t>case</w:t>
      </w:r>
      <w:r w:rsidR="00A318A0">
        <w:rPr>
          <w:rFonts w:eastAsia="Times New Roman"/>
          <w:noProof/>
        </w:rPr>
        <w:t>”</w:t>
      </w:r>
      <w:r w:rsidRPr="00D4396B">
        <w:rPr>
          <w:rFonts w:eastAsia="Times New Roman"/>
          <w:noProof/>
        </w:rPr>
        <w:t xml:space="preserve">, which must be dealt with by </w:t>
      </w:r>
      <w:r w:rsidR="00065387" w:rsidRPr="00D4396B">
        <w:rPr>
          <w:rFonts w:eastAsia="Times New Roman"/>
          <w:noProof/>
        </w:rPr>
        <w:t xml:space="preserve">the </w:t>
      </w:r>
      <w:r w:rsidRPr="00D4396B">
        <w:rPr>
          <w:rFonts w:eastAsia="Times New Roman"/>
          <w:noProof/>
        </w:rPr>
        <w:t xml:space="preserve">Agency. Cases which do not fall within the scope of the definition would have to be dealt with by the </w:t>
      </w:r>
      <w:r w:rsidRPr="5EE603A8">
        <w:rPr>
          <w:rFonts w:eastAsia="Times New Roman"/>
          <w:noProof/>
        </w:rPr>
        <w:t>E</w:t>
      </w:r>
      <w:r w:rsidR="5517A45C" w:rsidRPr="5EE603A8">
        <w:rPr>
          <w:rFonts w:eastAsia="Times New Roman"/>
          <w:noProof/>
        </w:rPr>
        <w:t>JN</w:t>
      </w:r>
      <w:r w:rsidRPr="00D4396B">
        <w:rPr>
          <w:rFonts w:eastAsia="Times New Roman"/>
          <w:noProof/>
        </w:rPr>
        <w:t xml:space="preserve"> or through bilateral cooperation. Such requests addressed at Eurojust should therefore be declined or redirected as appropriate.</w:t>
      </w:r>
    </w:p>
    <w:p w14:paraId="5A56B2ED" w14:textId="37D4C604" w:rsidR="009E4E92" w:rsidRPr="00D4396B" w:rsidRDefault="16099869" w:rsidP="00685F9C">
      <w:pPr>
        <w:spacing w:after="120"/>
        <w:rPr>
          <w:rFonts w:eastAsia="Times New Roman"/>
          <w:noProof/>
        </w:rPr>
      </w:pPr>
      <w:r w:rsidRPr="00D4396B">
        <w:rPr>
          <w:rFonts w:eastAsia="Times New Roman"/>
          <w:noProof/>
        </w:rPr>
        <w:t xml:space="preserve">(ii.a) </w:t>
      </w:r>
      <w:r w:rsidR="00F751D4" w:rsidRPr="00D4396B">
        <w:rPr>
          <w:rFonts w:eastAsia="Times New Roman"/>
          <w:noProof/>
        </w:rPr>
        <w:t xml:space="preserve">Under the current framework, </w:t>
      </w:r>
      <w:r w:rsidR="00F751D4" w:rsidRPr="22790B69">
        <w:rPr>
          <w:rFonts w:eastAsia="Times New Roman"/>
          <w:noProof/>
        </w:rPr>
        <w:t>N</w:t>
      </w:r>
      <w:r w:rsidR="16D841FF" w:rsidRPr="22790B69">
        <w:rPr>
          <w:rFonts w:eastAsia="Times New Roman"/>
          <w:noProof/>
        </w:rPr>
        <w:t>M</w:t>
      </w:r>
      <w:r w:rsidR="00F751D4" w:rsidRPr="00D4396B">
        <w:rPr>
          <w:rFonts w:eastAsia="Times New Roman"/>
          <w:noProof/>
        </w:rPr>
        <w:t xml:space="preserve">s must have the status of a prosecutor, a judge or a representative of a judicial authority with equivalent competences under national law, and Member States must grant them at least the powers laid down in the Regulation. </w:t>
      </w:r>
    </w:p>
    <w:p w14:paraId="37CCC06D" w14:textId="02681C1A" w:rsidR="00A63B53" w:rsidRPr="00D4396B" w:rsidRDefault="007178BE" w:rsidP="00D4396B">
      <w:pPr>
        <w:spacing w:after="120"/>
        <w:rPr>
          <w:rFonts w:eastAsia="Times New Roman"/>
          <w:noProof/>
        </w:rPr>
      </w:pPr>
      <w:r w:rsidRPr="00D4396B">
        <w:rPr>
          <w:rFonts w:eastAsia="Times New Roman"/>
          <w:noProof/>
        </w:rPr>
        <w:t xml:space="preserve">Through advocacy and political incentives, Member States could be encouraged to ensure that </w:t>
      </w:r>
      <w:r w:rsidRPr="0476A23A">
        <w:rPr>
          <w:rFonts w:eastAsia="Times New Roman"/>
          <w:noProof/>
        </w:rPr>
        <w:t>N</w:t>
      </w:r>
      <w:r w:rsidR="1CFC9A49" w:rsidRPr="0476A23A">
        <w:rPr>
          <w:rFonts w:eastAsia="Times New Roman"/>
          <w:noProof/>
        </w:rPr>
        <w:t>M</w:t>
      </w:r>
      <w:r w:rsidRPr="00D4396B">
        <w:rPr>
          <w:rFonts w:eastAsia="Times New Roman"/>
          <w:noProof/>
        </w:rPr>
        <w:t xml:space="preserve">s are vested, under national law, with additional powers and competences </w:t>
      </w:r>
      <w:r w:rsidR="00C12CB2" w:rsidRPr="00D4396B">
        <w:rPr>
          <w:rFonts w:eastAsia="Times New Roman"/>
          <w:noProof/>
        </w:rPr>
        <w:t xml:space="preserve">allowing them to fully </w:t>
      </w:r>
      <w:r w:rsidRPr="00D4396B">
        <w:rPr>
          <w:rFonts w:eastAsia="Times New Roman"/>
          <w:noProof/>
        </w:rPr>
        <w:t xml:space="preserve">exercise </w:t>
      </w:r>
      <w:r w:rsidR="00C12CB2" w:rsidRPr="00D4396B">
        <w:rPr>
          <w:rFonts w:eastAsia="Times New Roman"/>
          <w:noProof/>
        </w:rPr>
        <w:t xml:space="preserve">the </w:t>
      </w:r>
      <w:r w:rsidRPr="00D4396B">
        <w:rPr>
          <w:rFonts w:eastAsia="Times New Roman"/>
          <w:noProof/>
        </w:rPr>
        <w:t xml:space="preserve">operational </w:t>
      </w:r>
      <w:r w:rsidR="00C12CB2" w:rsidRPr="00D4396B">
        <w:rPr>
          <w:rFonts w:eastAsia="Times New Roman"/>
          <w:noProof/>
        </w:rPr>
        <w:t xml:space="preserve">possibilities </w:t>
      </w:r>
      <w:r w:rsidRPr="00D4396B">
        <w:rPr>
          <w:rFonts w:eastAsia="Times New Roman"/>
          <w:noProof/>
        </w:rPr>
        <w:t xml:space="preserve">provided for in the </w:t>
      </w:r>
      <w:r w:rsidRPr="144C7D21">
        <w:rPr>
          <w:rFonts w:eastAsia="Times New Roman"/>
          <w:noProof/>
        </w:rPr>
        <w:t>E</w:t>
      </w:r>
      <w:r w:rsidR="2E86E1CC" w:rsidRPr="144C7D21">
        <w:rPr>
          <w:rFonts w:eastAsia="Times New Roman"/>
          <w:noProof/>
        </w:rPr>
        <w:t>JR</w:t>
      </w:r>
      <w:r w:rsidRPr="00D4396B">
        <w:rPr>
          <w:rFonts w:eastAsia="Times New Roman"/>
          <w:noProof/>
        </w:rPr>
        <w:t>.</w:t>
      </w:r>
      <w:r w:rsidR="00CD1676" w:rsidRPr="00D4396B">
        <w:rPr>
          <w:rFonts w:eastAsia="Times New Roman"/>
          <w:noProof/>
        </w:rPr>
        <w:t xml:space="preserve"> </w:t>
      </w:r>
    </w:p>
    <w:p w14:paraId="44FEF50E" w14:textId="1842D02B" w:rsidR="00A63B53" w:rsidRPr="00D4396B" w:rsidRDefault="00712878" w:rsidP="003B0D3B">
      <w:pPr>
        <w:spacing w:after="120"/>
        <w:rPr>
          <w:rFonts w:eastAsia="Times New Roman"/>
          <w:noProof/>
        </w:rPr>
      </w:pPr>
      <w:r w:rsidRPr="00D4396B">
        <w:rPr>
          <w:rFonts w:eastAsia="Times New Roman"/>
          <w:b/>
          <w:bCs/>
          <w:noProof/>
          <w:u w:val="single"/>
        </w:rPr>
        <w:t>B.</w:t>
      </w:r>
      <w:r w:rsidR="16099869" w:rsidRPr="00D4396B">
        <w:rPr>
          <w:rFonts w:eastAsia="Times New Roman"/>
          <w:b/>
          <w:bCs/>
          <w:noProof/>
          <w:u w:val="single"/>
        </w:rPr>
        <w:t>PO2:</w:t>
      </w:r>
      <w:r w:rsidR="16099869" w:rsidRPr="00D4396B">
        <w:rPr>
          <w:rFonts w:eastAsia="Times New Roman"/>
          <w:noProof/>
        </w:rPr>
        <w:t xml:space="preserve"> Under this policy option, allocation of cases and NMs’ powers, competences, and eligibility requirements would be codified into the </w:t>
      </w:r>
      <w:r w:rsidR="4EA5CE45" w:rsidRPr="00D4396B">
        <w:rPr>
          <w:rFonts w:eastAsia="Times New Roman"/>
          <w:noProof/>
        </w:rPr>
        <w:t>E</w:t>
      </w:r>
      <w:r w:rsidR="33B13A39" w:rsidRPr="00D4396B">
        <w:rPr>
          <w:rFonts w:eastAsia="Times New Roman"/>
          <w:noProof/>
        </w:rPr>
        <w:t>J</w:t>
      </w:r>
      <w:r w:rsidR="16099869" w:rsidRPr="00D4396B">
        <w:rPr>
          <w:rFonts w:eastAsia="Times New Roman"/>
          <w:noProof/>
        </w:rPr>
        <w:t>R, leaving no legal margin for diverging practices. Proposed measures would include:</w:t>
      </w:r>
    </w:p>
    <w:p w14:paraId="040C03AA" w14:textId="5A0047DF" w:rsidR="00A63B53" w:rsidRPr="00D4396B" w:rsidRDefault="16099869" w:rsidP="00213B91">
      <w:pPr>
        <w:spacing w:after="120"/>
        <w:rPr>
          <w:rFonts w:eastAsia="Times New Roman"/>
          <w:noProof/>
        </w:rPr>
      </w:pPr>
      <w:r w:rsidRPr="00D4396B">
        <w:rPr>
          <w:rFonts w:eastAsia="Times New Roman"/>
          <w:noProof/>
        </w:rPr>
        <w:t xml:space="preserve">(i.b), (ii.b) Introducing amendments to the </w:t>
      </w:r>
      <w:r w:rsidRPr="5838F5D6">
        <w:rPr>
          <w:rFonts w:eastAsia="Times New Roman"/>
          <w:noProof/>
        </w:rPr>
        <w:t>E</w:t>
      </w:r>
      <w:r w:rsidR="7AB64363" w:rsidRPr="5838F5D6">
        <w:rPr>
          <w:rFonts w:eastAsia="Times New Roman"/>
          <w:noProof/>
        </w:rPr>
        <w:t>JR</w:t>
      </w:r>
      <w:r w:rsidRPr="00D4396B">
        <w:rPr>
          <w:rFonts w:eastAsia="Times New Roman"/>
          <w:noProof/>
        </w:rPr>
        <w:t xml:space="preserve"> defining the concept of </w:t>
      </w:r>
      <w:r w:rsidR="00A318A0">
        <w:rPr>
          <w:rFonts w:eastAsia="Times New Roman"/>
          <w:noProof/>
        </w:rPr>
        <w:t>“</w:t>
      </w:r>
      <w:r w:rsidR="123A1E60" w:rsidRPr="00D4396B">
        <w:rPr>
          <w:rFonts w:eastAsia="Times New Roman"/>
          <w:noProof/>
        </w:rPr>
        <w:t>Euroju</w:t>
      </w:r>
      <w:r w:rsidR="0A1E6D5D" w:rsidRPr="00D4396B">
        <w:rPr>
          <w:rFonts w:eastAsia="Times New Roman"/>
          <w:noProof/>
        </w:rPr>
        <w:t>s</w:t>
      </w:r>
      <w:r w:rsidR="123A1E60" w:rsidRPr="00D4396B">
        <w:rPr>
          <w:rFonts w:eastAsia="Times New Roman"/>
          <w:noProof/>
        </w:rPr>
        <w:t>t</w:t>
      </w:r>
      <w:r w:rsidRPr="00D4396B" w:rsidDel="00A318A0">
        <w:rPr>
          <w:rFonts w:eastAsia="Times New Roman"/>
          <w:noProof/>
        </w:rPr>
        <w:t xml:space="preserve"> </w:t>
      </w:r>
      <w:r w:rsidR="00A318A0" w:rsidRPr="00D4396B">
        <w:rPr>
          <w:rFonts w:eastAsia="Times New Roman"/>
          <w:noProof/>
        </w:rPr>
        <w:t>case</w:t>
      </w:r>
      <w:r w:rsidR="00A318A0">
        <w:rPr>
          <w:rFonts w:eastAsia="Times New Roman"/>
          <w:noProof/>
        </w:rPr>
        <w:t>”</w:t>
      </w:r>
      <w:r w:rsidRPr="00D4396B">
        <w:rPr>
          <w:rFonts w:eastAsia="Times New Roman"/>
          <w:noProof/>
        </w:rPr>
        <w:t xml:space="preserve"> and laying down strict eligibility criteria for the appointment of </w:t>
      </w:r>
      <w:r w:rsidRPr="732AE5FA">
        <w:rPr>
          <w:rFonts w:eastAsia="Times New Roman"/>
          <w:noProof/>
        </w:rPr>
        <w:t>N</w:t>
      </w:r>
      <w:r w:rsidR="061D9EA7" w:rsidRPr="732AE5FA">
        <w:rPr>
          <w:rFonts w:eastAsia="Times New Roman"/>
          <w:noProof/>
        </w:rPr>
        <w:t>M</w:t>
      </w:r>
      <w:r w:rsidRPr="00D4396B">
        <w:rPr>
          <w:rFonts w:eastAsia="Times New Roman"/>
          <w:noProof/>
        </w:rPr>
        <w:t>s – requiring that they</w:t>
      </w:r>
      <w:r w:rsidR="00A45967" w:rsidRPr="00D4396B">
        <w:rPr>
          <w:rFonts w:eastAsia="Times New Roman"/>
          <w:noProof/>
        </w:rPr>
        <w:t xml:space="preserve"> </w:t>
      </w:r>
      <w:r w:rsidR="5748F76E" w:rsidRPr="00D4396B">
        <w:rPr>
          <w:rFonts w:eastAsia="Times New Roman"/>
          <w:noProof/>
        </w:rPr>
        <w:t>be</w:t>
      </w:r>
      <w:r w:rsidRPr="00D4396B">
        <w:rPr>
          <w:rFonts w:eastAsia="Times New Roman"/>
          <w:noProof/>
        </w:rPr>
        <w:t xml:space="preserve"> endowed with specific</w:t>
      </w:r>
      <w:r w:rsidR="00A45967" w:rsidRPr="00D4396B">
        <w:rPr>
          <w:rFonts w:eastAsia="Times New Roman"/>
          <w:noProof/>
        </w:rPr>
        <w:t xml:space="preserve"> judicial</w:t>
      </w:r>
      <w:r w:rsidRPr="00D4396B">
        <w:rPr>
          <w:rFonts w:eastAsia="Times New Roman"/>
          <w:noProof/>
        </w:rPr>
        <w:t xml:space="preserve"> powers under national law.</w:t>
      </w:r>
    </w:p>
    <w:p w14:paraId="5BF5419C" w14:textId="7C78CDAD" w:rsidR="00A63B53" w:rsidRPr="00D4396B" w:rsidRDefault="7CC4898A" w:rsidP="522EFC56">
      <w:pPr>
        <w:spacing w:after="120"/>
        <w:rPr>
          <w:rFonts w:eastAsia="Times New Roman"/>
          <w:noProof/>
        </w:rPr>
      </w:pPr>
      <w:r w:rsidRPr="00D4396B">
        <w:rPr>
          <w:rFonts w:eastAsia="Times New Roman"/>
          <w:noProof/>
        </w:rPr>
        <w:t xml:space="preserve">(iii) In addition, </w:t>
      </w:r>
      <w:r w:rsidR="3FEBFEA8" w:rsidRPr="18FD4466">
        <w:rPr>
          <w:rFonts w:eastAsia="Times New Roman"/>
          <w:noProof/>
        </w:rPr>
        <w:t>NMs will be</w:t>
      </w:r>
      <w:r w:rsidR="50A98F50" w:rsidRPr="00D4396B">
        <w:rPr>
          <w:rFonts w:eastAsia="Times New Roman"/>
          <w:noProof/>
        </w:rPr>
        <w:t xml:space="preserve">, under </w:t>
      </w:r>
      <w:r w:rsidR="2A635018" w:rsidRPr="00D4396B">
        <w:rPr>
          <w:rFonts w:eastAsia="Times New Roman"/>
          <w:noProof/>
        </w:rPr>
        <w:t xml:space="preserve">their </w:t>
      </w:r>
      <w:r w:rsidR="50A98F50" w:rsidRPr="00D4396B">
        <w:rPr>
          <w:rFonts w:eastAsia="Times New Roman"/>
          <w:noProof/>
        </w:rPr>
        <w:t>national law,</w:t>
      </w:r>
      <w:r w:rsidR="00DF7DE7">
        <w:rPr>
          <w:rFonts w:eastAsia="Times New Roman"/>
          <w:noProof/>
        </w:rPr>
        <w:t xml:space="preserve"> </w:t>
      </w:r>
      <w:r w:rsidR="31CC69BE" w:rsidRPr="00D4396B">
        <w:rPr>
          <w:rFonts w:eastAsia="Times New Roman"/>
          <w:noProof/>
        </w:rPr>
        <w:t xml:space="preserve">empowered to act as issuing </w:t>
      </w:r>
      <w:r w:rsidR="42A0A981" w:rsidRPr="00D4396B">
        <w:rPr>
          <w:rFonts w:eastAsia="Times New Roman"/>
          <w:noProof/>
        </w:rPr>
        <w:t>(</w:t>
      </w:r>
      <w:r w:rsidR="31CC69BE" w:rsidRPr="00D4396B">
        <w:rPr>
          <w:rFonts w:eastAsia="Times New Roman"/>
          <w:noProof/>
        </w:rPr>
        <w:t>or</w:t>
      </w:r>
      <w:r w:rsidR="42A0A981" w:rsidRPr="00D4396B">
        <w:rPr>
          <w:rFonts w:eastAsia="Times New Roman"/>
          <w:noProof/>
        </w:rPr>
        <w:t>, where relevant, as</w:t>
      </w:r>
      <w:r w:rsidR="31CC69BE" w:rsidRPr="00D4396B">
        <w:rPr>
          <w:rFonts w:eastAsia="Times New Roman"/>
          <w:noProof/>
        </w:rPr>
        <w:t xml:space="preserve"> executing</w:t>
      </w:r>
      <w:r w:rsidR="42A0A981" w:rsidRPr="00D4396B">
        <w:rPr>
          <w:rFonts w:eastAsia="Times New Roman"/>
          <w:noProof/>
        </w:rPr>
        <w:t>)</w:t>
      </w:r>
      <w:r w:rsidR="31CC69BE" w:rsidRPr="00D4396B">
        <w:rPr>
          <w:rFonts w:eastAsia="Times New Roman"/>
          <w:noProof/>
        </w:rPr>
        <w:t xml:space="preserve"> authorities for the purposes of </w:t>
      </w:r>
      <w:r w:rsidR="77C22542" w:rsidRPr="00D4396B">
        <w:rPr>
          <w:rFonts w:eastAsia="Times New Roman"/>
          <w:noProof/>
        </w:rPr>
        <w:t xml:space="preserve">EU </w:t>
      </w:r>
      <w:r w:rsidR="31CC69BE" w:rsidRPr="00D4396B">
        <w:rPr>
          <w:rFonts w:eastAsia="Times New Roman"/>
          <w:noProof/>
        </w:rPr>
        <w:t>judicial cooperation instruments based on mutual recognition, including</w:t>
      </w:r>
      <w:r w:rsidR="24544A0A" w:rsidRPr="522EFC56">
        <w:rPr>
          <w:rFonts w:eastAsia="Times New Roman"/>
          <w:noProof/>
        </w:rPr>
        <w:t xml:space="preserve"> </w:t>
      </w:r>
      <w:r w:rsidRPr="522EFC56">
        <w:rPr>
          <w:rFonts w:eastAsia="Times New Roman"/>
          <w:noProof/>
        </w:rPr>
        <w:t>freezing orders</w:t>
      </w:r>
      <w:r w:rsidR="505FB89F" w:rsidRPr="522EFC56">
        <w:rPr>
          <w:rFonts w:eastAsia="Times New Roman"/>
          <w:noProof/>
        </w:rPr>
        <w:t xml:space="preserve"> (or immediate action preserving the property</w:t>
      </w:r>
      <w:r w:rsidR="505FB89F" w:rsidRPr="522EFC56">
        <w:rPr>
          <w:rFonts w:eastAsia="Times New Roman"/>
          <w:noProof/>
          <w:color w:val="000000" w:themeColor="text1"/>
        </w:rPr>
        <w:t xml:space="preserve"> until a freezing order has been issued)</w:t>
      </w:r>
      <w:r w:rsidRPr="522EFC56">
        <w:rPr>
          <w:rFonts w:eastAsia="Times New Roman"/>
          <w:noProof/>
        </w:rPr>
        <w:t xml:space="preserve">, </w:t>
      </w:r>
      <w:r w:rsidR="06FDCF6E" w:rsidRPr="522EFC56">
        <w:rPr>
          <w:rFonts w:eastAsia="Times New Roman"/>
          <w:noProof/>
        </w:rPr>
        <w:t>relevant orders on e-evidence</w:t>
      </w:r>
      <w:r w:rsidR="00A63B53" w:rsidRPr="522EFC56">
        <w:rPr>
          <w:rStyle w:val="FootnoteReference"/>
          <w:rFonts w:eastAsia="Times New Roman"/>
          <w:noProof/>
        </w:rPr>
        <w:footnoteReference w:id="105"/>
      </w:r>
      <w:r w:rsidRPr="522EFC56">
        <w:rPr>
          <w:rFonts w:eastAsia="Times New Roman"/>
          <w:noProof/>
        </w:rPr>
        <w:t>,</w:t>
      </w:r>
      <w:r w:rsidR="00957CFD">
        <w:rPr>
          <w:rFonts w:eastAsia="Times New Roman"/>
          <w:noProof/>
        </w:rPr>
        <w:t xml:space="preserve"> </w:t>
      </w:r>
      <w:r w:rsidRPr="522EFC56">
        <w:rPr>
          <w:rFonts w:eastAsia="Times New Roman"/>
          <w:noProof/>
        </w:rPr>
        <w:t>and to sign JIT agreements.</w:t>
      </w:r>
      <w:r w:rsidR="03A58047" w:rsidRPr="522EFC56">
        <w:rPr>
          <w:rFonts w:eastAsia="Times New Roman"/>
          <w:noProof/>
        </w:rPr>
        <w:t xml:space="preserve"> This would help address the current uneven landscape across Member States by establishing a common minimum level of operational powers for all N</w:t>
      </w:r>
      <w:r w:rsidR="05B08E77" w:rsidRPr="522EFC56">
        <w:rPr>
          <w:rFonts w:eastAsia="Times New Roman"/>
          <w:noProof/>
        </w:rPr>
        <w:t>M</w:t>
      </w:r>
      <w:r w:rsidR="03A58047" w:rsidRPr="522EFC56">
        <w:rPr>
          <w:rFonts w:eastAsia="Times New Roman"/>
          <w:noProof/>
        </w:rPr>
        <w:t>s</w:t>
      </w:r>
      <w:r w:rsidR="0D09CA69" w:rsidRPr="522EFC56">
        <w:rPr>
          <w:rFonts w:eastAsia="Times New Roman"/>
          <w:noProof/>
        </w:rPr>
        <w:t xml:space="preserve">, while respecting the relevant requirements of the </w:t>
      </w:r>
      <w:r w:rsidR="7562B341" w:rsidRPr="522EFC56">
        <w:rPr>
          <w:rFonts w:eastAsia="Times New Roman"/>
          <w:noProof/>
        </w:rPr>
        <w:t xml:space="preserve">judicial cooperation </w:t>
      </w:r>
      <w:r w:rsidR="0D09CA69" w:rsidRPr="522EFC56">
        <w:rPr>
          <w:rFonts w:eastAsia="Times New Roman"/>
          <w:noProof/>
        </w:rPr>
        <w:t>instrument concerned</w:t>
      </w:r>
      <w:r w:rsidR="03A58047" w:rsidRPr="522EFC56">
        <w:rPr>
          <w:rFonts w:eastAsia="Times New Roman"/>
          <w:noProof/>
        </w:rPr>
        <w:t>.</w:t>
      </w:r>
    </w:p>
    <w:p w14:paraId="6AE2E7FE" w14:textId="3199301D" w:rsidR="00A63B53" w:rsidRPr="00D4396B" w:rsidRDefault="00712878" w:rsidP="003B0D3B">
      <w:pPr>
        <w:spacing w:after="120"/>
        <w:rPr>
          <w:rFonts w:eastAsia="Times New Roman"/>
          <w:noProof/>
        </w:rPr>
      </w:pPr>
      <w:r w:rsidRPr="00D4396B">
        <w:rPr>
          <w:rFonts w:eastAsia="Times New Roman"/>
          <w:b/>
          <w:bCs/>
          <w:noProof/>
          <w:u w:val="single"/>
        </w:rPr>
        <w:t>B.</w:t>
      </w:r>
      <w:r w:rsidR="00A63B53" w:rsidRPr="00D4396B">
        <w:rPr>
          <w:rFonts w:eastAsia="Times New Roman"/>
          <w:b/>
          <w:bCs/>
          <w:noProof/>
          <w:u w:val="single"/>
        </w:rPr>
        <w:t>PO3:</w:t>
      </w:r>
      <w:r w:rsidR="00A63B53" w:rsidRPr="00D4396B">
        <w:rPr>
          <w:rFonts w:eastAsia="Times New Roman"/>
          <w:noProof/>
        </w:rPr>
        <w:t xml:space="preserve"> This policy option entails the most far-reaching changes to the powers and competences of </w:t>
      </w:r>
      <w:r w:rsidR="00A63B53" w:rsidRPr="5E68EAC0">
        <w:rPr>
          <w:rFonts w:eastAsia="Times New Roman"/>
          <w:noProof/>
        </w:rPr>
        <w:t>N</w:t>
      </w:r>
      <w:r w:rsidR="222C0482" w:rsidRPr="5E68EAC0">
        <w:rPr>
          <w:rFonts w:eastAsia="Times New Roman"/>
          <w:noProof/>
        </w:rPr>
        <w:t>M</w:t>
      </w:r>
      <w:r w:rsidR="00A63B53" w:rsidRPr="00D4396B">
        <w:rPr>
          <w:rFonts w:eastAsia="Times New Roman"/>
          <w:noProof/>
        </w:rPr>
        <w:t>s, exploiting to the full extent the legal basis set out in Article 85 TFEU, boosting the Agency’s proactivity. Envisaged measures include:</w:t>
      </w:r>
    </w:p>
    <w:p w14:paraId="1DEAF1D0" w14:textId="3631CE7E" w:rsidR="00A63B53" w:rsidRPr="00D4396B" w:rsidRDefault="00A63B53" w:rsidP="0061435E">
      <w:pPr>
        <w:spacing w:after="120"/>
        <w:rPr>
          <w:rFonts w:eastAsia="Times New Roman"/>
          <w:noProof/>
        </w:rPr>
      </w:pPr>
      <w:r w:rsidRPr="00D4396B">
        <w:rPr>
          <w:rFonts w:eastAsia="Times New Roman"/>
          <w:noProof/>
        </w:rPr>
        <w:t xml:space="preserve">(i.b), (ii.b), (iii) Introducing all the amendments to the </w:t>
      </w:r>
      <w:r w:rsidRPr="32768D31">
        <w:rPr>
          <w:rFonts w:eastAsia="Times New Roman"/>
          <w:noProof/>
        </w:rPr>
        <w:t>E</w:t>
      </w:r>
      <w:r w:rsidR="26447436" w:rsidRPr="32768D31">
        <w:rPr>
          <w:rFonts w:eastAsia="Times New Roman"/>
          <w:noProof/>
        </w:rPr>
        <w:t>JR</w:t>
      </w:r>
      <w:r w:rsidRPr="00D4396B">
        <w:rPr>
          <w:rFonts w:eastAsia="Times New Roman"/>
          <w:noProof/>
        </w:rPr>
        <w:t xml:space="preserve"> outlined above, codifying the definition of </w:t>
      </w:r>
      <w:r w:rsidR="00A318A0">
        <w:rPr>
          <w:rFonts w:eastAsia="Times New Roman"/>
          <w:noProof/>
        </w:rPr>
        <w:t>a “</w:t>
      </w:r>
      <w:r w:rsidRPr="00D4396B">
        <w:rPr>
          <w:rFonts w:eastAsia="Times New Roman"/>
          <w:noProof/>
        </w:rPr>
        <w:t>Eurojust case</w:t>
      </w:r>
      <w:r w:rsidR="00A318A0">
        <w:rPr>
          <w:rFonts w:eastAsia="Times New Roman"/>
          <w:noProof/>
        </w:rPr>
        <w:t>”</w:t>
      </w:r>
      <w:r w:rsidRPr="00D4396B">
        <w:rPr>
          <w:rFonts w:eastAsia="Times New Roman"/>
          <w:noProof/>
        </w:rPr>
        <w:t xml:space="preserve">, eligibility requirements and </w:t>
      </w:r>
      <w:r w:rsidR="00D973C0" w:rsidRPr="00D4396B">
        <w:rPr>
          <w:rFonts w:eastAsia="Times New Roman"/>
          <w:noProof/>
        </w:rPr>
        <w:t xml:space="preserve">harmonising </w:t>
      </w:r>
      <w:r w:rsidR="649F3CFE" w:rsidRPr="00D4396B">
        <w:rPr>
          <w:rFonts w:eastAsia="Times New Roman"/>
          <w:noProof/>
        </w:rPr>
        <w:t xml:space="preserve">the powers and </w:t>
      </w:r>
      <w:r w:rsidR="00D973C0" w:rsidRPr="00D4396B">
        <w:rPr>
          <w:rFonts w:eastAsia="Times New Roman"/>
          <w:noProof/>
        </w:rPr>
        <w:t xml:space="preserve">competences of </w:t>
      </w:r>
      <w:r w:rsidRPr="5E68EAC0">
        <w:rPr>
          <w:rFonts w:eastAsia="Times New Roman"/>
          <w:noProof/>
        </w:rPr>
        <w:t>N</w:t>
      </w:r>
      <w:r w:rsidR="152EB596" w:rsidRPr="5E68EAC0">
        <w:rPr>
          <w:rFonts w:eastAsia="Times New Roman"/>
          <w:noProof/>
        </w:rPr>
        <w:t>M</w:t>
      </w:r>
      <w:r w:rsidRPr="00D4396B">
        <w:rPr>
          <w:rFonts w:eastAsia="Times New Roman"/>
          <w:noProof/>
        </w:rPr>
        <w:t>s.</w:t>
      </w:r>
    </w:p>
    <w:p w14:paraId="594B79D3" w14:textId="221A587E" w:rsidR="00A63B53" w:rsidRPr="00D4396B" w:rsidRDefault="337F6DB3" w:rsidP="0061435E">
      <w:pPr>
        <w:spacing w:after="120"/>
        <w:rPr>
          <w:rFonts w:eastAsia="Times New Roman"/>
          <w:noProof/>
        </w:rPr>
      </w:pPr>
      <w:r w:rsidRPr="00D4396B">
        <w:rPr>
          <w:rFonts w:eastAsia="Times New Roman"/>
          <w:noProof/>
        </w:rPr>
        <w:t xml:space="preserve">(iv) In addition, </w:t>
      </w:r>
      <w:r w:rsidRPr="5E68EAC0">
        <w:rPr>
          <w:rFonts w:eastAsia="Times New Roman"/>
          <w:noProof/>
        </w:rPr>
        <w:t>N</w:t>
      </w:r>
      <w:r w:rsidR="5252807D" w:rsidRPr="5E68EAC0">
        <w:rPr>
          <w:rFonts w:eastAsia="Times New Roman"/>
          <w:noProof/>
        </w:rPr>
        <w:t>M</w:t>
      </w:r>
      <w:r w:rsidRPr="00D4396B">
        <w:rPr>
          <w:rFonts w:eastAsia="Times New Roman"/>
          <w:noProof/>
        </w:rPr>
        <w:t>s would be endowed with the authority to open cases on serious cross-border crimes</w:t>
      </w:r>
      <w:r w:rsidR="54A47ABC" w:rsidRPr="00D4396B">
        <w:rPr>
          <w:rFonts w:eastAsia="Times New Roman"/>
          <w:noProof/>
        </w:rPr>
        <w:t>, subject to follow up by national authorities</w:t>
      </w:r>
      <w:r w:rsidRPr="00D4396B">
        <w:rPr>
          <w:rFonts w:eastAsia="Times New Roman"/>
          <w:noProof/>
        </w:rPr>
        <w:t xml:space="preserve">. </w:t>
      </w:r>
      <w:r w:rsidRPr="00D4396B">
        <w:rPr>
          <w:rFonts w:eastAsia="Times New Roman"/>
          <w:noProof/>
          <w:lang w:val="en-US"/>
        </w:rPr>
        <w:t xml:space="preserve">While the competent national authorities would remain in charge of the investigations (retaining the power to close the case </w:t>
      </w:r>
      <w:r w:rsidRPr="0A87B82F">
        <w:rPr>
          <w:rFonts w:eastAsia="Times New Roman"/>
          <w:noProof/>
          <w:lang w:val="en-US"/>
        </w:rPr>
        <w:t>open</w:t>
      </w:r>
      <w:r w:rsidR="15F2E23A" w:rsidRPr="0A87B82F">
        <w:rPr>
          <w:rFonts w:eastAsia="Times New Roman"/>
          <w:noProof/>
          <w:lang w:val="en-US"/>
        </w:rPr>
        <w:t>ed by</w:t>
      </w:r>
      <w:r w:rsidRPr="00D4396B">
        <w:rPr>
          <w:rFonts w:eastAsia="Times New Roman"/>
          <w:noProof/>
          <w:lang w:val="en-US"/>
        </w:rPr>
        <w:t xml:space="preserve"> Eurojust if they do not find grounds to pursue it), </w:t>
      </w:r>
      <w:r w:rsidR="23C18167" w:rsidRPr="00D4396B">
        <w:rPr>
          <w:rFonts w:eastAsia="Times New Roman"/>
          <w:noProof/>
        </w:rPr>
        <w:t>this</w:t>
      </w:r>
      <w:r w:rsidRPr="00D4396B">
        <w:rPr>
          <w:rFonts w:eastAsia="Times New Roman"/>
          <w:noProof/>
          <w:lang w:val="en-US"/>
        </w:rPr>
        <w:t xml:space="preserve"> would enable</w:t>
      </w:r>
      <w:r w:rsidRPr="00D4396B">
        <w:rPr>
          <w:rFonts w:eastAsia="Times New Roman"/>
          <w:noProof/>
        </w:rPr>
        <w:t xml:space="preserve"> Eurojust to trigger </w:t>
      </w:r>
      <w:r w:rsidR="42467461" w:rsidRPr="00D4396B">
        <w:rPr>
          <w:rFonts w:eastAsia="Times New Roman"/>
          <w:noProof/>
        </w:rPr>
        <w:t>a file</w:t>
      </w:r>
      <w:r w:rsidRPr="00D4396B">
        <w:rPr>
          <w:rFonts w:eastAsia="Times New Roman"/>
          <w:noProof/>
        </w:rPr>
        <w:t xml:space="preserve"> and flag situations of particular relevance.</w:t>
      </w:r>
    </w:p>
    <w:p w14:paraId="657E0F70" w14:textId="13446E19" w:rsidR="00DA4F7A" w:rsidRPr="00DA4F7A" w:rsidRDefault="67132DEA" w:rsidP="00810ECF">
      <w:pPr>
        <w:pStyle w:val="Heading4"/>
        <w:ind w:left="567" w:firstLine="0"/>
        <w:rPr>
          <w:noProof/>
        </w:rPr>
      </w:pPr>
      <w:bookmarkStart w:id="150" w:name="_Toc232176418"/>
      <w:r w:rsidRPr="00947BB2">
        <w:rPr>
          <w:noProof/>
        </w:rPr>
        <w:t>5.2.1.3</w:t>
      </w:r>
      <w:r w:rsidR="009673B0" w:rsidRPr="001D6F76">
        <w:rPr>
          <w:noProof/>
        </w:rPr>
        <w:tab/>
      </w:r>
      <w:r w:rsidR="16099869" w:rsidRPr="00947BB2">
        <w:rPr>
          <w:noProof/>
        </w:rPr>
        <w:t>Area of intervention C. Establishing a streamlined, coherent and role-clear governance system that accelerates decision-making</w:t>
      </w:r>
      <w:bookmarkEnd w:id="150"/>
    </w:p>
    <w:p w14:paraId="6CDEE715" w14:textId="62981B69" w:rsidR="00983E6E" w:rsidRPr="00947BB2" w:rsidRDefault="509AB6F9" w:rsidP="00E22370">
      <w:pPr>
        <w:keepNext/>
        <w:rPr>
          <w:noProof/>
          <w:u w:val="single"/>
        </w:rPr>
      </w:pPr>
      <w:r w:rsidRPr="00947BB2">
        <w:rPr>
          <w:noProof/>
          <w:u w:val="single"/>
        </w:rPr>
        <w:t xml:space="preserve">Table </w:t>
      </w:r>
      <w:r w:rsidR="0091021B">
        <w:rPr>
          <w:noProof/>
          <w:u w:val="single"/>
        </w:rPr>
        <w:t>3</w:t>
      </w:r>
      <w:r w:rsidRPr="00947BB2">
        <w:rPr>
          <w:noProof/>
          <w:u w:val="single"/>
        </w:rPr>
        <w:t>: Governance reforms</w:t>
      </w:r>
    </w:p>
    <w:p w14:paraId="63E7AF92" w14:textId="45925479" w:rsidR="00DA4F7A" w:rsidRPr="00D4396B" w:rsidRDefault="00DA4F7A" w:rsidP="00E22370">
      <w:pPr>
        <w:spacing w:after="120"/>
        <w:ind w:left="-993" w:right="-1163"/>
        <w:rPr>
          <w:noProof/>
        </w:rPr>
      </w:pPr>
      <w:r>
        <w:rPr>
          <w:noProof/>
          <w:lang w:eastAsia="en-GB"/>
        </w:rPr>
        <w:drawing>
          <wp:inline distT="0" distB="0" distL="0" distR="0" wp14:anchorId="14672813" wp14:editId="248D673C">
            <wp:extent cx="6990442" cy="4714875"/>
            <wp:effectExtent l="0" t="0" r="1270" b="0"/>
            <wp:docPr id="11352701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270176" name=""/>
                    <pic:cNvPicPr/>
                  </pic:nvPicPr>
                  <pic:blipFill rotWithShape="1">
                    <a:blip r:embed="rId26">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7"/>
                        </a:ext>
                      </a:extLst>
                    </a:blip>
                    <a:srcRect t="3017" r="4793" b="15532"/>
                    <a:stretch>
                      <a:fillRect/>
                    </a:stretch>
                  </pic:blipFill>
                  <pic:spPr bwMode="auto">
                    <a:xfrm>
                      <a:off x="0" y="0"/>
                      <a:ext cx="6996241" cy="4718786"/>
                    </a:xfrm>
                    <a:prstGeom prst="rect">
                      <a:avLst/>
                    </a:prstGeom>
                    <a:ln>
                      <a:noFill/>
                    </a:ln>
                    <a:extLst>
                      <a:ext uri="{53640926-AAD7-44D8-BBD7-CCE9431645EC}">
                        <a14:shadowObscured xmlns:a14="http://schemas.microsoft.com/office/drawing/2010/main"/>
                      </a:ext>
                    </a:extLst>
                  </pic:spPr>
                </pic:pic>
              </a:graphicData>
            </a:graphic>
          </wp:inline>
        </w:drawing>
      </w:r>
    </w:p>
    <w:p w14:paraId="038D20EE" w14:textId="6024011C" w:rsidR="00A63B53" w:rsidRPr="00D4396B" w:rsidRDefault="00A63B53" w:rsidP="009F486B">
      <w:pPr>
        <w:spacing w:after="120"/>
        <w:rPr>
          <w:rFonts w:eastAsia="Times New Roman"/>
          <w:noProof/>
        </w:rPr>
      </w:pPr>
      <w:r w:rsidRPr="00D4396B">
        <w:rPr>
          <w:rFonts w:eastAsia="Times New Roman"/>
          <w:noProof/>
        </w:rPr>
        <w:t>While Eurojust carries out operational work effectively, its overall efficiency could be improved. The promptness of Eurojust’s response to new phenomena and emerging threats is constrained by unclear process</w:t>
      </w:r>
      <w:r w:rsidR="726DCAB0" w:rsidRPr="00D4396B">
        <w:rPr>
          <w:rFonts w:eastAsia="Times New Roman"/>
          <w:noProof/>
        </w:rPr>
        <w:t>es</w:t>
      </w:r>
      <w:r w:rsidRPr="00D4396B">
        <w:rPr>
          <w:rFonts w:eastAsia="Times New Roman"/>
          <w:noProof/>
        </w:rPr>
        <w:t xml:space="preserve"> resulting in duplication of work and slow decision-making. These policy options propose different levels of reshaping of the Eurojust’s governance aimed at distributing responsibilities more clearly and enhancing efficient strategic steering (#4, #5).</w:t>
      </w:r>
    </w:p>
    <w:p w14:paraId="5834F11F" w14:textId="417755DE" w:rsidR="00A63B53" w:rsidRPr="00D4396B" w:rsidRDefault="00A63B53" w:rsidP="003B0D3B">
      <w:pPr>
        <w:spacing w:after="120"/>
        <w:rPr>
          <w:rFonts w:eastAsia="Times New Roman"/>
          <w:noProof/>
        </w:rPr>
      </w:pPr>
      <w:r w:rsidRPr="00D4396B">
        <w:rPr>
          <w:rFonts w:eastAsia="Times New Roman"/>
          <w:noProof/>
        </w:rPr>
        <w:t xml:space="preserve">Each policy option describes a different governance model. Under </w:t>
      </w:r>
      <w:r w:rsidR="00641E6B" w:rsidRPr="00D4396B">
        <w:rPr>
          <w:rFonts w:eastAsia="Times New Roman"/>
          <w:noProof/>
        </w:rPr>
        <w:t>C.</w:t>
      </w:r>
      <w:r w:rsidRPr="00D4396B">
        <w:rPr>
          <w:rFonts w:eastAsia="Times New Roman"/>
          <w:noProof/>
        </w:rPr>
        <w:t xml:space="preserve">PO1, the existing governance remains unchanged, while measures are taken to facilitate swift processes and steering, </w:t>
      </w:r>
      <w:r w:rsidR="00641E6B" w:rsidRPr="00D4396B">
        <w:rPr>
          <w:rFonts w:eastAsia="Times New Roman"/>
          <w:noProof/>
        </w:rPr>
        <w:t>C.</w:t>
      </w:r>
      <w:r w:rsidRPr="00D4396B">
        <w:rPr>
          <w:rFonts w:eastAsia="Times New Roman"/>
          <w:noProof/>
        </w:rPr>
        <w:t xml:space="preserve">PO2 and </w:t>
      </w:r>
      <w:r w:rsidR="00641E6B" w:rsidRPr="00D4396B">
        <w:rPr>
          <w:rFonts w:eastAsia="Times New Roman"/>
          <w:noProof/>
        </w:rPr>
        <w:t>C.</w:t>
      </w:r>
      <w:r w:rsidRPr="00D4396B">
        <w:rPr>
          <w:rFonts w:eastAsia="Times New Roman"/>
          <w:noProof/>
        </w:rPr>
        <w:t>PO3 describe two degrees of changes to the governance models</w:t>
      </w:r>
      <w:r w:rsidR="00906F60" w:rsidRPr="00D4396B">
        <w:rPr>
          <w:rFonts w:eastAsia="Times New Roman"/>
          <w:noProof/>
        </w:rPr>
        <w:t xml:space="preserve">, also entailing a degree of review of the allocation of responsibilities </w:t>
      </w:r>
      <w:r w:rsidR="002E38BC" w:rsidRPr="00D4396B">
        <w:rPr>
          <w:rFonts w:eastAsia="Times New Roman"/>
          <w:noProof/>
        </w:rPr>
        <w:t>(i)</w:t>
      </w:r>
      <w:r w:rsidR="00906F60" w:rsidRPr="00D4396B">
        <w:rPr>
          <w:rFonts w:eastAsia="Times New Roman"/>
          <w:noProof/>
        </w:rPr>
        <w:t xml:space="preserve"> </w:t>
      </w:r>
      <w:r w:rsidR="00C61273" w:rsidRPr="00D4396B">
        <w:rPr>
          <w:rFonts w:eastAsia="Times New Roman"/>
          <w:noProof/>
        </w:rPr>
        <w:t xml:space="preserve">and the change of composition of the </w:t>
      </w:r>
      <w:r w:rsidR="00411ABC">
        <w:rPr>
          <w:rFonts w:eastAsia="Times New Roman"/>
          <w:noProof/>
        </w:rPr>
        <w:t>EB</w:t>
      </w:r>
      <w:r w:rsidR="00C61273" w:rsidRPr="00D4396B">
        <w:rPr>
          <w:rFonts w:eastAsia="Times New Roman"/>
          <w:noProof/>
        </w:rPr>
        <w:t xml:space="preserve"> (ii)</w:t>
      </w:r>
      <w:r w:rsidRPr="00D4396B">
        <w:rPr>
          <w:rFonts w:eastAsia="Times New Roman"/>
          <w:noProof/>
        </w:rPr>
        <w:t>.</w:t>
      </w:r>
    </w:p>
    <w:p w14:paraId="021327FA" w14:textId="065FA313" w:rsidR="00A63B53" w:rsidRPr="00D4396B" w:rsidRDefault="002E38BC" w:rsidP="003B0D3B">
      <w:pPr>
        <w:spacing w:after="120"/>
        <w:rPr>
          <w:rFonts w:eastAsia="Times New Roman"/>
          <w:noProof/>
        </w:rPr>
      </w:pPr>
      <w:r w:rsidRPr="00D4396B">
        <w:rPr>
          <w:rFonts w:eastAsia="Times New Roman"/>
          <w:b/>
          <w:bCs/>
          <w:noProof/>
          <w:u w:val="single"/>
        </w:rPr>
        <w:t>C.</w:t>
      </w:r>
      <w:r w:rsidR="00A63B53" w:rsidRPr="00D4396B">
        <w:rPr>
          <w:rFonts w:eastAsia="Times New Roman"/>
          <w:b/>
          <w:bCs/>
          <w:noProof/>
          <w:u w:val="single"/>
        </w:rPr>
        <w:t>PO1:</w:t>
      </w:r>
      <w:r w:rsidR="00A63B53" w:rsidRPr="00D4396B">
        <w:rPr>
          <w:rFonts w:eastAsia="Times New Roman"/>
          <w:noProof/>
        </w:rPr>
        <w:t xml:space="preserve"> (i) The governance structure remains unchanged, based on the assumption that it is only concrete implementation which needs to be improved. This option comprises soft-law measures aimed at improving the governance of the agency by focusing on three main areas:</w:t>
      </w:r>
    </w:p>
    <w:p w14:paraId="33F16302" w14:textId="1A25EE68" w:rsidR="00A63B53" w:rsidRPr="00D4396B" w:rsidRDefault="00A63B53" w:rsidP="000F169A">
      <w:pPr>
        <w:pStyle w:val="ListParagraph"/>
        <w:numPr>
          <w:ilvl w:val="0"/>
          <w:numId w:val="4"/>
        </w:numPr>
        <w:spacing w:after="120"/>
        <w:ind w:left="567" w:hanging="567"/>
        <w:contextualSpacing w:val="0"/>
        <w:rPr>
          <w:rFonts w:eastAsia="Times New Roman"/>
          <w:noProof/>
        </w:rPr>
      </w:pPr>
      <w:r w:rsidRPr="00D4396B">
        <w:rPr>
          <w:rFonts w:eastAsia="Times New Roman"/>
          <w:noProof/>
        </w:rPr>
        <w:t xml:space="preserve">reducing the administrative aspect of the College's work by focusing its non-operational activities more on major managerial decisions, leaving less important managerial decisions to the </w:t>
      </w:r>
      <w:r w:rsidR="00411ABC">
        <w:rPr>
          <w:rFonts w:eastAsia="Times New Roman"/>
          <w:noProof/>
        </w:rPr>
        <w:t>EB</w:t>
      </w:r>
      <w:r w:rsidRPr="00D4396B">
        <w:rPr>
          <w:rFonts w:eastAsia="Times New Roman"/>
          <w:noProof/>
        </w:rPr>
        <w:t>;</w:t>
      </w:r>
    </w:p>
    <w:p w14:paraId="4E701E9E" w14:textId="3C37CD92" w:rsidR="00A63B53" w:rsidRPr="00D4396B" w:rsidRDefault="00A63B53" w:rsidP="000F169A">
      <w:pPr>
        <w:pStyle w:val="ListParagraph"/>
        <w:numPr>
          <w:ilvl w:val="0"/>
          <w:numId w:val="4"/>
        </w:numPr>
        <w:spacing w:after="120"/>
        <w:ind w:left="567" w:hanging="567"/>
        <w:contextualSpacing w:val="0"/>
        <w:rPr>
          <w:rFonts w:eastAsia="Times New Roman"/>
          <w:noProof/>
        </w:rPr>
      </w:pPr>
      <w:r w:rsidRPr="00D4396B">
        <w:rPr>
          <w:rFonts w:eastAsia="Times New Roman"/>
          <w:noProof/>
        </w:rPr>
        <w:t xml:space="preserve">similarly, ensuring that the agendas of the College and the </w:t>
      </w:r>
      <w:r w:rsidR="00411ABC">
        <w:rPr>
          <w:rFonts w:eastAsia="Times New Roman"/>
          <w:noProof/>
        </w:rPr>
        <w:t>EB</w:t>
      </w:r>
      <w:r w:rsidRPr="00D4396B">
        <w:rPr>
          <w:rFonts w:eastAsia="Times New Roman"/>
          <w:noProof/>
        </w:rPr>
        <w:t xml:space="preserve"> do not overlap, in order to avoid wasting time and unnecessary duplication;</w:t>
      </w:r>
    </w:p>
    <w:p w14:paraId="0F9F365F" w14:textId="43D61FF2" w:rsidR="00D32458" w:rsidRDefault="00A63B53" w:rsidP="000F169A">
      <w:pPr>
        <w:pStyle w:val="ListParagraph"/>
        <w:numPr>
          <w:ilvl w:val="0"/>
          <w:numId w:val="4"/>
        </w:numPr>
        <w:spacing w:after="120"/>
        <w:ind w:left="567" w:hanging="567"/>
        <w:contextualSpacing w:val="0"/>
        <w:rPr>
          <w:rFonts w:eastAsia="Times New Roman"/>
          <w:noProof/>
        </w:rPr>
      </w:pPr>
      <w:r w:rsidRPr="00D4396B">
        <w:rPr>
          <w:rFonts w:eastAsia="Times New Roman"/>
          <w:noProof/>
        </w:rPr>
        <w:t>finally, encourag</w:t>
      </w:r>
      <w:r w:rsidR="068FE046" w:rsidRPr="00D4396B">
        <w:rPr>
          <w:rFonts w:eastAsia="Times New Roman"/>
          <w:noProof/>
        </w:rPr>
        <w:t>ing</w:t>
      </w:r>
      <w:r w:rsidR="5822B302" w:rsidRPr="00D4396B">
        <w:rPr>
          <w:rFonts w:eastAsia="Times New Roman"/>
          <w:noProof/>
        </w:rPr>
        <w:t>, by guidelines or recommendations,</w:t>
      </w:r>
      <w:r w:rsidRPr="00D4396B">
        <w:rPr>
          <w:rFonts w:eastAsia="Times New Roman"/>
          <w:noProof/>
        </w:rPr>
        <w:t xml:space="preserve"> the competent authorities of the Member States to improve the selection of </w:t>
      </w:r>
      <w:r w:rsidRPr="5E68EAC0">
        <w:rPr>
          <w:rFonts w:eastAsia="Times New Roman"/>
          <w:noProof/>
        </w:rPr>
        <w:t>N</w:t>
      </w:r>
      <w:r w:rsidR="2105826D" w:rsidRPr="5E68EAC0">
        <w:rPr>
          <w:rFonts w:eastAsia="Times New Roman"/>
          <w:noProof/>
        </w:rPr>
        <w:t>M</w:t>
      </w:r>
      <w:r w:rsidRPr="00D4396B">
        <w:rPr>
          <w:rFonts w:eastAsia="Times New Roman"/>
          <w:noProof/>
        </w:rPr>
        <w:t xml:space="preserve">s in terms of managerial skills (in addition to operational skills) so that they can fully play their role when administrative decisions need to be taken in the </w:t>
      </w:r>
      <w:r w:rsidR="00411ABC">
        <w:rPr>
          <w:rFonts w:eastAsia="Times New Roman"/>
          <w:noProof/>
        </w:rPr>
        <w:t>EB</w:t>
      </w:r>
      <w:r w:rsidRPr="00D4396B">
        <w:rPr>
          <w:rFonts w:eastAsia="Times New Roman"/>
          <w:noProof/>
        </w:rPr>
        <w:t xml:space="preserve"> and in the College.</w:t>
      </w:r>
    </w:p>
    <w:p w14:paraId="212B137D" w14:textId="359426BF" w:rsidR="00A63B53" w:rsidRPr="00D32458" w:rsidRDefault="628BA1B5" w:rsidP="004B4BF4">
      <w:pPr>
        <w:spacing w:after="120"/>
        <w:rPr>
          <w:rFonts w:eastAsia="Times New Roman"/>
          <w:noProof/>
        </w:rPr>
      </w:pPr>
      <w:r w:rsidRPr="00D32458">
        <w:rPr>
          <w:rFonts w:eastAsia="Times New Roman"/>
          <w:noProof/>
        </w:rPr>
        <w:t>The abolition</w:t>
      </w:r>
      <w:r w:rsidR="08FC6AC7" w:rsidRPr="00D32458">
        <w:rPr>
          <w:rFonts w:eastAsia="Times New Roman"/>
          <w:noProof/>
        </w:rPr>
        <w:t xml:space="preserve"> of the working groups in the </w:t>
      </w:r>
      <w:r w:rsidR="28F361C1" w:rsidRPr="00D32458">
        <w:rPr>
          <w:rFonts w:eastAsia="Times New Roman"/>
          <w:noProof/>
        </w:rPr>
        <w:t>C</w:t>
      </w:r>
      <w:r w:rsidR="08FC6AC7" w:rsidRPr="00D32458">
        <w:rPr>
          <w:rFonts w:eastAsia="Times New Roman"/>
          <w:noProof/>
        </w:rPr>
        <w:t>ollege is also a measure to be considered, as they can duplicate the work of the Administration, with negative repercussions on the alignment with objectives, overall planning and efficiency</w:t>
      </w:r>
      <w:r w:rsidR="592847B0" w:rsidRPr="00D32458">
        <w:rPr>
          <w:rFonts w:eastAsia="Times New Roman"/>
          <w:noProof/>
        </w:rPr>
        <w:t>.</w:t>
      </w:r>
      <w:r w:rsidR="00A63B53" w:rsidRPr="00D4396B">
        <w:rPr>
          <w:rStyle w:val="FootnoteReference"/>
          <w:rFonts w:eastAsia="Times New Roman"/>
          <w:noProof/>
        </w:rPr>
        <w:footnoteReference w:id="106"/>
      </w:r>
    </w:p>
    <w:p w14:paraId="0C9776B5" w14:textId="089472D1" w:rsidR="00A63B53" w:rsidRPr="00D4396B" w:rsidRDefault="002E38BC" w:rsidP="003B0D3B">
      <w:pPr>
        <w:spacing w:after="120"/>
        <w:rPr>
          <w:rFonts w:eastAsia="Times New Roman"/>
          <w:noProof/>
        </w:rPr>
      </w:pPr>
      <w:r w:rsidRPr="00D4396B">
        <w:rPr>
          <w:rFonts w:eastAsia="Times New Roman"/>
          <w:b/>
          <w:bCs/>
          <w:noProof/>
          <w:u w:val="single"/>
        </w:rPr>
        <w:t>C.</w:t>
      </w:r>
      <w:r w:rsidR="00A63B53" w:rsidRPr="00D4396B">
        <w:rPr>
          <w:rFonts w:eastAsia="Times New Roman"/>
          <w:b/>
          <w:bCs/>
          <w:noProof/>
          <w:u w:val="single"/>
        </w:rPr>
        <w:t>PO2:</w:t>
      </w:r>
      <w:r w:rsidR="00A63B53" w:rsidRPr="00D4396B">
        <w:rPr>
          <w:rFonts w:eastAsia="Times New Roman"/>
          <w:noProof/>
        </w:rPr>
        <w:t xml:space="preserve"> </w:t>
      </w:r>
      <w:r w:rsidRPr="00D4396B">
        <w:rPr>
          <w:rFonts w:eastAsia="Times New Roman"/>
          <w:noProof/>
        </w:rPr>
        <w:t>(i)</w:t>
      </w:r>
      <w:r w:rsidR="00A63B53" w:rsidRPr="00D4396B">
        <w:rPr>
          <w:rFonts w:eastAsia="Times New Roman"/>
          <w:noProof/>
        </w:rPr>
        <w:t xml:space="preserve"> (ii) This option changes the composition, competences and responsibilities of the </w:t>
      </w:r>
      <w:r w:rsidR="00411ABC">
        <w:rPr>
          <w:rFonts w:eastAsia="Times New Roman"/>
          <w:noProof/>
        </w:rPr>
        <w:t>EB</w:t>
      </w:r>
      <w:r w:rsidR="00A63B53" w:rsidRPr="00D4396B">
        <w:rPr>
          <w:rFonts w:eastAsia="Times New Roman"/>
          <w:noProof/>
        </w:rPr>
        <w:t xml:space="preserve"> and the College, leaving the overarching architecture of the governance model</w:t>
      </w:r>
      <w:r w:rsidR="3BC41B3E" w:rsidRPr="00D4396B">
        <w:rPr>
          <w:rFonts w:eastAsia="Times New Roman"/>
          <w:noProof/>
        </w:rPr>
        <w:t xml:space="preserve"> unchanged</w:t>
      </w:r>
      <w:r w:rsidR="00A63B53" w:rsidRPr="00D4396B">
        <w:rPr>
          <w:rFonts w:eastAsia="Times New Roman"/>
          <w:noProof/>
        </w:rPr>
        <w:t>.</w:t>
      </w:r>
    </w:p>
    <w:p w14:paraId="29B1BE7E" w14:textId="1823C7A6" w:rsidR="00A63B53" w:rsidRPr="00D4396B" w:rsidRDefault="00A63B53" w:rsidP="003B0D3B">
      <w:pPr>
        <w:pStyle w:val="ListParagraph"/>
        <w:spacing w:after="120"/>
        <w:ind w:left="0"/>
        <w:contextualSpacing w:val="0"/>
        <w:rPr>
          <w:rFonts w:eastAsia="Times New Roman"/>
          <w:noProof/>
        </w:rPr>
      </w:pPr>
      <w:r w:rsidRPr="00D4396B">
        <w:rPr>
          <w:rFonts w:eastAsia="Times New Roman"/>
          <w:noProof/>
        </w:rPr>
        <w:t xml:space="preserve">The </w:t>
      </w:r>
      <w:r w:rsidRPr="00D4396B">
        <w:rPr>
          <w:rFonts w:eastAsia="Times New Roman"/>
          <w:b/>
          <w:bCs/>
          <w:noProof/>
        </w:rPr>
        <w:t>College</w:t>
      </w:r>
      <w:r w:rsidRPr="00D4396B">
        <w:rPr>
          <w:rFonts w:eastAsia="Times New Roman"/>
          <w:noProof/>
        </w:rPr>
        <w:t xml:space="preserve"> would be maintained as the main body responsible for the </w:t>
      </w:r>
      <w:r w:rsidR="5CA23FF2" w:rsidRPr="00D4396B">
        <w:rPr>
          <w:rFonts w:eastAsia="Times New Roman"/>
          <w:noProof/>
        </w:rPr>
        <w:t xml:space="preserve">operational </w:t>
      </w:r>
      <w:r w:rsidRPr="00D4396B">
        <w:rPr>
          <w:rFonts w:eastAsia="Times New Roman"/>
          <w:noProof/>
        </w:rPr>
        <w:t xml:space="preserve">support and coordination tasks that are at the heart of </w:t>
      </w:r>
      <w:r w:rsidR="00207BA9" w:rsidRPr="00D4396B">
        <w:rPr>
          <w:rFonts w:eastAsia="Times New Roman"/>
          <w:noProof/>
        </w:rPr>
        <w:t xml:space="preserve">Eurojust’s </w:t>
      </w:r>
      <w:r w:rsidRPr="00D4396B">
        <w:rPr>
          <w:rFonts w:eastAsia="Times New Roman"/>
          <w:noProof/>
        </w:rPr>
        <w:t>activities. The College would retain managerial powers when it comes to strategic decisions: selecting priorities, determining multiannual and annual programmes, approving the agency's budget and overseeing financial governance, and approving the annual activity report.</w:t>
      </w:r>
    </w:p>
    <w:p w14:paraId="22E5BF38" w14:textId="7A3216E0" w:rsidR="00A63B53" w:rsidRPr="00D4396B" w:rsidRDefault="00A63B53" w:rsidP="003B0D3B">
      <w:pPr>
        <w:pStyle w:val="ListParagraph"/>
        <w:spacing w:after="120"/>
        <w:ind w:left="0"/>
        <w:contextualSpacing w:val="0"/>
        <w:rPr>
          <w:rFonts w:eastAsia="Times New Roman"/>
          <w:b/>
          <w:bCs/>
          <w:noProof/>
        </w:rPr>
      </w:pPr>
      <w:r w:rsidRPr="00D4396B">
        <w:rPr>
          <w:rFonts w:eastAsia="Times New Roman"/>
          <w:noProof/>
        </w:rPr>
        <w:t xml:space="preserve">Alternatively, decisions on annual and multiannual strategy, budget and work programme could be entrusted to the </w:t>
      </w:r>
      <w:r w:rsidRPr="00D4396B">
        <w:rPr>
          <w:rFonts w:eastAsia="Times New Roman"/>
          <w:b/>
          <w:bCs/>
          <w:noProof/>
        </w:rPr>
        <w:t>Consultative Forum of Prosecutors General and Directors of Public Prosecutions</w:t>
      </w:r>
      <w:r w:rsidR="00302C2F">
        <w:rPr>
          <w:rFonts w:eastAsia="Times New Roman"/>
          <w:b/>
          <w:bCs/>
          <w:noProof/>
        </w:rPr>
        <w:t xml:space="preserve"> </w:t>
      </w:r>
      <w:r w:rsidR="00302C2F" w:rsidRPr="00302C2F">
        <w:rPr>
          <w:rFonts w:eastAsia="Times New Roman"/>
          <w:noProof/>
        </w:rPr>
        <w:t>(CF)</w:t>
      </w:r>
      <w:r w:rsidRPr="00D4396B">
        <w:rPr>
          <w:rFonts w:eastAsia="Times New Roman"/>
          <w:noProof/>
        </w:rPr>
        <w:t xml:space="preserve"> of the Member States, hosted yearly by Eurojust.</w:t>
      </w:r>
    </w:p>
    <w:p w14:paraId="62E579D8" w14:textId="42055E9E" w:rsidR="00A63B53" w:rsidRPr="00D4396B" w:rsidRDefault="00A63B53" w:rsidP="003B0D3B">
      <w:pPr>
        <w:pStyle w:val="ListParagraph"/>
        <w:spacing w:after="120"/>
        <w:ind w:left="0"/>
        <w:contextualSpacing w:val="0"/>
        <w:rPr>
          <w:rFonts w:eastAsia="Times New Roman"/>
          <w:noProof/>
        </w:rPr>
      </w:pPr>
      <w:r w:rsidRPr="00D4396B">
        <w:rPr>
          <w:rFonts w:eastAsia="Times New Roman"/>
          <w:noProof/>
        </w:rPr>
        <w:t xml:space="preserve">The </w:t>
      </w:r>
      <w:r w:rsidR="00411ABC">
        <w:rPr>
          <w:rFonts w:eastAsia="Times New Roman"/>
          <w:b/>
          <w:bCs/>
          <w:noProof/>
        </w:rPr>
        <w:t>EB</w:t>
      </w:r>
      <w:r w:rsidRPr="00D4396B">
        <w:rPr>
          <w:rFonts w:eastAsia="Times New Roman"/>
          <w:noProof/>
        </w:rPr>
        <w:t xml:space="preserve"> would be in charge of all administrative decision, encompassing both day-to-day administration and high-level administrative decisions (with the College remaining involved only on strategic decisions bearing an impact on operations). The composition of the </w:t>
      </w:r>
      <w:r w:rsidR="00207BA9" w:rsidRPr="00D4396B">
        <w:rPr>
          <w:rFonts w:eastAsia="Times New Roman"/>
          <w:noProof/>
        </w:rPr>
        <w:t>EB</w:t>
      </w:r>
      <w:r w:rsidRPr="00D4396B">
        <w:rPr>
          <w:rFonts w:eastAsia="Times New Roman"/>
          <w:noProof/>
        </w:rPr>
        <w:t xml:space="preserve"> would remain unchanged: Eurojust President, two Vice-Presidents, the Commission representative and two </w:t>
      </w:r>
      <w:r w:rsidR="00207BA9" w:rsidRPr="00D4396B">
        <w:rPr>
          <w:rFonts w:eastAsia="Times New Roman"/>
          <w:noProof/>
        </w:rPr>
        <w:t>NMs</w:t>
      </w:r>
      <w:r w:rsidRPr="00D4396B">
        <w:rPr>
          <w:rFonts w:eastAsia="Times New Roman"/>
          <w:noProof/>
        </w:rPr>
        <w:t xml:space="preserve">. However, a system of appointment would replace the current rotation mechanism. The College would be required to choose and appoint the two </w:t>
      </w:r>
      <w:r w:rsidR="00207BA9" w:rsidRPr="00D4396B">
        <w:rPr>
          <w:rFonts w:eastAsia="Times New Roman"/>
          <w:noProof/>
        </w:rPr>
        <w:t>NMs</w:t>
      </w:r>
      <w:r w:rsidRPr="00D4396B">
        <w:rPr>
          <w:rFonts w:eastAsia="Times New Roman"/>
          <w:noProof/>
        </w:rPr>
        <w:t>.</w:t>
      </w:r>
    </w:p>
    <w:p w14:paraId="18803DA5" w14:textId="3CD90291" w:rsidR="00A63B53" w:rsidRPr="00D4396B" w:rsidRDefault="00A63B53" w:rsidP="003B0D3B">
      <w:pPr>
        <w:pStyle w:val="ListParagraph"/>
        <w:spacing w:after="120"/>
        <w:ind w:left="0"/>
        <w:contextualSpacing w:val="0"/>
        <w:rPr>
          <w:rFonts w:eastAsia="Times New Roman"/>
          <w:noProof/>
        </w:rPr>
      </w:pPr>
      <w:r w:rsidRPr="00D4396B">
        <w:rPr>
          <w:rFonts w:eastAsia="Times New Roman"/>
          <w:noProof/>
        </w:rPr>
        <w:t>The</w:t>
      </w:r>
      <w:r w:rsidRPr="00D4396B" w:rsidDel="003C1239">
        <w:rPr>
          <w:rFonts w:eastAsia="Times New Roman"/>
          <w:noProof/>
        </w:rPr>
        <w:t xml:space="preserve"> </w:t>
      </w:r>
      <w:r w:rsidR="003C1239" w:rsidRPr="695A3424">
        <w:rPr>
          <w:rFonts w:eastAsia="Times New Roman"/>
          <w:b/>
          <w:bCs/>
          <w:noProof/>
        </w:rPr>
        <w:t>A</w:t>
      </w:r>
      <w:r w:rsidR="003C1239">
        <w:rPr>
          <w:rFonts w:eastAsia="Times New Roman"/>
          <w:b/>
          <w:bCs/>
          <w:noProof/>
        </w:rPr>
        <w:t>dministrative Director</w:t>
      </w:r>
      <w:r w:rsidRPr="00D4396B">
        <w:rPr>
          <w:rFonts w:eastAsia="Times New Roman"/>
          <w:noProof/>
        </w:rPr>
        <w:t xml:space="preserve"> </w:t>
      </w:r>
      <w:r w:rsidR="000E372B">
        <w:rPr>
          <w:rFonts w:eastAsia="Times New Roman"/>
          <w:noProof/>
        </w:rPr>
        <w:t xml:space="preserve">(AD) </w:t>
      </w:r>
      <w:r w:rsidRPr="00D4396B">
        <w:rPr>
          <w:rFonts w:eastAsia="Times New Roman"/>
          <w:noProof/>
        </w:rPr>
        <w:t xml:space="preserve">would remain responsible for preparing and implementing the decisions taken by the College and the </w:t>
      </w:r>
      <w:r w:rsidR="00207BA9" w:rsidRPr="00D4396B">
        <w:rPr>
          <w:rFonts w:eastAsia="Times New Roman"/>
          <w:noProof/>
        </w:rPr>
        <w:t>EB</w:t>
      </w:r>
      <w:r w:rsidRPr="00D4396B">
        <w:rPr>
          <w:rFonts w:eastAsia="Times New Roman"/>
          <w:noProof/>
        </w:rPr>
        <w:t xml:space="preserve"> (in addition to powers of day-to-day management of the agency, oversight of staff, finances, internal procedures, and service delivery, legal representation of the agency). The </w:t>
      </w:r>
      <w:r w:rsidR="00207BA9" w:rsidRPr="00D4396B">
        <w:rPr>
          <w:rFonts w:eastAsia="Times New Roman"/>
          <w:noProof/>
        </w:rPr>
        <w:t>AD</w:t>
      </w:r>
      <w:r w:rsidRPr="00D4396B">
        <w:rPr>
          <w:rFonts w:eastAsia="Times New Roman"/>
          <w:noProof/>
        </w:rPr>
        <w:t xml:space="preserve"> would be given the right to participate to the </w:t>
      </w:r>
      <w:r w:rsidR="00207BA9" w:rsidRPr="00D4396B">
        <w:rPr>
          <w:rFonts w:eastAsia="Times New Roman"/>
          <w:noProof/>
        </w:rPr>
        <w:t>EB</w:t>
      </w:r>
      <w:r w:rsidRPr="00D4396B">
        <w:rPr>
          <w:rFonts w:eastAsia="Times New Roman"/>
          <w:noProof/>
        </w:rPr>
        <w:t xml:space="preserve"> in an advisory capacity, remaining an observer without voting rights, in </w:t>
      </w:r>
      <w:r w:rsidR="00225B24" w:rsidRPr="00D4396B">
        <w:rPr>
          <w:rFonts w:eastAsia="Times New Roman"/>
          <w:noProof/>
        </w:rPr>
        <w:t xml:space="preserve">line </w:t>
      </w:r>
      <w:r w:rsidRPr="00D4396B">
        <w:rPr>
          <w:rFonts w:eastAsia="Times New Roman"/>
          <w:noProof/>
        </w:rPr>
        <w:t>with the Common Approach.</w:t>
      </w:r>
    </w:p>
    <w:p w14:paraId="0AC9A52E" w14:textId="2AB690D5" w:rsidR="00A63B53" w:rsidRPr="00D4396B" w:rsidRDefault="592847B0" w:rsidP="003B0D3B">
      <w:pPr>
        <w:pStyle w:val="ListParagraph"/>
        <w:spacing w:after="120"/>
        <w:ind w:left="0"/>
        <w:contextualSpacing w:val="0"/>
        <w:rPr>
          <w:rFonts w:eastAsia="Times New Roman"/>
          <w:noProof/>
        </w:rPr>
      </w:pPr>
      <w:r w:rsidRPr="00D4396B">
        <w:rPr>
          <w:rFonts w:eastAsia="Times New Roman"/>
          <w:b/>
          <w:bCs/>
          <w:noProof/>
          <w:u w:val="single"/>
        </w:rPr>
        <w:t>C.</w:t>
      </w:r>
      <w:r w:rsidR="08FC6AC7" w:rsidRPr="00D4396B">
        <w:rPr>
          <w:rFonts w:eastAsia="Times New Roman"/>
          <w:b/>
          <w:bCs/>
          <w:noProof/>
          <w:u w:val="single"/>
        </w:rPr>
        <w:t>PO3:</w:t>
      </w:r>
      <w:r w:rsidR="08FC6AC7" w:rsidRPr="00D4396B">
        <w:rPr>
          <w:rFonts w:eastAsia="Times New Roman"/>
          <w:noProof/>
        </w:rPr>
        <w:t xml:space="preserve"> This option </w:t>
      </w:r>
      <w:r w:rsidR="40C7C014" w:rsidRPr="00D4396B">
        <w:rPr>
          <w:rFonts w:eastAsia="Times New Roman"/>
          <w:noProof/>
        </w:rPr>
        <w:t>entails</w:t>
      </w:r>
      <w:r w:rsidR="08FC6AC7" w:rsidRPr="00D4396B">
        <w:rPr>
          <w:rFonts w:eastAsia="Times New Roman"/>
          <w:noProof/>
        </w:rPr>
        <w:t xml:space="preserve"> an institutional paradigm shift, moving towards a new governance model aligning </w:t>
      </w:r>
      <w:r w:rsidR="18A92C30" w:rsidRPr="00D4396B">
        <w:rPr>
          <w:rFonts w:eastAsia="Times New Roman"/>
          <w:noProof/>
        </w:rPr>
        <w:t>with</w:t>
      </w:r>
      <w:r w:rsidR="08FC6AC7" w:rsidRPr="00D4396B">
        <w:rPr>
          <w:rFonts w:eastAsia="Times New Roman"/>
          <w:noProof/>
        </w:rPr>
        <w:t xml:space="preserve"> the Common Approach applicable to decentralised agencies</w:t>
      </w:r>
      <w:r w:rsidRPr="00D4396B">
        <w:rPr>
          <w:rFonts w:eastAsia="Times New Roman"/>
          <w:noProof/>
        </w:rPr>
        <w:t>.</w:t>
      </w:r>
      <w:r w:rsidR="00A63B53" w:rsidRPr="00D4396B">
        <w:rPr>
          <w:rStyle w:val="FootnoteReference"/>
          <w:rFonts w:eastAsia="Times New Roman"/>
          <w:noProof/>
        </w:rPr>
        <w:footnoteReference w:id="107"/>
      </w:r>
    </w:p>
    <w:p w14:paraId="74D29F10" w14:textId="4FA8A628" w:rsidR="00A63B53" w:rsidRPr="00D4396B" w:rsidRDefault="16099869" w:rsidP="003B0D3B">
      <w:pPr>
        <w:pStyle w:val="ListParagraph"/>
        <w:spacing w:after="120"/>
        <w:ind w:left="0"/>
        <w:contextualSpacing w:val="0"/>
        <w:rPr>
          <w:rFonts w:eastAsia="Times New Roman"/>
          <w:noProof/>
        </w:rPr>
      </w:pPr>
      <w:r w:rsidRPr="00D4396B">
        <w:rPr>
          <w:rFonts w:eastAsia="Times New Roman"/>
          <w:noProof/>
        </w:rPr>
        <w:t xml:space="preserve">The </w:t>
      </w:r>
      <w:r w:rsidRPr="00D4396B">
        <w:rPr>
          <w:rFonts w:eastAsia="Times New Roman"/>
          <w:b/>
          <w:bCs/>
          <w:noProof/>
        </w:rPr>
        <w:t xml:space="preserve">College </w:t>
      </w:r>
      <w:r w:rsidRPr="00D4396B">
        <w:rPr>
          <w:rFonts w:eastAsia="Times New Roman"/>
          <w:noProof/>
        </w:rPr>
        <w:t>would be focused on operational tasks only</w:t>
      </w:r>
      <w:r w:rsidR="58609C1B" w:rsidRPr="00D4396B">
        <w:rPr>
          <w:rFonts w:eastAsia="Times New Roman"/>
          <w:noProof/>
        </w:rPr>
        <w:t xml:space="preserve"> and thus excluded from management and administrative decision making</w:t>
      </w:r>
      <w:r w:rsidRPr="00D4396B">
        <w:rPr>
          <w:rFonts w:eastAsia="Times New Roman"/>
          <w:noProof/>
        </w:rPr>
        <w:t>.</w:t>
      </w:r>
    </w:p>
    <w:p w14:paraId="4F2D2258" w14:textId="7D2A7078" w:rsidR="00A63B53" w:rsidRPr="00D4396B" w:rsidRDefault="00A63B53" w:rsidP="003B0D3B">
      <w:pPr>
        <w:pStyle w:val="ListParagraph"/>
        <w:spacing w:after="120"/>
        <w:ind w:left="0"/>
        <w:contextualSpacing w:val="0"/>
        <w:rPr>
          <w:rFonts w:eastAsia="Times New Roman"/>
          <w:noProof/>
        </w:rPr>
      </w:pPr>
      <w:r w:rsidRPr="00D4396B">
        <w:rPr>
          <w:rFonts w:eastAsia="Times New Roman"/>
          <w:noProof/>
        </w:rPr>
        <w:t xml:space="preserve">A </w:t>
      </w:r>
      <w:r w:rsidRPr="00D4396B">
        <w:rPr>
          <w:rFonts w:eastAsia="Times New Roman"/>
          <w:b/>
          <w:bCs/>
          <w:noProof/>
        </w:rPr>
        <w:t>Management Board</w:t>
      </w:r>
      <w:r w:rsidRPr="14241969">
        <w:rPr>
          <w:rFonts w:eastAsia="Times New Roman"/>
          <w:noProof/>
        </w:rPr>
        <w:t xml:space="preserve"> </w:t>
      </w:r>
      <w:r w:rsidR="090AE694" w:rsidRPr="14241969">
        <w:rPr>
          <w:rFonts w:eastAsia="Times New Roman"/>
          <w:noProof/>
        </w:rPr>
        <w:t>(MB)</w:t>
      </w:r>
      <w:r w:rsidRPr="00D4396B">
        <w:rPr>
          <w:rFonts w:eastAsia="Times New Roman"/>
          <w:noProof/>
        </w:rPr>
        <w:t xml:space="preserve"> would be introduced as the </w:t>
      </w:r>
      <w:r w:rsidR="309F820A" w:rsidRPr="79055714">
        <w:rPr>
          <w:rFonts w:eastAsia="Times New Roman"/>
          <w:noProof/>
        </w:rPr>
        <w:t>top</w:t>
      </w:r>
      <w:r w:rsidRPr="00D4396B">
        <w:rPr>
          <w:rFonts w:eastAsia="Times New Roman"/>
          <w:noProof/>
        </w:rPr>
        <w:t xml:space="preserve"> decision-making body – composed </w:t>
      </w:r>
      <w:r w:rsidR="009B064F" w:rsidRPr="00D4396B">
        <w:rPr>
          <w:rFonts w:eastAsia="Times New Roman"/>
          <w:noProof/>
        </w:rPr>
        <w:t xml:space="preserve">of </w:t>
      </w:r>
      <w:r w:rsidRPr="00D4396B">
        <w:rPr>
          <w:rFonts w:eastAsia="Times New Roman"/>
          <w:noProof/>
        </w:rPr>
        <w:t xml:space="preserve">representatives of Member States, the Eurojust President, a Commission representative and Eurojust’s </w:t>
      </w:r>
      <w:r w:rsidR="003E5698" w:rsidRPr="00D4396B">
        <w:rPr>
          <w:rFonts w:eastAsia="Times New Roman"/>
          <w:noProof/>
        </w:rPr>
        <w:t>AD</w:t>
      </w:r>
      <w:r w:rsidRPr="00D4396B">
        <w:rPr>
          <w:rFonts w:eastAsia="Times New Roman"/>
          <w:noProof/>
        </w:rPr>
        <w:t>. It would decide on budget, strategic priorities, annual and multiannual program</w:t>
      </w:r>
      <w:r w:rsidR="00504B93" w:rsidRPr="00D4396B">
        <w:rPr>
          <w:rFonts w:eastAsia="Times New Roman"/>
          <w:noProof/>
        </w:rPr>
        <w:t>me</w:t>
      </w:r>
      <w:r w:rsidRPr="00D4396B">
        <w:rPr>
          <w:rFonts w:eastAsia="Times New Roman"/>
          <w:noProof/>
        </w:rPr>
        <w:t>s, and the annual activity report.</w:t>
      </w:r>
    </w:p>
    <w:p w14:paraId="32F4A0EF" w14:textId="1569FCF2" w:rsidR="00111FA2" w:rsidRPr="00D4396B" w:rsidRDefault="00362DC2" w:rsidP="00AC7217">
      <w:pPr>
        <w:pStyle w:val="ListParagraph"/>
        <w:spacing w:after="120"/>
        <w:ind w:left="0"/>
        <w:contextualSpacing w:val="0"/>
        <w:rPr>
          <w:rFonts w:eastAsia="Times New Roman"/>
          <w:noProof/>
        </w:rPr>
      </w:pPr>
      <w:r w:rsidRPr="00D4396B">
        <w:rPr>
          <w:rFonts w:eastAsia="Times New Roman"/>
          <w:noProof/>
        </w:rPr>
        <w:t xml:space="preserve">The MB </w:t>
      </w:r>
      <w:r w:rsidRPr="3E27367F">
        <w:rPr>
          <w:rFonts w:eastAsia="Times New Roman"/>
          <w:noProof/>
        </w:rPr>
        <w:t>w</w:t>
      </w:r>
      <w:r w:rsidR="444D2930" w:rsidRPr="3E27367F">
        <w:rPr>
          <w:rFonts w:eastAsia="Times New Roman"/>
          <w:noProof/>
        </w:rPr>
        <w:t>ould</w:t>
      </w:r>
      <w:r w:rsidRPr="00D4396B">
        <w:rPr>
          <w:rFonts w:eastAsia="Times New Roman"/>
          <w:noProof/>
        </w:rPr>
        <w:t xml:space="preserve"> be vested with appointing authority powers, </w:t>
      </w:r>
      <w:r w:rsidR="43FD708A" w:rsidRPr="00D4396B">
        <w:rPr>
          <w:rFonts w:eastAsia="Times New Roman"/>
          <w:noProof/>
        </w:rPr>
        <w:t xml:space="preserve">part of </w:t>
      </w:r>
      <w:r w:rsidRPr="00D4396B">
        <w:rPr>
          <w:rFonts w:eastAsia="Times New Roman"/>
          <w:noProof/>
        </w:rPr>
        <w:t xml:space="preserve">which it may delegate to the </w:t>
      </w:r>
      <w:r w:rsidR="003E5698" w:rsidRPr="00D4396B">
        <w:rPr>
          <w:rFonts w:eastAsia="Times New Roman"/>
          <w:noProof/>
        </w:rPr>
        <w:t>AD</w:t>
      </w:r>
      <w:r w:rsidRPr="00D4396B">
        <w:rPr>
          <w:rFonts w:eastAsia="Times New Roman"/>
          <w:noProof/>
        </w:rPr>
        <w:t>, and entrusted with decisions liable to impact staff and the organisation of the Agency, including the organisation of judicial networks’ secretariats. While the current EJR provides that the secretariats of all networks involved in judicial cooperation in criminal matters, including newly established ones, operate as separate units, decisions concerning their organisation would be entrusted to the MB.</w:t>
      </w:r>
    </w:p>
    <w:p w14:paraId="3D81249E" w14:textId="630BB10F" w:rsidR="00526C38" w:rsidRDefault="00A63B53" w:rsidP="003B0D3B">
      <w:pPr>
        <w:pStyle w:val="ListParagraph"/>
        <w:spacing w:after="120"/>
        <w:ind w:left="0"/>
        <w:contextualSpacing w:val="0"/>
        <w:rPr>
          <w:rFonts w:eastAsia="Times New Roman"/>
          <w:noProof/>
        </w:rPr>
      </w:pPr>
      <w:r w:rsidRPr="00D4396B">
        <w:rPr>
          <w:rFonts w:eastAsia="Times New Roman"/>
          <w:noProof/>
        </w:rPr>
        <w:t xml:space="preserve">The </w:t>
      </w:r>
      <w:r w:rsidR="00411ABC">
        <w:rPr>
          <w:rFonts w:eastAsia="Times New Roman"/>
          <w:b/>
          <w:bCs/>
          <w:noProof/>
        </w:rPr>
        <w:t>EB</w:t>
      </w:r>
      <w:r w:rsidRPr="00D4396B">
        <w:rPr>
          <w:rFonts w:eastAsia="Times New Roman"/>
          <w:noProof/>
        </w:rPr>
        <w:t xml:space="preserve"> would be retained for the day-to-day management and administrative decision of the Agency, and as a lighter collegial body to prepare and inform the meetings of the </w:t>
      </w:r>
      <w:r w:rsidR="003E5698" w:rsidRPr="00D4396B">
        <w:rPr>
          <w:rFonts w:eastAsia="Times New Roman"/>
          <w:noProof/>
        </w:rPr>
        <w:t>MB</w:t>
      </w:r>
      <w:r w:rsidRPr="00D4396B">
        <w:rPr>
          <w:rFonts w:eastAsia="Times New Roman"/>
          <w:noProof/>
        </w:rPr>
        <w:t xml:space="preserve">. It would be composed </w:t>
      </w:r>
      <w:r w:rsidR="00807284" w:rsidRPr="00D4396B">
        <w:rPr>
          <w:rFonts w:eastAsia="Times New Roman"/>
          <w:noProof/>
        </w:rPr>
        <w:t xml:space="preserve">of </w:t>
      </w:r>
      <w:r w:rsidRPr="00D4396B">
        <w:rPr>
          <w:rFonts w:eastAsia="Times New Roman"/>
          <w:noProof/>
        </w:rPr>
        <w:t xml:space="preserve">the Eurojust President, a Commission representative, and three members of the </w:t>
      </w:r>
      <w:r w:rsidR="00C40F4F" w:rsidRPr="00D4396B">
        <w:rPr>
          <w:rFonts w:eastAsia="Times New Roman"/>
          <w:noProof/>
        </w:rPr>
        <w:t>MB</w:t>
      </w:r>
      <w:r w:rsidRPr="00D4396B">
        <w:rPr>
          <w:rFonts w:eastAsia="Times New Roman"/>
          <w:noProof/>
        </w:rPr>
        <w:t xml:space="preserve"> (chair-person and deputies).</w:t>
      </w:r>
    </w:p>
    <w:p w14:paraId="2F18A47D" w14:textId="701C6B2D" w:rsidR="00A63B53" w:rsidRPr="00D4396B" w:rsidRDefault="00A63B53" w:rsidP="003B0D3B">
      <w:pPr>
        <w:pStyle w:val="ListParagraph"/>
        <w:spacing w:after="120"/>
        <w:ind w:left="0"/>
        <w:contextualSpacing w:val="0"/>
        <w:rPr>
          <w:rFonts w:eastAsia="Times New Roman"/>
          <w:noProof/>
        </w:rPr>
      </w:pPr>
      <w:r w:rsidRPr="00D4396B">
        <w:rPr>
          <w:rFonts w:eastAsia="Times New Roman"/>
          <w:noProof/>
        </w:rPr>
        <w:t xml:space="preserve">The </w:t>
      </w:r>
      <w:r w:rsidR="00526C38" w:rsidRPr="695A3424">
        <w:rPr>
          <w:rFonts w:eastAsia="Times New Roman"/>
          <w:b/>
          <w:bCs/>
          <w:noProof/>
        </w:rPr>
        <w:t>A</w:t>
      </w:r>
      <w:r w:rsidR="00526C38">
        <w:rPr>
          <w:rFonts w:eastAsia="Times New Roman"/>
          <w:b/>
          <w:bCs/>
          <w:noProof/>
        </w:rPr>
        <w:t>D</w:t>
      </w:r>
      <w:r w:rsidR="00526C38" w:rsidRPr="00D4396B">
        <w:rPr>
          <w:rFonts w:eastAsia="Times New Roman"/>
          <w:noProof/>
        </w:rPr>
        <w:t xml:space="preserve"> </w:t>
      </w:r>
      <w:r w:rsidRPr="00D4396B">
        <w:rPr>
          <w:rFonts w:eastAsia="Times New Roman"/>
          <w:noProof/>
        </w:rPr>
        <w:t>would be appointed by</w:t>
      </w:r>
      <w:r w:rsidR="00DC6D7B" w:rsidRPr="00D4396B">
        <w:rPr>
          <w:rFonts w:eastAsia="Times New Roman"/>
          <w:noProof/>
        </w:rPr>
        <w:t xml:space="preserve">, </w:t>
      </w:r>
      <w:r w:rsidRPr="00D4396B">
        <w:rPr>
          <w:rFonts w:eastAsia="Times New Roman"/>
          <w:noProof/>
        </w:rPr>
        <w:t xml:space="preserve">and </w:t>
      </w:r>
      <w:r w:rsidR="00DC6D7B" w:rsidRPr="00D4396B">
        <w:rPr>
          <w:rFonts w:eastAsia="Times New Roman"/>
          <w:noProof/>
        </w:rPr>
        <w:t xml:space="preserve">be </w:t>
      </w:r>
      <w:r w:rsidRPr="00D4396B">
        <w:rPr>
          <w:rFonts w:eastAsia="Times New Roman"/>
          <w:noProof/>
        </w:rPr>
        <w:t>accountable to</w:t>
      </w:r>
      <w:r w:rsidR="00DC6D7B" w:rsidRPr="00D4396B">
        <w:rPr>
          <w:rFonts w:eastAsia="Times New Roman"/>
          <w:noProof/>
        </w:rPr>
        <w:t>,</w:t>
      </w:r>
      <w:r w:rsidRPr="00D4396B">
        <w:rPr>
          <w:rFonts w:eastAsia="Times New Roman"/>
          <w:noProof/>
        </w:rPr>
        <w:t xml:space="preserve"> the M</w:t>
      </w:r>
      <w:r w:rsidR="001D7743" w:rsidRPr="00D4396B">
        <w:rPr>
          <w:rFonts w:eastAsia="Times New Roman"/>
          <w:noProof/>
        </w:rPr>
        <w:t>B</w:t>
      </w:r>
      <w:r w:rsidR="00C455B6" w:rsidRPr="38C48F57">
        <w:rPr>
          <w:rFonts w:eastAsia="Times New Roman"/>
          <w:noProof/>
        </w:rPr>
        <w:t xml:space="preserve">, </w:t>
      </w:r>
      <w:r w:rsidR="00025B1A" w:rsidRPr="38C48F57">
        <w:rPr>
          <w:rFonts w:eastAsia="Times New Roman"/>
          <w:noProof/>
        </w:rPr>
        <w:t>with</w:t>
      </w:r>
      <w:r w:rsidR="00025B1A">
        <w:rPr>
          <w:rFonts w:eastAsia="Times New Roman"/>
          <w:noProof/>
        </w:rPr>
        <w:t xml:space="preserve"> more</w:t>
      </w:r>
      <w:r w:rsidR="5B3DFF91" w:rsidRPr="00D4396B">
        <w:rPr>
          <w:rFonts w:eastAsia="Times New Roman"/>
          <w:noProof/>
        </w:rPr>
        <w:t xml:space="preserve"> autonomy in making executive decisions and </w:t>
      </w:r>
      <w:r w:rsidRPr="00D4396B">
        <w:rPr>
          <w:rFonts w:eastAsia="Times New Roman"/>
          <w:noProof/>
        </w:rPr>
        <w:t>retain</w:t>
      </w:r>
      <w:r w:rsidR="000D547A">
        <w:rPr>
          <w:rFonts w:eastAsia="Times New Roman"/>
          <w:noProof/>
        </w:rPr>
        <w:t>ing</w:t>
      </w:r>
      <w:r w:rsidRPr="00D4396B">
        <w:rPr>
          <w:rFonts w:eastAsia="Times New Roman"/>
          <w:noProof/>
        </w:rPr>
        <w:t xml:space="preserve"> responsibili</w:t>
      </w:r>
      <w:r w:rsidR="00FD0CC0" w:rsidRPr="00D4396B">
        <w:rPr>
          <w:rFonts w:eastAsia="Times New Roman"/>
          <w:noProof/>
        </w:rPr>
        <w:t>ty</w:t>
      </w:r>
      <w:r w:rsidRPr="00D4396B">
        <w:rPr>
          <w:rFonts w:eastAsia="Times New Roman"/>
          <w:noProof/>
        </w:rPr>
        <w:t xml:space="preserve"> </w:t>
      </w:r>
      <w:r w:rsidR="005D5C66" w:rsidRPr="00D4396B">
        <w:rPr>
          <w:rFonts w:eastAsia="Times New Roman"/>
          <w:noProof/>
        </w:rPr>
        <w:t xml:space="preserve">for </w:t>
      </w:r>
      <w:r w:rsidRPr="00D4396B">
        <w:rPr>
          <w:rFonts w:eastAsia="Times New Roman"/>
          <w:noProof/>
        </w:rPr>
        <w:t xml:space="preserve">the implementation of management decisions and administrative oversight. </w:t>
      </w:r>
      <w:r w:rsidR="005D5C66" w:rsidRPr="695A3424">
        <w:rPr>
          <w:rFonts w:eastAsia="Times New Roman"/>
          <w:noProof/>
        </w:rPr>
        <w:t>The A</w:t>
      </w:r>
      <w:r w:rsidR="59DB0AD5" w:rsidRPr="695A3424">
        <w:rPr>
          <w:rFonts w:eastAsia="Times New Roman"/>
          <w:noProof/>
        </w:rPr>
        <w:t>D</w:t>
      </w:r>
      <w:r w:rsidR="005D5C66" w:rsidRPr="00D4396B">
        <w:rPr>
          <w:rFonts w:eastAsia="Times New Roman"/>
          <w:noProof/>
        </w:rPr>
        <w:t xml:space="preserve"> </w:t>
      </w:r>
      <w:r w:rsidRPr="00D4396B">
        <w:rPr>
          <w:rFonts w:eastAsia="Times New Roman"/>
          <w:noProof/>
        </w:rPr>
        <w:t xml:space="preserve">would participate as observer and adviser to the </w:t>
      </w:r>
      <w:r w:rsidR="00AC7217" w:rsidRPr="00D4396B">
        <w:rPr>
          <w:rFonts w:eastAsia="Times New Roman"/>
          <w:noProof/>
        </w:rPr>
        <w:t>EB</w:t>
      </w:r>
      <w:r w:rsidRPr="00D4396B">
        <w:rPr>
          <w:rFonts w:eastAsia="Times New Roman"/>
          <w:noProof/>
        </w:rPr>
        <w:t xml:space="preserve"> and </w:t>
      </w:r>
      <w:r w:rsidR="00AC7217" w:rsidRPr="00D4396B">
        <w:rPr>
          <w:rFonts w:eastAsia="Times New Roman"/>
          <w:noProof/>
        </w:rPr>
        <w:t>MB</w:t>
      </w:r>
      <w:r w:rsidRPr="00D4396B">
        <w:rPr>
          <w:rFonts w:eastAsia="Times New Roman"/>
          <w:noProof/>
        </w:rPr>
        <w:t xml:space="preserve"> meetings.</w:t>
      </w:r>
    </w:p>
    <w:p w14:paraId="5F6B1A69" w14:textId="1FC6A844" w:rsidR="00A63B53" w:rsidRPr="00D4396B" w:rsidRDefault="00A63B53" w:rsidP="003B0D3B">
      <w:pPr>
        <w:pStyle w:val="ListParagraph"/>
        <w:spacing w:after="120"/>
        <w:ind w:left="0"/>
        <w:contextualSpacing w:val="0"/>
        <w:rPr>
          <w:rFonts w:eastAsia="Times New Roman"/>
          <w:noProof/>
        </w:rPr>
      </w:pPr>
      <w:r w:rsidRPr="00D4396B">
        <w:rPr>
          <w:rFonts w:eastAsia="Times New Roman"/>
          <w:noProof/>
        </w:rPr>
        <w:t xml:space="preserve">The </w:t>
      </w:r>
      <w:r w:rsidR="00AC7217" w:rsidRPr="00D4396B">
        <w:rPr>
          <w:rFonts w:eastAsia="Times New Roman"/>
          <w:noProof/>
        </w:rPr>
        <w:t>AD</w:t>
      </w:r>
      <w:r w:rsidRPr="00D4396B">
        <w:rPr>
          <w:rFonts w:eastAsia="Times New Roman"/>
          <w:noProof/>
        </w:rPr>
        <w:t xml:space="preserve"> would remain the legal representative of the Agency, while it would be the President to formally participate on behalf of Eurojust in political and institutional fora.</w:t>
      </w:r>
    </w:p>
    <w:p w14:paraId="2AE12788" w14:textId="5EE0287A" w:rsidR="00A63B53" w:rsidRPr="00D4396B" w:rsidRDefault="4DDD7C98" w:rsidP="003B0D3B">
      <w:pPr>
        <w:pStyle w:val="ListParagraph"/>
        <w:spacing w:after="120"/>
        <w:ind w:left="0"/>
        <w:contextualSpacing w:val="0"/>
        <w:rPr>
          <w:rFonts w:eastAsia="Times New Roman"/>
          <w:noProof/>
        </w:rPr>
      </w:pPr>
      <w:r w:rsidRPr="00D4396B">
        <w:rPr>
          <w:rFonts w:eastAsia="Times New Roman"/>
          <w:noProof/>
        </w:rPr>
        <w:t xml:space="preserve">The </w:t>
      </w:r>
      <w:r w:rsidRPr="00D4396B">
        <w:rPr>
          <w:rFonts w:eastAsia="Times New Roman"/>
          <w:b/>
          <w:bCs/>
          <w:noProof/>
        </w:rPr>
        <w:t>Commission</w:t>
      </w:r>
      <w:r w:rsidRPr="00D4396B">
        <w:rPr>
          <w:rFonts w:eastAsia="Times New Roman"/>
          <w:noProof/>
        </w:rPr>
        <w:t xml:space="preserve">’s relevance in the governance would be </w:t>
      </w:r>
      <w:r w:rsidR="33A3F074" w:rsidRPr="00D4396B">
        <w:rPr>
          <w:rFonts w:eastAsia="Times New Roman"/>
          <w:noProof/>
        </w:rPr>
        <w:t>increased</w:t>
      </w:r>
      <w:r w:rsidRPr="00D4396B">
        <w:rPr>
          <w:rFonts w:eastAsia="Times New Roman"/>
          <w:noProof/>
        </w:rPr>
        <w:t xml:space="preserve"> through a veto </w:t>
      </w:r>
      <w:r w:rsidR="04B0F7F4" w:rsidRPr="00D4396B">
        <w:rPr>
          <w:rFonts w:eastAsia="Times New Roman"/>
          <w:noProof/>
        </w:rPr>
        <w:t>right</w:t>
      </w:r>
      <w:r w:rsidR="0AE12467" w:rsidRPr="00D4396B">
        <w:rPr>
          <w:rFonts w:eastAsia="Times New Roman"/>
          <w:noProof/>
        </w:rPr>
        <w:t xml:space="preserve"> on some specific matters</w:t>
      </w:r>
      <w:r w:rsidRPr="00E028A0">
        <w:rPr>
          <w:rFonts w:eastAsia="Times New Roman"/>
          <w:noProof/>
          <w:sz w:val="18"/>
          <w:szCs w:val="18"/>
        </w:rPr>
        <w:t xml:space="preserve"> </w:t>
      </w:r>
      <w:r w:rsidRPr="00D4396B">
        <w:rPr>
          <w:rFonts w:eastAsia="Times New Roman"/>
          <w:noProof/>
        </w:rPr>
        <w:t xml:space="preserve">or </w:t>
      </w:r>
      <w:r w:rsidR="71B28B9D" w:rsidRPr="00D4396B">
        <w:rPr>
          <w:rFonts w:eastAsia="Times New Roman"/>
          <w:noProof/>
        </w:rPr>
        <w:t xml:space="preserve">an </w:t>
      </w:r>
      <w:r w:rsidRPr="00D4396B">
        <w:rPr>
          <w:rFonts w:eastAsia="Times New Roman"/>
          <w:noProof/>
        </w:rPr>
        <w:t>early warning mechanism.</w:t>
      </w:r>
      <w:r w:rsidR="00250B8E" w:rsidRPr="00E028A0">
        <w:rPr>
          <w:rStyle w:val="FootnoteReference"/>
          <w:noProof/>
        </w:rPr>
        <w:footnoteReference w:id="108"/>
      </w:r>
      <w:r w:rsidRPr="00D4396B">
        <w:rPr>
          <w:rFonts w:eastAsia="Times New Roman"/>
          <w:noProof/>
        </w:rPr>
        <w:t xml:space="preserve"> </w:t>
      </w:r>
      <w:r w:rsidR="3CCEE45A" w:rsidRPr="00D4396B">
        <w:rPr>
          <w:rFonts w:eastAsia="Times New Roman"/>
          <w:noProof/>
        </w:rPr>
        <w:t>In this second case, t</w:t>
      </w:r>
      <w:r w:rsidRPr="00D4396B">
        <w:rPr>
          <w:rFonts w:eastAsia="Times New Roman"/>
          <w:noProof/>
        </w:rPr>
        <w:t>he Commission representative would be entitled to reject a deliberation requesting a second vote with a qualified majority (two thirds) in the event of decisions raising serious concerns of compliance with the Agency’s mandate. A veto power would be introduced for certain decisions on budget and human resources.</w:t>
      </w:r>
    </w:p>
    <w:p w14:paraId="5E3901B3" w14:textId="15FA7780" w:rsidR="00A63B53" w:rsidRPr="00D4396B" w:rsidRDefault="4DDD7C98" w:rsidP="003B0D3B">
      <w:pPr>
        <w:pStyle w:val="ListParagraph"/>
        <w:spacing w:after="120" w:line="276" w:lineRule="auto"/>
        <w:ind w:left="0"/>
        <w:contextualSpacing w:val="0"/>
        <w:rPr>
          <w:rFonts w:eastAsia="Times New Roman"/>
          <w:noProof/>
        </w:rPr>
      </w:pPr>
      <w:r w:rsidRPr="00D4396B">
        <w:rPr>
          <w:rFonts w:eastAsia="Times New Roman"/>
          <w:noProof/>
        </w:rPr>
        <w:t>Finally, the role and responsibilities of National Desks Assistants would be revised</w:t>
      </w:r>
      <w:r w:rsidR="1A5B697C" w:rsidRPr="00D4396B">
        <w:rPr>
          <w:rFonts w:eastAsia="Times New Roman"/>
          <w:noProof/>
        </w:rPr>
        <w:t>, streamlined</w:t>
      </w:r>
      <w:r w:rsidRPr="00D4396B">
        <w:rPr>
          <w:rFonts w:eastAsia="Times New Roman"/>
          <w:noProof/>
        </w:rPr>
        <w:t xml:space="preserve"> and rationalised</w:t>
      </w:r>
      <w:r w:rsidR="2D2BE19F" w:rsidRPr="00D4396B">
        <w:rPr>
          <w:rFonts w:eastAsia="Times New Roman"/>
          <w:noProof/>
        </w:rPr>
        <w:t>, providing them a clear definition of their role and competences</w:t>
      </w:r>
      <w:r w:rsidRPr="00D4396B">
        <w:rPr>
          <w:rFonts w:eastAsia="Times New Roman"/>
          <w:noProof/>
        </w:rPr>
        <w:t>.</w:t>
      </w:r>
    </w:p>
    <w:p w14:paraId="4C0328E3" w14:textId="6EA7341C" w:rsidR="00A63B53" w:rsidRPr="00D4396B" w:rsidRDefault="72AD7411" w:rsidP="000C3545">
      <w:pPr>
        <w:pStyle w:val="Heading3"/>
        <w:rPr>
          <w:noProof/>
        </w:rPr>
      </w:pPr>
      <w:bookmarkStart w:id="151" w:name="_Toc232176419"/>
      <w:r w:rsidRPr="00D4396B">
        <w:rPr>
          <w:noProof/>
        </w:rPr>
        <w:t>5.2.</w:t>
      </w:r>
      <w:r w:rsidR="5BF9379C" w:rsidRPr="00D4396B">
        <w:rPr>
          <w:noProof/>
        </w:rPr>
        <w:t>2</w:t>
      </w:r>
      <w:r w:rsidRPr="00D4396B">
        <w:rPr>
          <w:noProof/>
        </w:rPr>
        <w:t>.</w:t>
      </w:r>
      <w:r w:rsidR="16099869" w:rsidRPr="00D4396B">
        <w:rPr>
          <w:noProof/>
        </w:rPr>
        <w:tab/>
      </w:r>
      <w:r w:rsidRPr="00D4396B">
        <w:rPr>
          <w:noProof/>
          <w:u w:val="single"/>
        </w:rPr>
        <w:t xml:space="preserve">Specific Objective </w:t>
      </w:r>
      <w:r w:rsidR="28BB7992" w:rsidRPr="00D4396B">
        <w:rPr>
          <w:noProof/>
          <w:u w:val="single"/>
        </w:rPr>
        <w:t>2</w:t>
      </w:r>
      <w:r w:rsidRPr="00D4396B">
        <w:rPr>
          <w:noProof/>
          <w:u w:val="single"/>
        </w:rPr>
        <w:t>:</w:t>
      </w:r>
      <w:r w:rsidRPr="00D4396B">
        <w:rPr>
          <w:noProof/>
        </w:rPr>
        <w:t xml:space="preserve"> Achieve optimal operational integration with Member States, EU partners and third countries</w:t>
      </w:r>
      <w:bookmarkEnd w:id="151"/>
    </w:p>
    <w:p w14:paraId="7A620EFC" w14:textId="03A284B7" w:rsidR="00823496" w:rsidRPr="00D4396B" w:rsidRDefault="13B9AC85" w:rsidP="00E16DF6">
      <w:pPr>
        <w:spacing w:after="120"/>
        <w:rPr>
          <w:noProof/>
        </w:rPr>
      </w:pPr>
      <w:r w:rsidRPr="00D4396B">
        <w:rPr>
          <w:noProof/>
        </w:rPr>
        <w:t>A critical c</w:t>
      </w:r>
      <w:r w:rsidR="16703A48" w:rsidRPr="00D4396B">
        <w:rPr>
          <w:noProof/>
        </w:rPr>
        <w:t xml:space="preserve">hallenge for Eurojust lies in </w:t>
      </w:r>
      <w:r w:rsidR="265A5321" w:rsidRPr="00D4396B">
        <w:rPr>
          <w:noProof/>
        </w:rPr>
        <w:t>optimising</w:t>
      </w:r>
      <w:r w:rsidR="6FFCBB12" w:rsidRPr="00D4396B">
        <w:rPr>
          <w:noProof/>
        </w:rPr>
        <w:t xml:space="preserve"> </w:t>
      </w:r>
      <w:r w:rsidR="314DF751" w:rsidRPr="00D4396B">
        <w:rPr>
          <w:noProof/>
        </w:rPr>
        <w:t>operational integration with its key partners</w:t>
      </w:r>
      <w:r w:rsidR="21C0E344" w:rsidRPr="00D4396B">
        <w:rPr>
          <w:noProof/>
        </w:rPr>
        <w:t xml:space="preserve"> at EU level, in particular</w:t>
      </w:r>
      <w:r w:rsidR="00CD7F64" w:rsidRPr="00D4396B" w:rsidDel="71DA46E5">
        <w:rPr>
          <w:noProof/>
        </w:rPr>
        <w:t xml:space="preserve"> </w:t>
      </w:r>
      <w:r w:rsidR="71DA46E5" w:rsidRPr="00D4396B">
        <w:rPr>
          <w:noProof/>
        </w:rPr>
        <w:t>Europol</w:t>
      </w:r>
      <w:r w:rsidR="6DB83370" w:rsidRPr="00D4396B">
        <w:rPr>
          <w:noProof/>
        </w:rPr>
        <w:t xml:space="preserve"> and</w:t>
      </w:r>
      <w:r w:rsidR="00AD0B39" w:rsidRPr="00D4396B">
        <w:rPr>
          <w:noProof/>
        </w:rPr>
        <w:t xml:space="preserve"> </w:t>
      </w:r>
      <w:r w:rsidR="6E28F2E7" w:rsidRPr="00D4396B">
        <w:rPr>
          <w:noProof/>
        </w:rPr>
        <w:t xml:space="preserve">the </w:t>
      </w:r>
      <w:r w:rsidR="21D85805" w:rsidRPr="00D4396B">
        <w:rPr>
          <w:noProof/>
        </w:rPr>
        <w:t>EPPO</w:t>
      </w:r>
      <w:r w:rsidR="3364FC0D" w:rsidRPr="00D4396B">
        <w:rPr>
          <w:noProof/>
        </w:rPr>
        <w:t>, but also</w:t>
      </w:r>
      <w:r w:rsidR="44A386C3" w:rsidRPr="00D4396B">
        <w:rPr>
          <w:noProof/>
        </w:rPr>
        <w:t xml:space="preserve"> OLAF, as well as with </w:t>
      </w:r>
      <w:r w:rsidR="7F00AD4E" w:rsidRPr="00D4396B">
        <w:rPr>
          <w:noProof/>
        </w:rPr>
        <w:t>third countries</w:t>
      </w:r>
      <w:r w:rsidR="6314A488" w:rsidRPr="00D4396B">
        <w:rPr>
          <w:noProof/>
        </w:rPr>
        <w:t xml:space="preserve"> and </w:t>
      </w:r>
      <w:r w:rsidR="0B5A85BA" w:rsidRPr="00D4396B">
        <w:rPr>
          <w:noProof/>
        </w:rPr>
        <w:t xml:space="preserve">other </w:t>
      </w:r>
      <w:r w:rsidR="6314A488" w:rsidRPr="00D4396B">
        <w:rPr>
          <w:noProof/>
        </w:rPr>
        <w:t>international actors</w:t>
      </w:r>
      <w:r w:rsidR="587EDB6E" w:rsidRPr="00D4396B">
        <w:rPr>
          <w:noProof/>
        </w:rPr>
        <w:t xml:space="preserve">. </w:t>
      </w:r>
    </w:p>
    <w:p w14:paraId="033E50CC" w14:textId="3D7BACF5" w:rsidR="00E16DF6" w:rsidRDefault="7FA193DB" w:rsidP="00E16DF6">
      <w:pPr>
        <w:spacing w:after="120"/>
        <w:rPr>
          <w:noProof/>
        </w:rPr>
      </w:pPr>
      <w:r w:rsidRPr="00D4396B">
        <w:rPr>
          <w:noProof/>
        </w:rPr>
        <w:t xml:space="preserve">At present, </w:t>
      </w:r>
      <w:r w:rsidR="6439BBC6" w:rsidRPr="00D4396B">
        <w:rPr>
          <w:noProof/>
        </w:rPr>
        <w:t>fragmented data</w:t>
      </w:r>
      <w:r w:rsidR="0C8799D2" w:rsidRPr="00D4396B">
        <w:rPr>
          <w:noProof/>
        </w:rPr>
        <w:t xml:space="preserve">-sharing mechanisms </w:t>
      </w:r>
      <w:r w:rsidR="2AD4AB8F" w:rsidRPr="00D4396B">
        <w:rPr>
          <w:noProof/>
        </w:rPr>
        <w:t>hinder a more efficient cooperation</w:t>
      </w:r>
      <w:r w:rsidR="5EFA4513" w:rsidRPr="00D4396B">
        <w:rPr>
          <w:noProof/>
        </w:rPr>
        <w:t>.</w:t>
      </w:r>
      <w:r w:rsidR="4CD174A0" w:rsidRPr="00D4396B">
        <w:rPr>
          <w:noProof/>
        </w:rPr>
        <w:t xml:space="preserve"> </w:t>
      </w:r>
      <w:r w:rsidR="41A17E75" w:rsidRPr="00D4396B">
        <w:rPr>
          <w:noProof/>
        </w:rPr>
        <w:t>For the purpose of this impact assessment</w:t>
      </w:r>
      <w:r w:rsidR="55C16A5E" w:rsidRPr="00D4396B">
        <w:rPr>
          <w:noProof/>
        </w:rPr>
        <w:t xml:space="preserve">, focus is being </w:t>
      </w:r>
      <w:r w:rsidR="41485829" w:rsidRPr="00D4396B">
        <w:rPr>
          <w:noProof/>
        </w:rPr>
        <w:t xml:space="preserve">laid on the interaction with </w:t>
      </w:r>
      <w:r w:rsidR="028248AB" w:rsidRPr="00D4396B">
        <w:rPr>
          <w:noProof/>
        </w:rPr>
        <w:t xml:space="preserve">Europol and EPPO, however, </w:t>
      </w:r>
      <w:r w:rsidR="6756DB8A" w:rsidRPr="00D4396B">
        <w:rPr>
          <w:noProof/>
        </w:rPr>
        <w:t>improvements in this area, and in particular regarding the hit/no</w:t>
      </w:r>
      <w:r w:rsidR="661CF98B" w:rsidRPr="00D4396B">
        <w:rPr>
          <w:noProof/>
        </w:rPr>
        <w:t>-hit system</w:t>
      </w:r>
      <w:r w:rsidR="56B28D72" w:rsidRPr="00D4396B">
        <w:rPr>
          <w:noProof/>
        </w:rPr>
        <w:t xml:space="preserve">, could also be </w:t>
      </w:r>
      <w:r w:rsidR="0B9C28FC" w:rsidRPr="00D4396B">
        <w:rPr>
          <w:noProof/>
        </w:rPr>
        <w:t>useful</w:t>
      </w:r>
      <w:r w:rsidR="56B28D72" w:rsidRPr="00D4396B">
        <w:rPr>
          <w:noProof/>
        </w:rPr>
        <w:t xml:space="preserve"> for </w:t>
      </w:r>
      <w:r w:rsidR="250CEDB8" w:rsidRPr="00D4396B">
        <w:rPr>
          <w:noProof/>
        </w:rPr>
        <w:t xml:space="preserve">other </w:t>
      </w:r>
      <w:r w:rsidR="298393CA" w:rsidRPr="00D4396B">
        <w:rPr>
          <w:noProof/>
        </w:rPr>
        <w:t>actors, for example OLAF</w:t>
      </w:r>
      <w:r w:rsidR="00876E77">
        <w:rPr>
          <w:noProof/>
        </w:rPr>
        <w:t>.</w:t>
      </w:r>
      <w:r w:rsidR="298393CA" w:rsidRPr="00D4396B">
        <w:rPr>
          <w:noProof/>
        </w:rPr>
        <w:t xml:space="preserve"> </w:t>
      </w:r>
      <w:r w:rsidR="05999FE7" w:rsidRPr="00D4396B">
        <w:rPr>
          <w:noProof/>
        </w:rPr>
        <w:t xml:space="preserve">Indeed, the new cooperation frameworks designed to combat certain forms of </w:t>
      </w:r>
      <w:r w:rsidR="0749D540" w:rsidRPr="00D4396B">
        <w:rPr>
          <w:noProof/>
        </w:rPr>
        <w:t xml:space="preserve">serious </w:t>
      </w:r>
      <w:r w:rsidR="05999FE7" w:rsidRPr="00D4396B">
        <w:rPr>
          <w:noProof/>
        </w:rPr>
        <w:t xml:space="preserve">crime make it necessary to strengthen inter-institutional relations. </w:t>
      </w:r>
      <w:r w:rsidR="557E7779" w:rsidRPr="00D4396B">
        <w:rPr>
          <w:noProof/>
        </w:rPr>
        <w:t>T</w:t>
      </w:r>
      <w:r w:rsidR="05999FE7" w:rsidRPr="00D4396B">
        <w:rPr>
          <w:noProof/>
        </w:rPr>
        <w:t xml:space="preserve">he incoming review of the AFA </w:t>
      </w:r>
      <w:r w:rsidR="2530ECBA" w:rsidRPr="00D4396B">
        <w:rPr>
          <w:noProof/>
        </w:rPr>
        <w:t>highlights this imperative need</w:t>
      </w:r>
      <w:r w:rsidR="000C3545">
        <w:rPr>
          <w:noProof/>
        </w:rPr>
        <w:t>.</w:t>
      </w:r>
    </w:p>
    <w:p w14:paraId="40FD7C9F" w14:textId="77777777" w:rsidR="000C3545" w:rsidRDefault="000C3545" w:rsidP="00E16DF6">
      <w:pPr>
        <w:spacing w:after="120"/>
        <w:rPr>
          <w:noProof/>
        </w:rPr>
      </w:pPr>
    </w:p>
    <w:p w14:paraId="16E32BD7" w14:textId="014CD11A" w:rsidR="0061435E" w:rsidRPr="00250B8E" w:rsidRDefault="0061435E" w:rsidP="23439060">
      <w:pPr>
        <w:rPr>
          <w:noProof/>
          <w:u w:val="single"/>
        </w:rPr>
      </w:pPr>
      <w:r w:rsidRPr="00250B8E">
        <w:rPr>
          <w:noProof/>
          <w:u w:val="single"/>
        </w:rPr>
        <w:t xml:space="preserve">Table </w:t>
      </w:r>
      <w:r w:rsidR="00BD2ECB">
        <w:rPr>
          <w:noProof/>
          <w:u w:val="single"/>
        </w:rPr>
        <w:t>4</w:t>
      </w:r>
      <w:r w:rsidRPr="00C7551A">
        <w:rPr>
          <w:noProof/>
          <w:u w:val="single"/>
        </w:rPr>
        <w:t>:</w:t>
      </w:r>
      <w:r w:rsidR="00BD2ECB" w:rsidRPr="00BD2ECB">
        <w:rPr>
          <w:noProof/>
          <w:u w:val="single"/>
        </w:rPr>
        <w:t xml:space="preserve"> </w:t>
      </w:r>
      <w:r w:rsidR="00BD2ECB">
        <w:rPr>
          <w:noProof/>
          <w:u w:val="single"/>
        </w:rPr>
        <w:t>Policy options and measures under Specific Objective 2</w:t>
      </w:r>
    </w:p>
    <w:tbl>
      <w:tblPr>
        <w:tblW w:w="10489" w:type="dxa"/>
        <w:jc w:val="center"/>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7513"/>
        <w:gridCol w:w="992"/>
        <w:gridCol w:w="992"/>
        <w:gridCol w:w="992"/>
      </w:tblGrid>
      <w:tr w:rsidR="00A63B53" w:rsidRPr="00D4396B" w14:paraId="1AA3F9B5" w14:textId="77777777" w:rsidTr="003C0376">
        <w:trPr>
          <w:jc w:val="center"/>
        </w:trPr>
        <w:tc>
          <w:tcPr>
            <w:tcW w:w="7513" w:type="dxa"/>
            <w:vMerge w:val="restart"/>
            <w:tcBorders>
              <w:top w:val="single" w:sz="4" w:space="0" w:color="auto"/>
              <w:left w:val="single" w:sz="6" w:space="0" w:color="auto"/>
              <w:right w:val="single" w:sz="4" w:space="0" w:color="auto"/>
            </w:tcBorders>
            <w:vAlign w:val="center"/>
            <w:hideMark/>
          </w:tcPr>
          <w:p w14:paraId="304465C8" w14:textId="77777777" w:rsidR="00A63B53" w:rsidRPr="00D4396B" w:rsidRDefault="00A63B53">
            <w:pPr>
              <w:spacing w:after="0"/>
              <w:jc w:val="center"/>
              <w:rPr>
                <w:rFonts w:asciiTheme="majorBidi" w:hAnsiTheme="majorBidi" w:cstheme="majorBidi"/>
                <w:b/>
                <w:bCs/>
                <w:smallCaps/>
                <w:noProof/>
                <w:sz w:val="18"/>
                <w:szCs w:val="18"/>
              </w:rPr>
            </w:pPr>
            <w:bookmarkStart w:id="152" w:name="_Hlk224059387"/>
            <w:r w:rsidRPr="00D4396B">
              <w:rPr>
                <w:rFonts w:asciiTheme="majorBidi" w:hAnsiTheme="majorBidi" w:cstheme="majorBidi"/>
                <w:b/>
                <w:bCs/>
                <w:smallCaps/>
                <w:noProof/>
                <w:sz w:val="18"/>
                <w:szCs w:val="18"/>
              </w:rPr>
              <w:t xml:space="preserve">Specific objective 2 (External): </w:t>
            </w:r>
          </w:p>
          <w:p w14:paraId="4B0170EA" w14:textId="6AF4C7D4" w:rsidR="00A63B53" w:rsidRPr="00D4396B" w:rsidRDefault="6C99A084" w:rsidP="23439060">
            <w:pPr>
              <w:spacing w:after="0"/>
              <w:jc w:val="center"/>
              <w:rPr>
                <w:rFonts w:asciiTheme="majorBidi" w:hAnsiTheme="majorBidi" w:cstheme="majorBidi"/>
                <w:noProof/>
                <w:sz w:val="18"/>
                <w:szCs w:val="18"/>
              </w:rPr>
            </w:pPr>
            <w:r w:rsidRPr="00D4396B">
              <w:rPr>
                <w:rFonts w:asciiTheme="majorBidi" w:hAnsiTheme="majorBidi" w:cstheme="majorBidi"/>
                <w:b/>
                <w:bCs/>
                <w:smallCaps/>
                <w:noProof/>
                <w:sz w:val="18"/>
                <w:szCs w:val="18"/>
              </w:rPr>
              <w:t xml:space="preserve">Achieve optimal alignment and operational integration </w:t>
            </w:r>
            <w:r w:rsidR="00510262">
              <w:rPr>
                <w:rFonts w:asciiTheme="majorBidi" w:hAnsiTheme="majorBidi" w:cstheme="majorBidi"/>
                <w:b/>
                <w:bCs/>
                <w:smallCaps/>
                <w:noProof/>
                <w:sz w:val="18"/>
                <w:szCs w:val="18"/>
              </w:rPr>
              <w:t>with</w:t>
            </w:r>
            <w:r w:rsidR="004E753E">
              <w:rPr>
                <w:rFonts w:asciiTheme="majorBidi" w:hAnsiTheme="majorBidi" w:cstheme="majorBidi"/>
                <w:b/>
                <w:bCs/>
                <w:smallCaps/>
                <w:noProof/>
                <w:sz w:val="18"/>
                <w:szCs w:val="18"/>
              </w:rPr>
              <w:t xml:space="preserve"> </w:t>
            </w:r>
            <w:r w:rsidRPr="00D4396B">
              <w:rPr>
                <w:rFonts w:asciiTheme="majorBidi" w:hAnsiTheme="majorBidi" w:cstheme="majorBidi"/>
                <w:b/>
                <w:bCs/>
                <w:smallCaps/>
                <w:noProof/>
                <w:sz w:val="18"/>
                <w:szCs w:val="18"/>
              </w:rPr>
              <w:t>EU partners and third countries</w:t>
            </w:r>
          </w:p>
        </w:tc>
        <w:tc>
          <w:tcPr>
            <w:tcW w:w="2976" w:type="dxa"/>
            <w:gridSpan w:val="3"/>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hideMark/>
          </w:tcPr>
          <w:p w14:paraId="115590E2" w14:textId="77777777" w:rsidR="00A63B53" w:rsidRPr="00D4396B" w:rsidRDefault="00A63B53">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Options</w:t>
            </w:r>
          </w:p>
        </w:tc>
      </w:tr>
      <w:tr w:rsidR="000A48A4" w:rsidRPr="00D4396B" w14:paraId="57F4A2E5" w14:textId="77777777" w:rsidTr="003C0376">
        <w:trPr>
          <w:jc w:val="center"/>
        </w:trPr>
        <w:tc>
          <w:tcPr>
            <w:tcW w:w="7513" w:type="dxa"/>
            <w:vMerge/>
            <w:vAlign w:val="center"/>
          </w:tcPr>
          <w:p w14:paraId="1FAF52CC" w14:textId="77777777" w:rsidR="00A63B53" w:rsidRPr="00D4396B" w:rsidRDefault="00A63B53">
            <w:pPr>
              <w:spacing w:after="0"/>
              <w:jc w:val="center"/>
              <w:rPr>
                <w:rFonts w:asciiTheme="majorBidi" w:hAnsiTheme="majorBidi" w:cstheme="majorBidi"/>
                <w:b/>
                <w:bCs/>
                <w:noProof/>
                <w:sz w:val="18"/>
                <w:szCs w:val="18"/>
              </w:rPr>
            </w:pPr>
          </w:p>
        </w:tc>
        <w:tc>
          <w:tcPr>
            <w:tcW w:w="992" w:type="dxa"/>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4081EDF"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Light changes</w:t>
            </w:r>
          </w:p>
        </w:tc>
        <w:tc>
          <w:tcPr>
            <w:tcW w:w="992" w:type="dxa"/>
            <w:tcBorders>
              <w:top w:val="single" w:sz="4" w:space="0" w:color="auto"/>
              <w:left w:val="single" w:sz="4" w:space="0" w:color="auto"/>
              <w:bottom w:val="single" w:sz="6" w:space="0" w:color="auto"/>
              <w:right w:val="single" w:sz="6" w:space="0" w:color="auto"/>
            </w:tcBorders>
            <w:shd w:val="clear" w:color="auto" w:fill="BFBFBF" w:themeFill="background1" w:themeFillShade="BF"/>
            <w:vAlign w:val="center"/>
          </w:tcPr>
          <w:p w14:paraId="669524C8"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Moderate changes</w:t>
            </w:r>
          </w:p>
        </w:tc>
        <w:tc>
          <w:tcPr>
            <w:tcW w:w="992" w:type="dxa"/>
            <w:tcBorders>
              <w:top w:val="single" w:sz="4" w:space="0" w:color="auto"/>
              <w:left w:val="nil"/>
              <w:bottom w:val="single" w:sz="6" w:space="0" w:color="auto"/>
              <w:right w:val="single" w:sz="6" w:space="0" w:color="auto"/>
            </w:tcBorders>
            <w:shd w:val="clear" w:color="auto" w:fill="A6A6A6" w:themeFill="background1" w:themeFillShade="A6"/>
            <w:vAlign w:val="center"/>
          </w:tcPr>
          <w:p w14:paraId="02B0E959"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Substantive changes</w:t>
            </w:r>
          </w:p>
        </w:tc>
      </w:tr>
      <w:tr w:rsidR="00A63B53" w:rsidRPr="00D4396B" w14:paraId="50687703" w14:textId="77777777" w:rsidTr="00F2259A">
        <w:trPr>
          <w:trHeight w:val="315"/>
          <w:jc w:val="center"/>
        </w:trPr>
        <w:tc>
          <w:tcPr>
            <w:tcW w:w="10489" w:type="dxa"/>
            <w:gridSpan w:val="4"/>
            <w:tcBorders>
              <w:top w:val="single" w:sz="6" w:space="0" w:color="auto"/>
              <w:left w:val="single" w:sz="6" w:space="0" w:color="auto"/>
              <w:bottom w:val="nil"/>
              <w:right w:val="single" w:sz="6" w:space="0" w:color="000000" w:themeColor="text1"/>
            </w:tcBorders>
            <w:shd w:val="clear" w:color="auto" w:fill="EBF8F8"/>
            <w:vAlign w:val="center"/>
            <w:hideMark/>
          </w:tcPr>
          <w:p w14:paraId="6347B144" w14:textId="5E462020" w:rsidR="00A63B53" w:rsidRPr="00D4396B" w:rsidRDefault="00B76C08">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D</w:t>
            </w:r>
            <w:r w:rsidR="00A63B53" w:rsidRPr="00D4396B">
              <w:rPr>
                <w:rFonts w:asciiTheme="majorBidi" w:hAnsiTheme="majorBidi" w:cstheme="majorBidi"/>
                <w:b/>
                <w:bCs/>
                <w:noProof/>
                <w:sz w:val="18"/>
                <w:szCs w:val="18"/>
              </w:rPr>
              <w:t>. Fostering and strengthening structured operational cooperation with Europol</w:t>
            </w:r>
          </w:p>
        </w:tc>
      </w:tr>
      <w:tr w:rsidR="000A48A4" w:rsidRPr="00D4396B" w14:paraId="7A66D127" w14:textId="77777777" w:rsidTr="003C0376">
        <w:trPr>
          <w:jc w:val="center"/>
        </w:trPr>
        <w:tc>
          <w:tcPr>
            <w:tcW w:w="7513" w:type="dxa"/>
            <w:tcBorders>
              <w:top w:val="nil"/>
              <w:left w:val="single" w:sz="6" w:space="0" w:color="auto"/>
              <w:bottom w:val="single" w:sz="6" w:space="0" w:color="auto"/>
              <w:right w:val="single" w:sz="4" w:space="0" w:color="auto"/>
            </w:tcBorders>
            <w:shd w:val="clear" w:color="auto" w:fill="EBF8F8"/>
            <w:vAlign w:val="center"/>
          </w:tcPr>
          <w:p w14:paraId="52AA8ADA" w14:textId="77777777" w:rsidR="00A63B53" w:rsidRPr="00D4396B" w:rsidRDefault="00A63B53">
            <w:pPr>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739DA216" w14:textId="77777777" w:rsidR="00A63B53" w:rsidRPr="00D4396B" w:rsidRDefault="00A63B53">
            <w:pPr>
              <w:spacing w:after="0"/>
              <w:rPr>
                <w:rFonts w:asciiTheme="majorBidi" w:hAnsiTheme="majorBidi" w:cstheme="majorBidi"/>
                <w:b/>
                <w:bCs/>
                <w:noProof/>
                <w:sz w:val="18"/>
                <w:szCs w:val="18"/>
              </w:rPr>
            </w:pPr>
            <w:r w:rsidRPr="00D4396B">
              <w:rPr>
                <w:rFonts w:asciiTheme="majorBidi" w:hAnsiTheme="majorBidi" w:cstheme="majorBidi"/>
                <w:noProof/>
                <w:sz w:val="18"/>
                <w:szCs w:val="18"/>
              </w:rPr>
              <w:t>#8 Absence of a structurally embedded cooperation with Europol</w:t>
            </w:r>
          </w:p>
        </w:tc>
        <w:tc>
          <w:tcPr>
            <w:tcW w:w="992" w:type="dxa"/>
            <w:tcBorders>
              <w:top w:val="single" w:sz="4" w:space="0" w:color="auto"/>
              <w:left w:val="single" w:sz="4" w:space="0" w:color="auto"/>
              <w:bottom w:val="single" w:sz="6" w:space="0" w:color="auto"/>
              <w:right w:val="single" w:sz="4" w:space="0" w:color="auto"/>
            </w:tcBorders>
            <w:shd w:val="clear" w:color="auto" w:fill="E1F2F2"/>
            <w:vAlign w:val="center"/>
          </w:tcPr>
          <w:p w14:paraId="01601E7B" w14:textId="434B647C" w:rsidR="00A63B53" w:rsidRPr="00D4396B" w:rsidRDefault="00B76C08">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D</w:t>
            </w:r>
            <w:r w:rsidR="006D16AE" w:rsidRPr="00D4396B">
              <w:rPr>
                <w:rFonts w:asciiTheme="majorBidi" w:hAnsiTheme="majorBidi" w:cstheme="majorBidi"/>
                <w:b/>
                <w:bCs/>
                <w:noProof/>
                <w:sz w:val="18"/>
                <w:szCs w:val="18"/>
              </w:rPr>
              <w:t>.</w:t>
            </w:r>
            <w:r w:rsidR="00A63B53" w:rsidRPr="00D4396B">
              <w:rPr>
                <w:rFonts w:asciiTheme="majorBidi" w:hAnsiTheme="majorBidi" w:cstheme="majorBidi"/>
                <w:b/>
                <w:bCs/>
                <w:noProof/>
                <w:sz w:val="18"/>
                <w:szCs w:val="18"/>
              </w:rPr>
              <w:t>PO1</w:t>
            </w:r>
          </w:p>
        </w:tc>
        <w:tc>
          <w:tcPr>
            <w:tcW w:w="992" w:type="dxa"/>
            <w:tcBorders>
              <w:top w:val="single" w:sz="4" w:space="0" w:color="auto"/>
              <w:left w:val="single" w:sz="4" w:space="0" w:color="auto"/>
              <w:bottom w:val="single" w:sz="6" w:space="0" w:color="auto"/>
              <w:right w:val="single" w:sz="4" w:space="0" w:color="auto"/>
            </w:tcBorders>
            <w:shd w:val="clear" w:color="auto" w:fill="D7ECEC"/>
            <w:vAlign w:val="center"/>
          </w:tcPr>
          <w:p w14:paraId="5F7E0B28" w14:textId="6AAEDDF0" w:rsidR="00A63B53" w:rsidRPr="00D4396B" w:rsidRDefault="00B76C08">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D</w:t>
            </w:r>
            <w:r w:rsidR="006D16AE" w:rsidRPr="00D4396B">
              <w:rPr>
                <w:rFonts w:asciiTheme="majorBidi" w:hAnsiTheme="majorBidi" w:cstheme="majorBidi"/>
                <w:b/>
                <w:bCs/>
                <w:noProof/>
                <w:sz w:val="18"/>
                <w:szCs w:val="18"/>
              </w:rPr>
              <w:t>.</w:t>
            </w:r>
            <w:r w:rsidR="00A63B53" w:rsidRPr="00D4396B">
              <w:rPr>
                <w:rFonts w:asciiTheme="majorBidi" w:hAnsiTheme="majorBidi" w:cstheme="majorBidi"/>
                <w:b/>
                <w:bCs/>
                <w:noProof/>
                <w:sz w:val="18"/>
                <w:szCs w:val="18"/>
              </w:rPr>
              <w:t>PO2</w:t>
            </w:r>
          </w:p>
        </w:tc>
        <w:tc>
          <w:tcPr>
            <w:tcW w:w="992" w:type="dxa"/>
            <w:tcBorders>
              <w:top w:val="single" w:sz="4" w:space="0" w:color="auto"/>
              <w:left w:val="single" w:sz="4" w:space="0" w:color="auto"/>
              <w:bottom w:val="single" w:sz="6" w:space="0" w:color="auto"/>
              <w:right w:val="single" w:sz="6" w:space="0" w:color="000000" w:themeColor="text1"/>
            </w:tcBorders>
            <w:shd w:val="clear" w:color="auto" w:fill="CDE6E6"/>
            <w:vAlign w:val="center"/>
          </w:tcPr>
          <w:p w14:paraId="017ED966" w14:textId="518522A4" w:rsidR="00A63B53" w:rsidRPr="00D4396B" w:rsidRDefault="00B76C08">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D</w:t>
            </w:r>
            <w:r w:rsidR="006D16AE" w:rsidRPr="00D4396B">
              <w:rPr>
                <w:rFonts w:asciiTheme="majorBidi" w:hAnsiTheme="majorBidi" w:cstheme="majorBidi"/>
                <w:b/>
                <w:bCs/>
                <w:noProof/>
                <w:sz w:val="18"/>
                <w:szCs w:val="18"/>
              </w:rPr>
              <w:t>.</w:t>
            </w:r>
            <w:r w:rsidR="00A63B53" w:rsidRPr="00D4396B">
              <w:rPr>
                <w:rFonts w:asciiTheme="majorBidi" w:hAnsiTheme="majorBidi" w:cstheme="majorBidi"/>
                <w:b/>
                <w:bCs/>
                <w:noProof/>
                <w:sz w:val="18"/>
                <w:szCs w:val="18"/>
              </w:rPr>
              <w:t>PO3</w:t>
            </w:r>
          </w:p>
        </w:tc>
      </w:tr>
      <w:tr w:rsidR="000A48A4" w:rsidRPr="00D4396B" w14:paraId="381110CF" w14:textId="77777777" w:rsidTr="003C0376">
        <w:trPr>
          <w:jc w:val="center"/>
        </w:trPr>
        <w:tc>
          <w:tcPr>
            <w:tcW w:w="7513" w:type="dxa"/>
            <w:tcBorders>
              <w:top w:val="nil"/>
              <w:left w:val="single" w:sz="6" w:space="0" w:color="auto"/>
              <w:bottom w:val="single" w:sz="4" w:space="0" w:color="auto"/>
              <w:right w:val="single" w:sz="4" w:space="0" w:color="auto"/>
            </w:tcBorders>
            <w:vAlign w:val="center"/>
            <w:hideMark/>
          </w:tcPr>
          <w:p w14:paraId="5572C0BA" w14:textId="3367B8CC"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Automating and optimising Eurojust-Europol’s system for indirect access to the respective databases (</w:t>
            </w:r>
            <w:r w:rsidR="00B73FF4" w:rsidRPr="00D4396B">
              <w:rPr>
                <w:rFonts w:asciiTheme="majorBidi" w:hAnsiTheme="majorBidi" w:cstheme="majorBidi"/>
                <w:noProof/>
                <w:sz w:val="18"/>
                <w:szCs w:val="18"/>
              </w:rPr>
              <w:t xml:space="preserve">interagency </w:t>
            </w:r>
            <w:r w:rsidRPr="00D4396B">
              <w:rPr>
                <w:rFonts w:asciiTheme="majorBidi" w:hAnsiTheme="majorBidi" w:cstheme="majorBidi"/>
                <w:noProof/>
                <w:sz w:val="18"/>
                <w:szCs w:val="18"/>
              </w:rPr>
              <w:t>hit/no-hit system) – through technical measures only (i.a) or through technical measures linked to new legal obligations (i.b)</w:t>
            </w:r>
          </w:p>
        </w:tc>
        <w:tc>
          <w:tcPr>
            <w:tcW w:w="992" w:type="dxa"/>
            <w:tcBorders>
              <w:top w:val="nil"/>
              <w:left w:val="single" w:sz="4" w:space="0" w:color="auto"/>
              <w:bottom w:val="single" w:sz="6" w:space="0" w:color="auto"/>
              <w:right w:val="single" w:sz="6" w:space="0" w:color="auto"/>
            </w:tcBorders>
            <w:shd w:val="clear" w:color="auto" w:fill="E1F2F2"/>
            <w:vAlign w:val="center"/>
            <w:hideMark/>
          </w:tcPr>
          <w:p w14:paraId="2E5872D1"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i.a</w:t>
            </w:r>
          </w:p>
        </w:tc>
        <w:tc>
          <w:tcPr>
            <w:tcW w:w="992" w:type="dxa"/>
            <w:tcBorders>
              <w:top w:val="nil"/>
              <w:left w:val="nil"/>
              <w:bottom w:val="single" w:sz="6" w:space="0" w:color="auto"/>
              <w:right w:val="single" w:sz="6" w:space="0" w:color="auto"/>
            </w:tcBorders>
            <w:shd w:val="clear" w:color="auto" w:fill="D7ECEC"/>
            <w:vAlign w:val="center"/>
            <w:hideMark/>
          </w:tcPr>
          <w:p w14:paraId="12398E33"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c>
          <w:tcPr>
            <w:tcW w:w="992" w:type="dxa"/>
            <w:tcBorders>
              <w:top w:val="nil"/>
              <w:left w:val="nil"/>
              <w:bottom w:val="single" w:sz="6" w:space="0" w:color="auto"/>
              <w:right w:val="single" w:sz="6" w:space="0" w:color="auto"/>
            </w:tcBorders>
            <w:shd w:val="clear" w:color="auto" w:fill="CDE6E6"/>
            <w:vAlign w:val="center"/>
            <w:hideMark/>
          </w:tcPr>
          <w:p w14:paraId="4510FEF0"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r>
      <w:tr w:rsidR="000A48A4" w:rsidRPr="00D4396B" w14:paraId="4A23D590" w14:textId="77777777" w:rsidTr="003C0376">
        <w:trPr>
          <w:jc w:val="center"/>
        </w:trPr>
        <w:tc>
          <w:tcPr>
            <w:tcW w:w="7513" w:type="dxa"/>
            <w:tcBorders>
              <w:top w:val="nil"/>
              <w:left w:val="single" w:sz="6" w:space="0" w:color="auto"/>
              <w:bottom w:val="single" w:sz="4" w:space="0" w:color="auto"/>
              <w:right w:val="single" w:sz="4" w:space="0" w:color="auto"/>
            </w:tcBorders>
            <w:vAlign w:val="center"/>
          </w:tcPr>
          <w:p w14:paraId="01BEA3F4"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xml:space="preserve"> Revising the 2010 Eurojust-Europol Working Arrangements – through a political push for its renegotiation (ii.a) or by introducing in the EJR a legal obligation of periodic review in consultation with the Commission (ii.b)</w:t>
            </w:r>
          </w:p>
        </w:tc>
        <w:tc>
          <w:tcPr>
            <w:tcW w:w="992" w:type="dxa"/>
            <w:tcBorders>
              <w:top w:val="nil"/>
              <w:left w:val="single" w:sz="4" w:space="0" w:color="auto"/>
              <w:bottom w:val="single" w:sz="6" w:space="0" w:color="auto"/>
              <w:right w:val="single" w:sz="6" w:space="0" w:color="auto"/>
            </w:tcBorders>
            <w:shd w:val="clear" w:color="auto" w:fill="E1F2F2"/>
            <w:vAlign w:val="center"/>
          </w:tcPr>
          <w:p w14:paraId="09A47773"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ii.a</w:t>
            </w:r>
          </w:p>
        </w:tc>
        <w:tc>
          <w:tcPr>
            <w:tcW w:w="992" w:type="dxa"/>
            <w:tcBorders>
              <w:top w:val="nil"/>
              <w:left w:val="nil"/>
              <w:bottom w:val="single" w:sz="6" w:space="0" w:color="auto"/>
              <w:right w:val="single" w:sz="6" w:space="0" w:color="auto"/>
            </w:tcBorders>
            <w:shd w:val="clear" w:color="auto" w:fill="D7ECEC"/>
            <w:vAlign w:val="center"/>
          </w:tcPr>
          <w:p w14:paraId="058725EA"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c>
          <w:tcPr>
            <w:tcW w:w="992" w:type="dxa"/>
            <w:tcBorders>
              <w:top w:val="nil"/>
              <w:left w:val="nil"/>
              <w:bottom w:val="single" w:sz="6" w:space="0" w:color="auto"/>
              <w:right w:val="single" w:sz="6" w:space="0" w:color="auto"/>
            </w:tcBorders>
            <w:shd w:val="clear" w:color="auto" w:fill="CDE6E6"/>
            <w:vAlign w:val="center"/>
          </w:tcPr>
          <w:p w14:paraId="2CC62FC8"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r>
      <w:tr w:rsidR="000A48A4" w:rsidRPr="00D4396B" w14:paraId="37577885" w14:textId="77777777" w:rsidTr="003C0376">
        <w:trPr>
          <w:jc w:val="center"/>
        </w:trPr>
        <w:tc>
          <w:tcPr>
            <w:tcW w:w="7513" w:type="dxa"/>
            <w:tcBorders>
              <w:top w:val="nil"/>
              <w:left w:val="single" w:sz="6" w:space="0" w:color="auto"/>
              <w:bottom w:val="single" w:sz="4" w:space="0" w:color="auto"/>
              <w:right w:val="single" w:sz="4" w:space="0" w:color="auto"/>
            </w:tcBorders>
            <w:vAlign w:val="center"/>
          </w:tcPr>
          <w:p w14:paraId="5BC4DA51"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xml:space="preserve"> Creating a dedicated cooperation channel for systematic follow up on SIRIUS referrals</w:t>
            </w:r>
          </w:p>
        </w:tc>
        <w:tc>
          <w:tcPr>
            <w:tcW w:w="992" w:type="dxa"/>
            <w:tcBorders>
              <w:top w:val="nil"/>
              <w:left w:val="single" w:sz="4" w:space="0" w:color="auto"/>
              <w:bottom w:val="single" w:sz="6" w:space="0" w:color="auto"/>
              <w:right w:val="single" w:sz="6" w:space="0" w:color="auto"/>
            </w:tcBorders>
            <w:shd w:val="clear" w:color="auto" w:fill="E1F2F2"/>
            <w:vAlign w:val="center"/>
          </w:tcPr>
          <w:p w14:paraId="29F82992"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nil"/>
              <w:left w:val="nil"/>
              <w:bottom w:val="single" w:sz="6" w:space="0" w:color="auto"/>
              <w:right w:val="single" w:sz="6" w:space="0" w:color="auto"/>
            </w:tcBorders>
            <w:shd w:val="clear" w:color="auto" w:fill="D7ECEC"/>
            <w:vAlign w:val="center"/>
          </w:tcPr>
          <w:p w14:paraId="305F9F34"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c>
          <w:tcPr>
            <w:tcW w:w="992" w:type="dxa"/>
            <w:tcBorders>
              <w:top w:val="nil"/>
              <w:left w:val="nil"/>
              <w:bottom w:val="single" w:sz="6" w:space="0" w:color="auto"/>
              <w:right w:val="single" w:sz="6" w:space="0" w:color="auto"/>
            </w:tcBorders>
            <w:shd w:val="clear" w:color="auto" w:fill="CDE6E6"/>
            <w:vAlign w:val="center"/>
          </w:tcPr>
          <w:p w14:paraId="5F6B6D93"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r>
      <w:tr w:rsidR="000A48A4" w:rsidRPr="00D4396B" w14:paraId="2A11A58E" w14:textId="77777777" w:rsidTr="003C0376">
        <w:trPr>
          <w:jc w:val="center"/>
        </w:trPr>
        <w:tc>
          <w:tcPr>
            <w:tcW w:w="7513" w:type="dxa"/>
            <w:tcBorders>
              <w:top w:val="nil"/>
              <w:left w:val="single" w:sz="6" w:space="0" w:color="auto"/>
              <w:bottom w:val="single" w:sz="4" w:space="0" w:color="auto"/>
              <w:right w:val="single" w:sz="4" w:space="0" w:color="auto"/>
            </w:tcBorders>
            <w:vAlign w:val="center"/>
          </w:tcPr>
          <w:p w14:paraId="31B7512C" w14:textId="77777777" w:rsidR="00A63B53" w:rsidRPr="00D4396B" w:rsidRDefault="00A63B53">
            <w:pPr>
              <w:spacing w:after="0"/>
              <w:rPr>
                <w:rFonts w:asciiTheme="majorBidi" w:hAnsiTheme="majorBidi" w:cstheme="majorBidi"/>
                <w:noProof/>
                <w:sz w:val="18"/>
                <w:szCs w:val="18"/>
                <w:u w:val="single"/>
              </w:rPr>
            </w:pPr>
            <w:r w:rsidRPr="00D4396B">
              <w:rPr>
                <w:rFonts w:asciiTheme="majorBidi" w:hAnsiTheme="majorBidi" w:cstheme="majorBidi"/>
                <w:noProof/>
                <w:sz w:val="18"/>
                <w:szCs w:val="18"/>
                <w:u w:val="single"/>
              </w:rPr>
              <w:t>iv.</w:t>
            </w:r>
            <w:r w:rsidRPr="00D4396B">
              <w:rPr>
                <w:rFonts w:asciiTheme="majorBidi" w:hAnsiTheme="majorBidi" w:cstheme="majorBidi"/>
                <w:noProof/>
                <w:sz w:val="18"/>
                <w:szCs w:val="18"/>
              </w:rPr>
              <w:t xml:space="preserve"> Granting participation in College meetings to Europol representatives</w:t>
            </w:r>
          </w:p>
        </w:tc>
        <w:tc>
          <w:tcPr>
            <w:tcW w:w="992" w:type="dxa"/>
            <w:tcBorders>
              <w:top w:val="nil"/>
              <w:left w:val="single" w:sz="4" w:space="0" w:color="auto"/>
              <w:bottom w:val="single" w:sz="6" w:space="0" w:color="auto"/>
              <w:right w:val="single" w:sz="6" w:space="0" w:color="auto"/>
            </w:tcBorders>
            <w:shd w:val="clear" w:color="auto" w:fill="E1F2F2"/>
            <w:vAlign w:val="center"/>
          </w:tcPr>
          <w:p w14:paraId="60B1CA11"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nil"/>
              <w:left w:val="nil"/>
              <w:bottom w:val="single" w:sz="6" w:space="0" w:color="auto"/>
              <w:right w:val="single" w:sz="6" w:space="0" w:color="auto"/>
            </w:tcBorders>
            <w:shd w:val="clear" w:color="auto" w:fill="D7ECEC"/>
            <w:vAlign w:val="center"/>
          </w:tcPr>
          <w:p w14:paraId="1FA1DA26"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c>
          <w:tcPr>
            <w:tcW w:w="992" w:type="dxa"/>
            <w:tcBorders>
              <w:top w:val="nil"/>
              <w:left w:val="nil"/>
              <w:bottom w:val="single" w:sz="6" w:space="0" w:color="auto"/>
              <w:right w:val="single" w:sz="6" w:space="0" w:color="auto"/>
            </w:tcBorders>
            <w:shd w:val="clear" w:color="auto" w:fill="CDE6E6"/>
            <w:vAlign w:val="center"/>
          </w:tcPr>
          <w:p w14:paraId="1F3AB3D5"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r>
      <w:tr w:rsidR="000A48A4" w:rsidRPr="00D4396B" w14:paraId="7D32C16B" w14:textId="77777777" w:rsidTr="003C0376">
        <w:trPr>
          <w:jc w:val="center"/>
        </w:trPr>
        <w:tc>
          <w:tcPr>
            <w:tcW w:w="7513" w:type="dxa"/>
            <w:tcBorders>
              <w:top w:val="nil"/>
              <w:left w:val="single" w:sz="6" w:space="0" w:color="auto"/>
              <w:bottom w:val="single" w:sz="4" w:space="0" w:color="auto"/>
              <w:right w:val="single" w:sz="6" w:space="0" w:color="auto"/>
            </w:tcBorders>
            <w:vAlign w:val="center"/>
          </w:tcPr>
          <w:p w14:paraId="020914C0" w14:textId="4E0CD608" w:rsidR="00A63B53" w:rsidRPr="00D4396B" w:rsidRDefault="00A63B53" w:rsidP="7E8FC249">
            <w:pPr>
              <w:spacing w:after="0"/>
              <w:rPr>
                <w:rFonts w:asciiTheme="majorBidi" w:hAnsiTheme="majorBidi" w:cstheme="majorBidi"/>
                <w:noProof/>
                <w:sz w:val="18"/>
                <w:szCs w:val="18"/>
                <w:u w:val="single"/>
              </w:rPr>
            </w:pPr>
            <w:r w:rsidRPr="7E8FC249">
              <w:rPr>
                <w:rFonts w:asciiTheme="majorBidi" w:hAnsiTheme="majorBidi" w:cstheme="majorBidi"/>
                <w:noProof/>
                <w:sz w:val="18"/>
                <w:szCs w:val="18"/>
                <w:u w:val="single"/>
              </w:rPr>
              <w:t>v.</w:t>
            </w:r>
            <w:r w:rsidRPr="7E8FC249">
              <w:rPr>
                <w:rFonts w:asciiTheme="majorBidi" w:hAnsiTheme="majorBidi" w:cstheme="majorBidi"/>
                <w:noProof/>
                <w:sz w:val="18"/>
                <w:szCs w:val="18"/>
              </w:rPr>
              <w:t> Codifying cooperation modalities between Eurojust and Europol (e.g., notification to Eurojust upon reaching of “judicial threshold”, creation of J</w:t>
            </w:r>
            <w:r w:rsidR="7A92D9ED" w:rsidRPr="7E8FC249">
              <w:rPr>
                <w:rFonts w:asciiTheme="majorBidi" w:hAnsiTheme="majorBidi" w:cstheme="majorBidi"/>
                <w:noProof/>
                <w:sz w:val="18"/>
                <w:szCs w:val="18"/>
              </w:rPr>
              <w:t>OP</w:t>
            </w:r>
            <w:r w:rsidRPr="7E8FC249">
              <w:rPr>
                <w:rFonts w:asciiTheme="majorBidi" w:hAnsiTheme="majorBidi" w:cstheme="majorBidi"/>
                <w:noProof/>
                <w:sz w:val="18"/>
                <w:szCs w:val="18"/>
              </w:rPr>
              <w:t>s</w:t>
            </w:r>
            <w:r w:rsidR="13DB4E3E" w:rsidRPr="7E8FC249">
              <w:rPr>
                <w:rFonts w:asciiTheme="majorBidi" w:hAnsiTheme="majorBidi" w:cstheme="majorBidi"/>
                <w:noProof/>
                <w:sz w:val="18"/>
                <w:szCs w:val="18"/>
              </w:rPr>
              <w:t xml:space="preserve"> or task forces</w:t>
            </w:r>
            <w:r w:rsidRPr="7E8FC249">
              <w:rPr>
                <w:rFonts w:asciiTheme="majorBidi" w:hAnsiTheme="majorBidi" w:cstheme="majorBidi"/>
                <w:noProof/>
                <w:sz w:val="18"/>
                <w:szCs w:val="18"/>
              </w:rPr>
              <w:t>)</w:t>
            </w:r>
          </w:p>
        </w:tc>
        <w:tc>
          <w:tcPr>
            <w:tcW w:w="992" w:type="dxa"/>
            <w:tcBorders>
              <w:top w:val="nil"/>
              <w:left w:val="single" w:sz="6" w:space="0" w:color="auto"/>
              <w:bottom w:val="single" w:sz="6" w:space="0" w:color="auto"/>
              <w:right w:val="single" w:sz="6" w:space="0" w:color="auto"/>
            </w:tcBorders>
            <w:shd w:val="clear" w:color="auto" w:fill="E1F2F2"/>
            <w:vAlign w:val="center"/>
          </w:tcPr>
          <w:p w14:paraId="316DCD43"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nil"/>
              <w:left w:val="nil"/>
              <w:bottom w:val="single" w:sz="6" w:space="0" w:color="auto"/>
              <w:right w:val="single" w:sz="6" w:space="0" w:color="auto"/>
            </w:tcBorders>
            <w:shd w:val="clear" w:color="auto" w:fill="D7ECEC"/>
            <w:vAlign w:val="center"/>
          </w:tcPr>
          <w:p w14:paraId="5C685011"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nil"/>
              <w:left w:val="nil"/>
              <w:bottom w:val="single" w:sz="6" w:space="0" w:color="auto"/>
              <w:right w:val="single" w:sz="6" w:space="0" w:color="auto"/>
            </w:tcBorders>
            <w:shd w:val="clear" w:color="auto" w:fill="CDE6E6"/>
            <w:vAlign w:val="center"/>
          </w:tcPr>
          <w:p w14:paraId="28D48D05"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v</w:t>
            </w:r>
          </w:p>
        </w:tc>
      </w:tr>
      <w:tr w:rsidR="00A63B53" w:rsidRPr="00D4396B" w14:paraId="0856D7EE" w14:textId="77777777" w:rsidTr="00F2259A">
        <w:trPr>
          <w:jc w:val="center"/>
        </w:trPr>
        <w:tc>
          <w:tcPr>
            <w:tcW w:w="10489" w:type="dxa"/>
            <w:gridSpan w:val="4"/>
            <w:tcBorders>
              <w:top w:val="single" w:sz="6" w:space="0" w:color="auto"/>
              <w:left w:val="single" w:sz="6" w:space="0" w:color="auto"/>
              <w:bottom w:val="nil"/>
              <w:right w:val="single" w:sz="6" w:space="0" w:color="000000" w:themeColor="text1"/>
            </w:tcBorders>
            <w:shd w:val="clear" w:color="auto" w:fill="FFEEEE"/>
            <w:vAlign w:val="center"/>
            <w:hideMark/>
          </w:tcPr>
          <w:p w14:paraId="1F332673" w14:textId="12643FBB" w:rsidR="00A63B53" w:rsidRPr="00D4396B" w:rsidRDefault="00B05231">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E</w:t>
            </w:r>
            <w:r w:rsidR="00A63B53" w:rsidRPr="00D4396B">
              <w:rPr>
                <w:rFonts w:asciiTheme="majorBidi" w:hAnsiTheme="majorBidi" w:cstheme="majorBidi"/>
                <w:b/>
                <w:bCs/>
                <w:noProof/>
                <w:sz w:val="18"/>
                <w:szCs w:val="18"/>
              </w:rPr>
              <w:t>. Promoting fully developed cooperation with the EPPO</w:t>
            </w:r>
          </w:p>
        </w:tc>
      </w:tr>
      <w:tr w:rsidR="000A48A4" w:rsidRPr="00D4396B" w14:paraId="3DB08ABB" w14:textId="77777777" w:rsidTr="003C0376">
        <w:trPr>
          <w:jc w:val="center"/>
        </w:trPr>
        <w:tc>
          <w:tcPr>
            <w:tcW w:w="7513" w:type="dxa"/>
            <w:tcBorders>
              <w:top w:val="nil"/>
              <w:left w:val="single" w:sz="6" w:space="0" w:color="auto"/>
              <w:bottom w:val="nil"/>
              <w:right w:val="single" w:sz="4" w:space="0" w:color="auto"/>
            </w:tcBorders>
            <w:shd w:val="clear" w:color="auto" w:fill="FFEEEE"/>
            <w:vAlign w:val="center"/>
          </w:tcPr>
          <w:p w14:paraId="06A68A40" w14:textId="77777777" w:rsidR="00A63B53" w:rsidRPr="00D4396B" w:rsidRDefault="00A63B53">
            <w:pPr>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3E1262FC"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rPr>
              <w:t>#9 Constrained cooperation with the EPPO</w:t>
            </w:r>
          </w:p>
        </w:tc>
        <w:tc>
          <w:tcPr>
            <w:tcW w:w="992" w:type="dxa"/>
            <w:tcBorders>
              <w:top w:val="single" w:sz="4" w:space="0" w:color="auto"/>
              <w:left w:val="single" w:sz="4" w:space="0" w:color="auto"/>
              <w:bottom w:val="nil"/>
              <w:right w:val="single" w:sz="4" w:space="0" w:color="auto"/>
            </w:tcBorders>
            <w:shd w:val="clear" w:color="auto" w:fill="FCE6E6"/>
            <w:vAlign w:val="center"/>
          </w:tcPr>
          <w:p w14:paraId="626C3E0E" w14:textId="2AED94B1" w:rsidR="00A63B53" w:rsidRPr="00D4396B" w:rsidRDefault="00B05231">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E</w:t>
            </w:r>
            <w:r w:rsidR="006D16AE" w:rsidRPr="00D4396B">
              <w:rPr>
                <w:rFonts w:asciiTheme="majorBidi" w:hAnsiTheme="majorBidi" w:cstheme="majorBidi"/>
                <w:b/>
                <w:bCs/>
                <w:noProof/>
                <w:sz w:val="18"/>
                <w:szCs w:val="18"/>
              </w:rPr>
              <w:t>.</w:t>
            </w:r>
            <w:r w:rsidR="00A63B53" w:rsidRPr="00D4396B">
              <w:rPr>
                <w:rFonts w:asciiTheme="majorBidi" w:hAnsiTheme="majorBidi" w:cstheme="majorBidi"/>
                <w:b/>
                <w:bCs/>
                <w:noProof/>
                <w:sz w:val="18"/>
                <w:szCs w:val="18"/>
              </w:rPr>
              <w:t>PO1</w:t>
            </w:r>
          </w:p>
        </w:tc>
        <w:tc>
          <w:tcPr>
            <w:tcW w:w="992" w:type="dxa"/>
            <w:tcBorders>
              <w:top w:val="single" w:sz="4" w:space="0" w:color="auto"/>
              <w:left w:val="single" w:sz="4" w:space="0" w:color="auto"/>
              <w:bottom w:val="nil"/>
              <w:right w:val="single" w:sz="4" w:space="0" w:color="auto"/>
            </w:tcBorders>
            <w:shd w:val="clear" w:color="auto" w:fill="F8DEDE"/>
            <w:vAlign w:val="center"/>
          </w:tcPr>
          <w:p w14:paraId="6D957720" w14:textId="776E2722" w:rsidR="00A63B53" w:rsidRPr="00D4396B" w:rsidRDefault="00B05231">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E</w:t>
            </w:r>
            <w:r w:rsidR="006D16AE" w:rsidRPr="00D4396B">
              <w:rPr>
                <w:rFonts w:asciiTheme="majorBidi" w:hAnsiTheme="majorBidi" w:cstheme="majorBidi"/>
                <w:b/>
                <w:bCs/>
                <w:noProof/>
                <w:sz w:val="18"/>
                <w:szCs w:val="18"/>
              </w:rPr>
              <w:t>.</w:t>
            </w:r>
            <w:r w:rsidR="00A63B53" w:rsidRPr="00D4396B">
              <w:rPr>
                <w:rFonts w:asciiTheme="majorBidi" w:hAnsiTheme="majorBidi" w:cstheme="majorBidi"/>
                <w:b/>
                <w:bCs/>
                <w:noProof/>
                <w:sz w:val="18"/>
                <w:szCs w:val="18"/>
              </w:rPr>
              <w:t>PO2</w:t>
            </w:r>
          </w:p>
        </w:tc>
        <w:tc>
          <w:tcPr>
            <w:tcW w:w="992" w:type="dxa"/>
            <w:tcBorders>
              <w:top w:val="single" w:sz="4" w:space="0" w:color="auto"/>
              <w:left w:val="single" w:sz="4" w:space="0" w:color="auto"/>
              <w:bottom w:val="nil"/>
              <w:right w:val="single" w:sz="6" w:space="0" w:color="000000" w:themeColor="text1"/>
            </w:tcBorders>
            <w:shd w:val="clear" w:color="auto" w:fill="F4D6D6"/>
            <w:vAlign w:val="center"/>
          </w:tcPr>
          <w:p w14:paraId="1A07F0E0" w14:textId="57E04593" w:rsidR="00A63B53" w:rsidRPr="00D4396B" w:rsidRDefault="00B05231">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E</w:t>
            </w:r>
            <w:r w:rsidR="006D16AE" w:rsidRPr="00D4396B">
              <w:rPr>
                <w:rFonts w:asciiTheme="majorBidi" w:hAnsiTheme="majorBidi" w:cstheme="majorBidi"/>
                <w:b/>
                <w:bCs/>
                <w:noProof/>
                <w:sz w:val="18"/>
                <w:szCs w:val="18"/>
              </w:rPr>
              <w:t>.</w:t>
            </w:r>
            <w:r w:rsidR="00A63B53" w:rsidRPr="00D4396B">
              <w:rPr>
                <w:rFonts w:asciiTheme="majorBidi" w:hAnsiTheme="majorBidi" w:cstheme="majorBidi"/>
                <w:b/>
                <w:bCs/>
                <w:noProof/>
                <w:sz w:val="18"/>
                <w:szCs w:val="18"/>
              </w:rPr>
              <w:t>PO3</w:t>
            </w:r>
          </w:p>
        </w:tc>
      </w:tr>
      <w:tr w:rsidR="000A48A4" w:rsidRPr="00D4396B" w14:paraId="6A588B81" w14:textId="77777777" w:rsidTr="003C0376">
        <w:trPr>
          <w:jc w:val="center"/>
        </w:trPr>
        <w:tc>
          <w:tcPr>
            <w:tcW w:w="7513" w:type="dxa"/>
            <w:tcBorders>
              <w:top w:val="single" w:sz="6" w:space="0" w:color="auto"/>
              <w:left w:val="single" w:sz="6" w:space="0" w:color="auto"/>
              <w:bottom w:val="single" w:sz="6" w:space="0" w:color="auto"/>
              <w:right w:val="single" w:sz="6" w:space="0" w:color="auto"/>
            </w:tcBorders>
            <w:vAlign w:val="center"/>
            <w:hideMark/>
          </w:tcPr>
          <w:p w14:paraId="38C6FB1B" w14:textId="0C9D5DAA"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Automat</w:t>
            </w:r>
            <w:r w:rsidR="00B15318" w:rsidRPr="00D4396B">
              <w:rPr>
                <w:rFonts w:asciiTheme="majorBidi" w:hAnsiTheme="majorBidi" w:cstheme="majorBidi"/>
                <w:noProof/>
                <w:sz w:val="18"/>
                <w:szCs w:val="18"/>
              </w:rPr>
              <w:t>i</w:t>
            </w:r>
            <w:r w:rsidRPr="00D4396B">
              <w:rPr>
                <w:rFonts w:asciiTheme="majorBidi" w:hAnsiTheme="majorBidi" w:cstheme="majorBidi"/>
                <w:noProof/>
                <w:sz w:val="18"/>
                <w:szCs w:val="18"/>
              </w:rPr>
              <w:t>ng and optimising Eurojust-EPPO’s system for indirect access to the respective databases (</w:t>
            </w:r>
            <w:r w:rsidR="00297251" w:rsidRPr="00D4396B">
              <w:rPr>
                <w:rFonts w:asciiTheme="majorBidi" w:hAnsiTheme="majorBidi" w:cstheme="majorBidi"/>
                <w:noProof/>
                <w:sz w:val="18"/>
                <w:szCs w:val="18"/>
              </w:rPr>
              <w:t xml:space="preserve">interagency </w:t>
            </w:r>
            <w:r w:rsidRPr="00D4396B">
              <w:rPr>
                <w:rFonts w:asciiTheme="majorBidi" w:hAnsiTheme="majorBidi" w:cstheme="majorBidi"/>
                <w:noProof/>
                <w:sz w:val="18"/>
                <w:szCs w:val="18"/>
              </w:rPr>
              <w:t>hit/no-hit system) – through technical measures only (i.a) or through technical measures linked to new legal obligations (i.b)</w:t>
            </w:r>
          </w:p>
        </w:tc>
        <w:tc>
          <w:tcPr>
            <w:tcW w:w="992" w:type="dxa"/>
            <w:tcBorders>
              <w:top w:val="single" w:sz="6" w:space="0" w:color="auto"/>
              <w:left w:val="nil"/>
              <w:bottom w:val="single" w:sz="6" w:space="0" w:color="auto"/>
              <w:right w:val="single" w:sz="6" w:space="0" w:color="auto"/>
            </w:tcBorders>
            <w:shd w:val="clear" w:color="auto" w:fill="FCE6E6"/>
            <w:vAlign w:val="center"/>
            <w:hideMark/>
          </w:tcPr>
          <w:p w14:paraId="449C061D"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i.a</w:t>
            </w:r>
          </w:p>
        </w:tc>
        <w:tc>
          <w:tcPr>
            <w:tcW w:w="992" w:type="dxa"/>
            <w:tcBorders>
              <w:top w:val="single" w:sz="6" w:space="0" w:color="auto"/>
              <w:left w:val="nil"/>
              <w:bottom w:val="single" w:sz="6" w:space="0" w:color="auto"/>
              <w:right w:val="single" w:sz="6" w:space="0" w:color="auto"/>
            </w:tcBorders>
            <w:shd w:val="clear" w:color="auto" w:fill="F8DEDE"/>
            <w:vAlign w:val="center"/>
            <w:hideMark/>
          </w:tcPr>
          <w:p w14:paraId="30A34F11"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c>
          <w:tcPr>
            <w:tcW w:w="992" w:type="dxa"/>
            <w:tcBorders>
              <w:top w:val="single" w:sz="6" w:space="0" w:color="auto"/>
              <w:left w:val="nil"/>
              <w:bottom w:val="single" w:sz="6" w:space="0" w:color="auto"/>
              <w:right w:val="single" w:sz="6" w:space="0" w:color="auto"/>
            </w:tcBorders>
            <w:shd w:val="clear" w:color="auto" w:fill="F4D6D6"/>
            <w:vAlign w:val="center"/>
            <w:hideMark/>
          </w:tcPr>
          <w:p w14:paraId="041D126D"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r>
      <w:tr w:rsidR="000A48A4" w:rsidRPr="00D4396B" w14:paraId="16EFAC32" w14:textId="77777777" w:rsidTr="003C0376">
        <w:trPr>
          <w:jc w:val="center"/>
        </w:trPr>
        <w:tc>
          <w:tcPr>
            <w:tcW w:w="7513" w:type="dxa"/>
            <w:tcBorders>
              <w:top w:val="nil"/>
              <w:left w:val="single" w:sz="6" w:space="0" w:color="auto"/>
              <w:bottom w:val="single" w:sz="4" w:space="0" w:color="auto"/>
              <w:right w:val="single" w:sz="6" w:space="0" w:color="auto"/>
            </w:tcBorders>
            <w:vAlign w:val="center"/>
            <w:hideMark/>
          </w:tcPr>
          <w:p w14:paraId="61ECBEA2" w14:textId="5785DF3B"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xml:space="preserve"> Establishing an explicit mandate for Eurojust to provide reinforced support in EPPO cases (JITs, </w:t>
            </w:r>
            <w:r w:rsidR="0D69ECD0" w:rsidRPr="2C764696">
              <w:rPr>
                <w:rFonts w:asciiTheme="majorBidi" w:hAnsiTheme="majorBidi" w:cstheme="majorBidi"/>
                <w:noProof/>
                <w:sz w:val="18"/>
                <w:szCs w:val="18"/>
              </w:rPr>
              <w:t>CM</w:t>
            </w:r>
            <w:r w:rsidRPr="00D4396B">
              <w:rPr>
                <w:rFonts w:asciiTheme="majorBidi" w:hAnsiTheme="majorBidi" w:cstheme="majorBidi"/>
                <w:noProof/>
                <w:sz w:val="18"/>
                <w:szCs w:val="18"/>
              </w:rPr>
              <w:t>s, Action Days)</w:t>
            </w:r>
          </w:p>
        </w:tc>
        <w:tc>
          <w:tcPr>
            <w:tcW w:w="992" w:type="dxa"/>
            <w:tcBorders>
              <w:top w:val="nil"/>
              <w:left w:val="nil"/>
              <w:bottom w:val="single" w:sz="4" w:space="0" w:color="auto"/>
              <w:right w:val="single" w:sz="6" w:space="0" w:color="auto"/>
            </w:tcBorders>
            <w:shd w:val="clear" w:color="auto" w:fill="FCE6E6"/>
            <w:vAlign w:val="center"/>
            <w:hideMark/>
          </w:tcPr>
          <w:p w14:paraId="525A46D6"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992" w:type="dxa"/>
            <w:tcBorders>
              <w:top w:val="nil"/>
              <w:left w:val="nil"/>
              <w:bottom w:val="single" w:sz="4" w:space="0" w:color="auto"/>
              <w:right w:val="single" w:sz="6" w:space="0" w:color="auto"/>
            </w:tcBorders>
            <w:shd w:val="clear" w:color="auto" w:fill="F8DEDE"/>
            <w:vAlign w:val="center"/>
            <w:hideMark/>
          </w:tcPr>
          <w:p w14:paraId="6C5C4E7D"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ii</w:t>
            </w:r>
          </w:p>
        </w:tc>
        <w:tc>
          <w:tcPr>
            <w:tcW w:w="992" w:type="dxa"/>
            <w:tcBorders>
              <w:top w:val="nil"/>
              <w:left w:val="nil"/>
              <w:bottom w:val="single" w:sz="4" w:space="0" w:color="auto"/>
              <w:right w:val="single" w:sz="6" w:space="0" w:color="auto"/>
            </w:tcBorders>
            <w:shd w:val="clear" w:color="auto" w:fill="F4D6D6"/>
            <w:vAlign w:val="center"/>
            <w:hideMark/>
          </w:tcPr>
          <w:p w14:paraId="2C3C0DF1"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w:t>
            </w:r>
          </w:p>
        </w:tc>
      </w:tr>
      <w:tr w:rsidR="000A48A4" w:rsidRPr="00D4396B" w14:paraId="10650ED3" w14:textId="77777777" w:rsidTr="003C0376">
        <w:trPr>
          <w:jc w:val="center"/>
        </w:trPr>
        <w:tc>
          <w:tcPr>
            <w:tcW w:w="7513" w:type="dxa"/>
            <w:tcBorders>
              <w:top w:val="nil"/>
              <w:left w:val="single" w:sz="6" w:space="0" w:color="auto"/>
              <w:bottom w:val="single" w:sz="4" w:space="0" w:color="auto"/>
              <w:right w:val="single" w:sz="6" w:space="0" w:color="auto"/>
            </w:tcBorders>
            <w:vAlign w:val="center"/>
          </w:tcPr>
          <w:p w14:paraId="03ADC53F" w14:textId="77777777" w:rsidR="00A63B53" w:rsidRPr="00D4396B" w:rsidRDefault="00A63B53">
            <w:pPr>
              <w:spacing w:after="0"/>
              <w:rPr>
                <w:rFonts w:asciiTheme="majorBidi" w:hAnsiTheme="majorBidi" w:cstheme="majorBidi"/>
                <w:noProof/>
                <w:sz w:val="18"/>
                <w:szCs w:val="18"/>
                <w:u w:val="single"/>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xml:space="preserve"> Granting participation in College meetings to EPPO representatives</w:t>
            </w:r>
          </w:p>
        </w:tc>
        <w:tc>
          <w:tcPr>
            <w:tcW w:w="992" w:type="dxa"/>
            <w:tcBorders>
              <w:top w:val="nil"/>
              <w:left w:val="nil"/>
              <w:bottom w:val="single" w:sz="4" w:space="0" w:color="auto"/>
              <w:right w:val="single" w:sz="6" w:space="0" w:color="auto"/>
            </w:tcBorders>
            <w:shd w:val="clear" w:color="auto" w:fill="FCE6E6"/>
            <w:vAlign w:val="center"/>
          </w:tcPr>
          <w:p w14:paraId="3C74B583"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nil"/>
              <w:left w:val="nil"/>
              <w:bottom w:val="single" w:sz="4" w:space="0" w:color="auto"/>
              <w:right w:val="single" w:sz="6" w:space="0" w:color="auto"/>
            </w:tcBorders>
            <w:shd w:val="clear" w:color="auto" w:fill="F8DEDE"/>
            <w:vAlign w:val="center"/>
          </w:tcPr>
          <w:p w14:paraId="64644232"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c>
          <w:tcPr>
            <w:tcW w:w="992" w:type="dxa"/>
            <w:tcBorders>
              <w:top w:val="nil"/>
              <w:left w:val="nil"/>
              <w:bottom w:val="single" w:sz="4" w:space="0" w:color="auto"/>
              <w:right w:val="single" w:sz="6" w:space="0" w:color="auto"/>
            </w:tcBorders>
            <w:shd w:val="clear" w:color="auto" w:fill="F4D6D6"/>
            <w:vAlign w:val="center"/>
          </w:tcPr>
          <w:p w14:paraId="754C6FAC" w14:textId="77777777" w:rsidR="00A63B53" w:rsidRPr="00D4396B" w:rsidRDefault="00A63B53">
            <w:pPr>
              <w:spacing w:after="0"/>
              <w:jc w:val="center"/>
              <w:rPr>
                <w:noProof/>
              </w:rPr>
            </w:pPr>
            <w:r w:rsidRPr="00D4396B">
              <w:rPr>
                <w:rFonts w:asciiTheme="majorBidi" w:hAnsiTheme="majorBidi" w:cstheme="majorBidi"/>
                <w:noProof/>
                <w:sz w:val="18"/>
                <w:szCs w:val="18"/>
              </w:rPr>
              <w:t>iii</w:t>
            </w:r>
          </w:p>
        </w:tc>
      </w:tr>
      <w:tr w:rsidR="000A48A4" w:rsidRPr="00D4396B" w14:paraId="7ACAA61D" w14:textId="77777777" w:rsidTr="003C0376">
        <w:trPr>
          <w:jc w:val="center"/>
        </w:trPr>
        <w:tc>
          <w:tcPr>
            <w:tcW w:w="7513" w:type="dxa"/>
            <w:tcBorders>
              <w:top w:val="single" w:sz="4" w:space="0" w:color="auto"/>
              <w:left w:val="single" w:sz="6" w:space="0" w:color="auto"/>
              <w:bottom w:val="single" w:sz="4" w:space="0" w:color="auto"/>
              <w:right w:val="single" w:sz="6" w:space="0" w:color="auto"/>
            </w:tcBorders>
            <w:vAlign w:val="center"/>
          </w:tcPr>
          <w:p w14:paraId="0FF67984" w14:textId="77777777"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iv.</w:t>
            </w:r>
            <w:r w:rsidRPr="00D4396B">
              <w:rPr>
                <w:rFonts w:asciiTheme="majorBidi" w:hAnsiTheme="majorBidi" w:cstheme="majorBidi"/>
                <w:noProof/>
                <w:sz w:val="18"/>
                <w:szCs w:val="18"/>
              </w:rPr>
              <w:t xml:space="preserve"> Setting up a Eurojust-EPPO clearing-house mechanism for case allocation</w:t>
            </w:r>
          </w:p>
        </w:tc>
        <w:tc>
          <w:tcPr>
            <w:tcW w:w="992" w:type="dxa"/>
            <w:tcBorders>
              <w:top w:val="single" w:sz="4" w:space="0" w:color="auto"/>
              <w:left w:val="nil"/>
              <w:bottom w:val="single" w:sz="4" w:space="0" w:color="auto"/>
              <w:right w:val="single" w:sz="6" w:space="0" w:color="auto"/>
            </w:tcBorders>
            <w:shd w:val="clear" w:color="auto" w:fill="FCE6E6"/>
            <w:vAlign w:val="center"/>
          </w:tcPr>
          <w:p w14:paraId="7DA06DA7"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single" w:sz="4" w:space="0" w:color="auto"/>
              <w:left w:val="nil"/>
              <w:bottom w:val="single" w:sz="4" w:space="0" w:color="auto"/>
              <w:right w:val="single" w:sz="6" w:space="0" w:color="auto"/>
            </w:tcBorders>
            <w:shd w:val="clear" w:color="auto" w:fill="F8DEDE"/>
            <w:vAlign w:val="center"/>
          </w:tcPr>
          <w:p w14:paraId="0E9BA26C"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single" w:sz="4" w:space="0" w:color="auto"/>
              <w:left w:val="nil"/>
              <w:bottom w:val="single" w:sz="4" w:space="0" w:color="auto"/>
              <w:right w:val="single" w:sz="6" w:space="0" w:color="auto"/>
            </w:tcBorders>
            <w:shd w:val="clear" w:color="auto" w:fill="F4D6D6"/>
            <w:vAlign w:val="center"/>
          </w:tcPr>
          <w:p w14:paraId="03B2BB5E"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r>
      <w:tr w:rsidR="00A63B53" w:rsidRPr="00D4396B" w14:paraId="62BD7794" w14:textId="77777777" w:rsidTr="00F2259A">
        <w:trPr>
          <w:jc w:val="center"/>
        </w:trPr>
        <w:tc>
          <w:tcPr>
            <w:tcW w:w="10489" w:type="dxa"/>
            <w:gridSpan w:val="4"/>
            <w:tcBorders>
              <w:top w:val="single" w:sz="4" w:space="0" w:color="auto"/>
              <w:left w:val="single" w:sz="6" w:space="0" w:color="auto"/>
              <w:bottom w:val="nil"/>
              <w:right w:val="single" w:sz="6" w:space="0" w:color="auto"/>
            </w:tcBorders>
            <w:shd w:val="clear" w:color="auto" w:fill="FFFAEB"/>
            <w:vAlign w:val="center"/>
          </w:tcPr>
          <w:p w14:paraId="4B53A3BD" w14:textId="7FCB33C4" w:rsidR="00A63B53" w:rsidRPr="00D4396B" w:rsidRDefault="00F21953">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F</w:t>
            </w:r>
            <w:r w:rsidR="00A63B53" w:rsidRPr="00D4396B">
              <w:rPr>
                <w:rFonts w:asciiTheme="majorBidi" w:hAnsiTheme="majorBidi" w:cstheme="majorBidi"/>
                <w:b/>
                <w:bCs/>
                <w:noProof/>
                <w:sz w:val="18"/>
                <w:szCs w:val="18"/>
              </w:rPr>
              <w:t>. Consolidating cooperation with third countries and international organisations</w:t>
            </w:r>
          </w:p>
        </w:tc>
      </w:tr>
      <w:tr w:rsidR="000A48A4" w:rsidRPr="00D4396B" w14:paraId="3C62E924" w14:textId="77777777" w:rsidTr="003C0376">
        <w:trPr>
          <w:jc w:val="center"/>
        </w:trPr>
        <w:tc>
          <w:tcPr>
            <w:tcW w:w="7513" w:type="dxa"/>
            <w:tcBorders>
              <w:top w:val="nil"/>
              <w:left w:val="single" w:sz="6" w:space="0" w:color="auto"/>
              <w:bottom w:val="single" w:sz="4" w:space="0" w:color="auto"/>
              <w:right w:val="single" w:sz="6" w:space="0" w:color="auto"/>
            </w:tcBorders>
            <w:shd w:val="clear" w:color="auto" w:fill="FFFAEB"/>
            <w:vAlign w:val="center"/>
          </w:tcPr>
          <w:p w14:paraId="19A15484" w14:textId="77777777" w:rsidR="00A63B53" w:rsidRPr="00D4396B" w:rsidRDefault="00A63B53">
            <w:pPr>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5D340712" w14:textId="77777777" w:rsidR="00A63B53" w:rsidRPr="00D4396B" w:rsidRDefault="00A63B53">
            <w:pPr>
              <w:spacing w:after="0"/>
              <w:rPr>
                <w:rFonts w:asciiTheme="majorBidi" w:hAnsiTheme="majorBidi" w:cstheme="majorBidi"/>
                <w:noProof/>
                <w:sz w:val="18"/>
                <w:szCs w:val="18"/>
                <w:u w:val="single"/>
              </w:rPr>
            </w:pPr>
            <w:r w:rsidRPr="00D4396B">
              <w:rPr>
                <w:rFonts w:asciiTheme="majorBidi" w:hAnsiTheme="majorBidi" w:cstheme="majorBidi"/>
                <w:noProof/>
                <w:sz w:val="18"/>
                <w:szCs w:val="18"/>
              </w:rPr>
              <w:t>#10 Cumbersome process for establishing relations with international actors</w:t>
            </w:r>
          </w:p>
        </w:tc>
        <w:tc>
          <w:tcPr>
            <w:tcW w:w="992" w:type="dxa"/>
            <w:tcBorders>
              <w:top w:val="single" w:sz="4" w:space="0" w:color="auto"/>
              <w:left w:val="nil"/>
              <w:bottom w:val="single" w:sz="4" w:space="0" w:color="auto"/>
              <w:right w:val="single" w:sz="6" w:space="0" w:color="auto"/>
            </w:tcBorders>
            <w:shd w:val="clear" w:color="auto" w:fill="FCF5E1"/>
            <w:vAlign w:val="center"/>
          </w:tcPr>
          <w:p w14:paraId="30002371" w14:textId="318DEC8C" w:rsidR="00A63B53" w:rsidRPr="00D4396B" w:rsidRDefault="00F21953">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F</w:t>
            </w:r>
            <w:r w:rsidR="006D16AE" w:rsidRPr="00D4396B">
              <w:rPr>
                <w:rFonts w:asciiTheme="majorBidi" w:hAnsiTheme="majorBidi" w:cstheme="majorBidi"/>
                <w:b/>
                <w:bCs/>
                <w:noProof/>
                <w:sz w:val="18"/>
                <w:szCs w:val="18"/>
              </w:rPr>
              <w:t>.</w:t>
            </w:r>
            <w:r w:rsidR="00A63B53" w:rsidRPr="00D4396B">
              <w:rPr>
                <w:rFonts w:asciiTheme="majorBidi" w:hAnsiTheme="majorBidi" w:cstheme="majorBidi"/>
                <w:b/>
                <w:bCs/>
                <w:noProof/>
                <w:sz w:val="18"/>
                <w:szCs w:val="18"/>
              </w:rPr>
              <w:t>PO1</w:t>
            </w:r>
          </w:p>
        </w:tc>
        <w:tc>
          <w:tcPr>
            <w:tcW w:w="992" w:type="dxa"/>
            <w:tcBorders>
              <w:top w:val="single" w:sz="4" w:space="0" w:color="auto"/>
              <w:left w:val="nil"/>
              <w:bottom w:val="single" w:sz="4" w:space="0" w:color="auto"/>
              <w:right w:val="single" w:sz="6" w:space="0" w:color="auto"/>
            </w:tcBorders>
            <w:shd w:val="clear" w:color="auto" w:fill="F8F0D7"/>
            <w:vAlign w:val="center"/>
          </w:tcPr>
          <w:p w14:paraId="105C8118" w14:textId="71B25F6B" w:rsidR="00A63B53" w:rsidRPr="00D4396B" w:rsidRDefault="00F21953">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F</w:t>
            </w:r>
            <w:r w:rsidR="006D16AE" w:rsidRPr="00D4396B">
              <w:rPr>
                <w:rFonts w:asciiTheme="majorBidi" w:hAnsiTheme="majorBidi" w:cstheme="majorBidi"/>
                <w:b/>
                <w:bCs/>
                <w:noProof/>
                <w:sz w:val="18"/>
                <w:szCs w:val="18"/>
              </w:rPr>
              <w:t>.</w:t>
            </w:r>
            <w:r w:rsidR="00A63B53" w:rsidRPr="00D4396B">
              <w:rPr>
                <w:rFonts w:asciiTheme="majorBidi" w:hAnsiTheme="majorBidi" w:cstheme="majorBidi"/>
                <w:b/>
                <w:bCs/>
                <w:noProof/>
                <w:sz w:val="18"/>
                <w:szCs w:val="18"/>
              </w:rPr>
              <w:t>PO2</w:t>
            </w:r>
          </w:p>
        </w:tc>
        <w:tc>
          <w:tcPr>
            <w:tcW w:w="992" w:type="dxa"/>
            <w:tcBorders>
              <w:top w:val="single" w:sz="4" w:space="0" w:color="auto"/>
              <w:left w:val="nil"/>
              <w:bottom w:val="single" w:sz="4" w:space="0" w:color="auto"/>
              <w:right w:val="single" w:sz="6" w:space="0" w:color="auto"/>
            </w:tcBorders>
            <w:shd w:val="clear" w:color="auto" w:fill="F4EBCD"/>
            <w:vAlign w:val="center"/>
          </w:tcPr>
          <w:p w14:paraId="47D11D6E" w14:textId="630370F3" w:rsidR="00A63B53" w:rsidRPr="00D4396B" w:rsidRDefault="00F21953">
            <w:pPr>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F</w:t>
            </w:r>
            <w:r w:rsidR="006D16AE" w:rsidRPr="00D4396B">
              <w:rPr>
                <w:rFonts w:asciiTheme="majorBidi" w:hAnsiTheme="majorBidi" w:cstheme="majorBidi"/>
                <w:b/>
                <w:bCs/>
                <w:noProof/>
                <w:sz w:val="18"/>
                <w:szCs w:val="18"/>
              </w:rPr>
              <w:t>.</w:t>
            </w:r>
            <w:r w:rsidR="00A63B53" w:rsidRPr="00D4396B">
              <w:rPr>
                <w:rFonts w:asciiTheme="majorBidi" w:hAnsiTheme="majorBidi" w:cstheme="majorBidi"/>
                <w:b/>
                <w:bCs/>
                <w:noProof/>
                <w:sz w:val="18"/>
                <w:szCs w:val="18"/>
              </w:rPr>
              <w:t>PO3</w:t>
            </w:r>
          </w:p>
        </w:tc>
      </w:tr>
      <w:tr w:rsidR="000A48A4" w:rsidRPr="00D4396B" w14:paraId="63FE959E" w14:textId="77777777" w:rsidTr="003C0376">
        <w:trPr>
          <w:jc w:val="center"/>
        </w:trPr>
        <w:tc>
          <w:tcPr>
            <w:tcW w:w="7513" w:type="dxa"/>
            <w:tcBorders>
              <w:top w:val="single" w:sz="4" w:space="0" w:color="auto"/>
              <w:left w:val="single" w:sz="6" w:space="0" w:color="auto"/>
              <w:bottom w:val="single" w:sz="4" w:space="0" w:color="auto"/>
              <w:right w:val="single" w:sz="6" w:space="0" w:color="auto"/>
            </w:tcBorders>
            <w:vAlign w:val="center"/>
          </w:tcPr>
          <w:p w14:paraId="3996DE4C" w14:textId="4EEDA4BD"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xml:space="preserve"> Introducing cooperation </w:t>
            </w:r>
            <w:r w:rsidR="2D961070" w:rsidRPr="00D4396B">
              <w:rPr>
                <w:rFonts w:asciiTheme="majorBidi" w:hAnsiTheme="majorBidi" w:cstheme="majorBidi"/>
                <w:noProof/>
                <w:sz w:val="18"/>
                <w:szCs w:val="18"/>
              </w:rPr>
              <w:t>obligations</w:t>
            </w:r>
            <w:r w:rsidRPr="00D4396B">
              <w:rPr>
                <w:rFonts w:asciiTheme="majorBidi" w:hAnsiTheme="majorBidi" w:cstheme="majorBidi"/>
                <w:noProof/>
                <w:sz w:val="18"/>
                <w:szCs w:val="18"/>
              </w:rPr>
              <w:t xml:space="preserve"> in agreements with third countries with financial implications – as a cross cutting non-legislative measure</w:t>
            </w:r>
          </w:p>
        </w:tc>
        <w:tc>
          <w:tcPr>
            <w:tcW w:w="992" w:type="dxa"/>
            <w:tcBorders>
              <w:top w:val="single" w:sz="4" w:space="0" w:color="auto"/>
              <w:left w:val="nil"/>
              <w:bottom w:val="single" w:sz="4" w:space="0" w:color="auto"/>
              <w:right w:val="single" w:sz="6" w:space="0" w:color="auto"/>
            </w:tcBorders>
            <w:shd w:val="clear" w:color="auto" w:fill="FCF5E1"/>
            <w:vAlign w:val="center"/>
          </w:tcPr>
          <w:p w14:paraId="6BDAE9BD"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w:t>
            </w:r>
          </w:p>
        </w:tc>
        <w:tc>
          <w:tcPr>
            <w:tcW w:w="992" w:type="dxa"/>
            <w:tcBorders>
              <w:top w:val="single" w:sz="4" w:space="0" w:color="auto"/>
              <w:left w:val="nil"/>
              <w:bottom w:val="single" w:sz="4" w:space="0" w:color="auto"/>
              <w:right w:val="single" w:sz="6" w:space="0" w:color="auto"/>
            </w:tcBorders>
            <w:shd w:val="clear" w:color="auto" w:fill="F8F0D7"/>
            <w:vAlign w:val="center"/>
          </w:tcPr>
          <w:p w14:paraId="4845F996"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w:t>
            </w:r>
          </w:p>
        </w:tc>
        <w:tc>
          <w:tcPr>
            <w:tcW w:w="992" w:type="dxa"/>
            <w:tcBorders>
              <w:top w:val="single" w:sz="4" w:space="0" w:color="auto"/>
              <w:left w:val="nil"/>
              <w:bottom w:val="single" w:sz="4" w:space="0" w:color="auto"/>
              <w:right w:val="single" w:sz="6" w:space="0" w:color="auto"/>
            </w:tcBorders>
            <w:shd w:val="clear" w:color="auto" w:fill="F4EBCD"/>
            <w:vAlign w:val="center"/>
          </w:tcPr>
          <w:p w14:paraId="3F84C822"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w:t>
            </w:r>
          </w:p>
        </w:tc>
      </w:tr>
      <w:tr w:rsidR="000A48A4" w:rsidRPr="00D4396B" w14:paraId="673CBF13" w14:textId="77777777" w:rsidTr="003C0376">
        <w:trPr>
          <w:jc w:val="center"/>
        </w:trPr>
        <w:tc>
          <w:tcPr>
            <w:tcW w:w="7513" w:type="dxa"/>
            <w:tcBorders>
              <w:top w:val="single" w:sz="4" w:space="0" w:color="auto"/>
              <w:left w:val="single" w:sz="6" w:space="0" w:color="auto"/>
              <w:bottom w:val="single" w:sz="4" w:space="0" w:color="auto"/>
              <w:right w:val="single" w:sz="6" w:space="0" w:color="auto"/>
            </w:tcBorders>
            <w:vAlign w:val="center"/>
          </w:tcPr>
          <w:p w14:paraId="38BEC35D" w14:textId="26B3D076"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xml:space="preserve"> Clarifying the legal framework governing Liaison Magistrates</w:t>
            </w:r>
          </w:p>
        </w:tc>
        <w:tc>
          <w:tcPr>
            <w:tcW w:w="992" w:type="dxa"/>
            <w:tcBorders>
              <w:top w:val="single" w:sz="4" w:space="0" w:color="auto"/>
              <w:left w:val="nil"/>
              <w:bottom w:val="single" w:sz="4" w:space="0" w:color="auto"/>
              <w:right w:val="single" w:sz="6" w:space="0" w:color="auto"/>
            </w:tcBorders>
            <w:shd w:val="clear" w:color="auto" w:fill="FCF5E1"/>
            <w:vAlign w:val="center"/>
          </w:tcPr>
          <w:p w14:paraId="09598F05"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single" w:sz="4" w:space="0" w:color="auto"/>
              <w:left w:val="nil"/>
              <w:bottom w:val="single" w:sz="4" w:space="0" w:color="auto"/>
              <w:right w:val="single" w:sz="6" w:space="0" w:color="auto"/>
            </w:tcBorders>
            <w:shd w:val="clear" w:color="auto" w:fill="F8F0D7"/>
            <w:vAlign w:val="center"/>
          </w:tcPr>
          <w:p w14:paraId="4BD06A30"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w:t>
            </w:r>
          </w:p>
        </w:tc>
        <w:tc>
          <w:tcPr>
            <w:tcW w:w="992" w:type="dxa"/>
            <w:tcBorders>
              <w:top w:val="single" w:sz="4" w:space="0" w:color="auto"/>
              <w:left w:val="nil"/>
              <w:bottom w:val="single" w:sz="4" w:space="0" w:color="auto"/>
              <w:right w:val="single" w:sz="6" w:space="0" w:color="auto"/>
            </w:tcBorders>
            <w:shd w:val="clear" w:color="auto" w:fill="F4EBCD"/>
            <w:vAlign w:val="center"/>
          </w:tcPr>
          <w:p w14:paraId="15869632"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w:t>
            </w:r>
          </w:p>
        </w:tc>
      </w:tr>
      <w:tr w:rsidR="000A48A4" w:rsidRPr="00D4396B" w14:paraId="4948D68F" w14:textId="77777777" w:rsidTr="003C0376">
        <w:trPr>
          <w:jc w:val="center"/>
        </w:trPr>
        <w:tc>
          <w:tcPr>
            <w:tcW w:w="7513" w:type="dxa"/>
            <w:tcBorders>
              <w:top w:val="single" w:sz="4" w:space="0" w:color="auto"/>
              <w:left w:val="single" w:sz="6" w:space="0" w:color="auto"/>
              <w:bottom w:val="single" w:sz="4" w:space="0" w:color="auto"/>
              <w:right w:val="single" w:sz="6" w:space="0" w:color="auto"/>
            </w:tcBorders>
            <w:vAlign w:val="center"/>
          </w:tcPr>
          <w:p w14:paraId="207B1D9C" w14:textId="437244F0"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xml:space="preserve"> Institutionalising Resident Contact Points for priority countries</w:t>
            </w:r>
          </w:p>
        </w:tc>
        <w:tc>
          <w:tcPr>
            <w:tcW w:w="992" w:type="dxa"/>
            <w:tcBorders>
              <w:top w:val="single" w:sz="4" w:space="0" w:color="auto"/>
              <w:left w:val="nil"/>
              <w:bottom w:val="single" w:sz="4" w:space="0" w:color="auto"/>
              <w:right w:val="single" w:sz="6" w:space="0" w:color="auto"/>
            </w:tcBorders>
            <w:shd w:val="clear" w:color="auto" w:fill="FCF5E1"/>
            <w:vAlign w:val="center"/>
          </w:tcPr>
          <w:p w14:paraId="2E2BBE1E"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single" w:sz="4" w:space="0" w:color="auto"/>
              <w:left w:val="nil"/>
              <w:bottom w:val="single" w:sz="4" w:space="0" w:color="auto"/>
              <w:right w:val="single" w:sz="6" w:space="0" w:color="auto"/>
            </w:tcBorders>
            <w:shd w:val="clear" w:color="auto" w:fill="F8F0D7"/>
            <w:vAlign w:val="center"/>
          </w:tcPr>
          <w:p w14:paraId="5F295392"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c>
          <w:tcPr>
            <w:tcW w:w="992" w:type="dxa"/>
            <w:tcBorders>
              <w:top w:val="single" w:sz="4" w:space="0" w:color="auto"/>
              <w:left w:val="nil"/>
              <w:bottom w:val="single" w:sz="4" w:space="0" w:color="auto"/>
              <w:right w:val="single" w:sz="6" w:space="0" w:color="auto"/>
            </w:tcBorders>
            <w:shd w:val="clear" w:color="auto" w:fill="F4EBCD"/>
            <w:vAlign w:val="center"/>
          </w:tcPr>
          <w:p w14:paraId="4F77FD9A"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r>
      <w:tr w:rsidR="000A48A4" w:rsidRPr="00D4396B" w14:paraId="5FF1A05E" w14:textId="77777777" w:rsidTr="003C0376">
        <w:trPr>
          <w:jc w:val="center"/>
        </w:trPr>
        <w:tc>
          <w:tcPr>
            <w:tcW w:w="7513" w:type="dxa"/>
            <w:tcBorders>
              <w:top w:val="single" w:sz="4" w:space="0" w:color="auto"/>
              <w:left w:val="single" w:sz="6" w:space="0" w:color="auto"/>
              <w:bottom w:val="single" w:sz="4" w:space="0" w:color="auto"/>
              <w:right w:val="single" w:sz="6" w:space="0" w:color="auto"/>
            </w:tcBorders>
            <w:vAlign w:val="center"/>
          </w:tcPr>
          <w:p w14:paraId="0A5C0F15" w14:textId="09524DBF" w:rsidR="00A63B53" w:rsidRPr="00D4396B" w:rsidRDefault="00A63B53">
            <w:pPr>
              <w:spacing w:after="0"/>
              <w:rPr>
                <w:rFonts w:asciiTheme="majorBidi" w:hAnsiTheme="majorBidi" w:cstheme="majorBidi"/>
                <w:noProof/>
                <w:sz w:val="18"/>
                <w:szCs w:val="18"/>
              </w:rPr>
            </w:pPr>
            <w:r w:rsidRPr="00D4396B">
              <w:rPr>
                <w:rFonts w:asciiTheme="majorBidi" w:hAnsiTheme="majorBidi" w:cstheme="majorBidi"/>
                <w:noProof/>
                <w:sz w:val="18"/>
                <w:szCs w:val="18"/>
              </w:rPr>
              <w:t xml:space="preserve">iv. Granting participation in College meetings to </w:t>
            </w:r>
            <w:r w:rsidR="006234E0" w:rsidRPr="00D4396B">
              <w:rPr>
                <w:rFonts w:asciiTheme="majorBidi" w:hAnsiTheme="majorBidi" w:cstheme="majorBidi"/>
                <w:noProof/>
                <w:sz w:val="18"/>
                <w:szCs w:val="18"/>
              </w:rPr>
              <w:t>L</w:t>
            </w:r>
            <w:r w:rsidR="003A1CC2">
              <w:rPr>
                <w:rFonts w:asciiTheme="majorBidi" w:hAnsiTheme="majorBidi" w:cstheme="majorBidi"/>
                <w:noProof/>
                <w:sz w:val="18"/>
                <w:szCs w:val="18"/>
              </w:rPr>
              <w:t>iai</w:t>
            </w:r>
            <w:r w:rsidR="00C92CC3">
              <w:rPr>
                <w:rFonts w:asciiTheme="majorBidi" w:hAnsiTheme="majorBidi" w:cstheme="majorBidi"/>
                <w:noProof/>
                <w:sz w:val="18"/>
                <w:szCs w:val="18"/>
              </w:rPr>
              <w:t xml:space="preserve">son </w:t>
            </w:r>
            <w:r w:rsidR="006234E0" w:rsidRPr="00D4396B">
              <w:rPr>
                <w:rFonts w:asciiTheme="majorBidi" w:hAnsiTheme="majorBidi" w:cstheme="majorBidi"/>
                <w:noProof/>
                <w:sz w:val="18"/>
                <w:szCs w:val="18"/>
              </w:rPr>
              <w:t>P</w:t>
            </w:r>
            <w:r w:rsidR="00C92CC3">
              <w:rPr>
                <w:rFonts w:asciiTheme="majorBidi" w:hAnsiTheme="majorBidi" w:cstheme="majorBidi"/>
                <w:noProof/>
                <w:sz w:val="18"/>
                <w:szCs w:val="18"/>
              </w:rPr>
              <w:t>rosecutor</w:t>
            </w:r>
            <w:r w:rsidRPr="00D4396B">
              <w:rPr>
                <w:rFonts w:asciiTheme="majorBidi" w:hAnsiTheme="majorBidi" w:cstheme="majorBidi"/>
                <w:noProof/>
                <w:sz w:val="18"/>
                <w:szCs w:val="18"/>
              </w:rPr>
              <w:t>s</w:t>
            </w:r>
          </w:p>
        </w:tc>
        <w:tc>
          <w:tcPr>
            <w:tcW w:w="992" w:type="dxa"/>
            <w:tcBorders>
              <w:top w:val="single" w:sz="4" w:space="0" w:color="auto"/>
              <w:left w:val="nil"/>
              <w:bottom w:val="single" w:sz="4" w:space="0" w:color="auto"/>
              <w:right w:val="single" w:sz="6" w:space="0" w:color="auto"/>
            </w:tcBorders>
            <w:shd w:val="clear" w:color="auto" w:fill="FCF5E1"/>
            <w:vAlign w:val="center"/>
          </w:tcPr>
          <w:p w14:paraId="08BB5806"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single" w:sz="4" w:space="0" w:color="auto"/>
              <w:left w:val="nil"/>
              <w:bottom w:val="single" w:sz="4" w:space="0" w:color="auto"/>
              <w:right w:val="single" w:sz="6" w:space="0" w:color="auto"/>
            </w:tcBorders>
            <w:shd w:val="clear" w:color="auto" w:fill="F8F0D7"/>
            <w:vAlign w:val="center"/>
          </w:tcPr>
          <w:p w14:paraId="162C84EC"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c>
          <w:tcPr>
            <w:tcW w:w="992" w:type="dxa"/>
            <w:tcBorders>
              <w:top w:val="single" w:sz="4" w:space="0" w:color="auto"/>
              <w:left w:val="nil"/>
              <w:bottom w:val="single" w:sz="4" w:space="0" w:color="auto"/>
              <w:right w:val="single" w:sz="6" w:space="0" w:color="auto"/>
            </w:tcBorders>
            <w:shd w:val="clear" w:color="auto" w:fill="F4EBCD"/>
            <w:vAlign w:val="center"/>
          </w:tcPr>
          <w:p w14:paraId="44F401B0"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r>
      <w:tr w:rsidR="000A48A4" w:rsidRPr="00D4396B" w14:paraId="50222342" w14:textId="77777777" w:rsidTr="003C0376">
        <w:trPr>
          <w:jc w:val="center"/>
        </w:trPr>
        <w:tc>
          <w:tcPr>
            <w:tcW w:w="7513" w:type="dxa"/>
            <w:tcBorders>
              <w:top w:val="single" w:sz="4" w:space="0" w:color="auto"/>
              <w:left w:val="single" w:sz="6" w:space="0" w:color="auto"/>
              <w:bottom w:val="single" w:sz="6" w:space="0" w:color="auto"/>
              <w:right w:val="single" w:sz="6" w:space="0" w:color="auto"/>
            </w:tcBorders>
            <w:vAlign w:val="center"/>
          </w:tcPr>
          <w:p w14:paraId="53A21169" w14:textId="77777777" w:rsidR="00A63B53" w:rsidRPr="00D4396B" w:rsidRDefault="00A63B53">
            <w:pPr>
              <w:spacing w:after="0"/>
              <w:rPr>
                <w:rFonts w:asciiTheme="majorBidi" w:hAnsiTheme="majorBidi" w:cstheme="majorBidi"/>
                <w:noProof/>
                <w:sz w:val="18"/>
                <w:szCs w:val="18"/>
                <w:u w:val="single"/>
              </w:rPr>
            </w:pPr>
            <w:r w:rsidRPr="00D4396B">
              <w:rPr>
                <w:rFonts w:asciiTheme="majorBidi" w:hAnsiTheme="majorBidi" w:cstheme="majorBidi"/>
                <w:noProof/>
                <w:sz w:val="18"/>
                <w:szCs w:val="18"/>
                <w:u w:val="single"/>
              </w:rPr>
              <w:t>v.</w:t>
            </w:r>
            <w:r w:rsidRPr="00D4396B">
              <w:rPr>
                <w:rFonts w:asciiTheme="majorBidi" w:hAnsiTheme="majorBidi" w:cstheme="majorBidi"/>
                <w:noProof/>
                <w:sz w:val="18"/>
                <w:szCs w:val="18"/>
              </w:rPr>
              <w:t xml:space="preserve"> Entrusting Eurojust with an explicit capacity building mandate in external action</w:t>
            </w:r>
          </w:p>
        </w:tc>
        <w:tc>
          <w:tcPr>
            <w:tcW w:w="992" w:type="dxa"/>
            <w:tcBorders>
              <w:top w:val="single" w:sz="4" w:space="0" w:color="auto"/>
              <w:left w:val="nil"/>
              <w:bottom w:val="single" w:sz="6" w:space="0" w:color="auto"/>
              <w:right w:val="single" w:sz="6" w:space="0" w:color="auto"/>
            </w:tcBorders>
            <w:shd w:val="clear" w:color="auto" w:fill="FCF5E1"/>
            <w:vAlign w:val="center"/>
          </w:tcPr>
          <w:p w14:paraId="0B82CC21"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single" w:sz="4" w:space="0" w:color="auto"/>
              <w:left w:val="nil"/>
              <w:bottom w:val="single" w:sz="6" w:space="0" w:color="auto"/>
              <w:right w:val="single" w:sz="6" w:space="0" w:color="auto"/>
            </w:tcBorders>
            <w:shd w:val="clear" w:color="auto" w:fill="F8F0D7"/>
            <w:vAlign w:val="center"/>
          </w:tcPr>
          <w:p w14:paraId="33DDBF71" w14:textId="77777777" w:rsidR="00A63B53" w:rsidRPr="00D4396B" w:rsidRDefault="00A63B53">
            <w:pPr>
              <w:spacing w:after="0"/>
              <w:jc w:val="center"/>
              <w:rPr>
                <w:rFonts w:asciiTheme="majorBidi" w:hAnsiTheme="majorBidi" w:cstheme="majorBidi"/>
                <w:noProof/>
                <w:sz w:val="18"/>
                <w:szCs w:val="18"/>
              </w:rPr>
            </w:pPr>
          </w:p>
        </w:tc>
        <w:tc>
          <w:tcPr>
            <w:tcW w:w="992" w:type="dxa"/>
            <w:tcBorders>
              <w:top w:val="single" w:sz="4" w:space="0" w:color="auto"/>
              <w:left w:val="nil"/>
              <w:bottom w:val="single" w:sz="6" w:space="0" w:color="auto"/>
              <w:right w:val="single" w:sz="6" w:space="0" w:color="auto"/>
            </w:tcBorders>
            <w:shd w:val="clear" w:color="auto" w:fill="F4EBCD"/>
            <w:vAlign w:val="center"/>
          </w:tcPr>
          <w:p w14:paraId="5D062765" w14:textId="77777777" w:rsidR="00A63B53" w:rsidRPr="00D4396B" w:rsidRDefault="00A63B53">
            <w:pPr>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v</w:t>
            </w:r>
          </w:p>
        </w:tc>
      </w:tr>
      <w:bookmarkEnd w:id="152"/>
    </w:tbl>
    <w:p w14:paraId="6D7A2425" w14:textId="77777777" w:rsidR="001617D1" w:rsidRDefault="001617D1" w:rsidP="000C3545">
      <w:pPr>
        <w:pStyle w:val="BodyText"/>
        <w:spacing w:before="0" w:after="0"/>
        <w:rPr>
          <w:noProof/>
          <w:lang w:val="en-IE"/>
        </w:rPr>
      </w:pPr>
    </w:p>
    <w:p w14:paraId="43362D8C" w14:textId="52AA61E3" w:rsidR="00A63B53" w:rsidRPr="00250B8E" w:rsidRDefault="62688BDE" w:rsidP="0061435E">
      <w:pPr>
        <w:pStyle w:val="Heading4"/>
        <w:ind w:left="567" w:firstLine="0"/>
        <w:rPr>
          <w:noProof/>
          <w:lang w:val="en-IE"/>
        </w:rPr>
      </w:pPr>
      <w:bookmarkStart w:id="153" w:name="_Toc232176420"/>
      <w:r w:rsidRPr="00250B8E">
        <w:rPr>
          <w:noProof/>
          <w:lang w:val="en-IE"/>
        </w:rPr>
        <w:t>5.2.</w:t>
      </w:r>
      <w:r w:rsidR="3776A149" w:rsidRPr="00250B8E">
        <w:rPr>
          <w:noProof/>
          <w:lang w:val="en-IE"/>
        </w:rPr>
        <w:t>2</w:t>
      </w:r>
      <w:r w:rsidRPr="00250B8E">
        <w:rPr>
          <w:noProof/>
          <w:lang w:val="en-IE"/>
        </w:rPr>
        <w:t>.</w:t>
      </w:r>
      <w:r w:rsidR="0036100F" w:rsidRPr="00250B8E">
        <w:rPr>
          <w:noProof/>
          <w:lang w:val="en-IE"/>
        </w:rPr>
        <w:t>1</w:t>
      </w:r>
      <w:r w:rsidR="009673B0" w:rsidRPr="00250B8E">
        <w:rPr>
          <w:noProof/>
          <w:lang w:val="en-IE"/>
        </w:rPr>
        <w:tab/>
      </w:r>
      <w:r w:rsidR="16099869" w:rsidRPr="00250B8E">
        <w:rPr>
          <w:noProof/>
          <w:lang w:val="en-IE"/>
        </w:rPr>
        <w:t xml:space="preserve">Area of intervention </w:t>
      </w:r>
      <w:r w:rsidR="00A56F1B" w:rsidRPr="00250B8E">
        <w:rPr>
          <w:noProof/>
          <w:lang w:val="en-IE"/>
        </w:rPr>
        <w:t>D</w:t>
      </w:r>
      <w:r w:rsidR="16099869" w:rsidRPr="00250B8E">
        <w:rPr>
          <w:noProof/>
          <w:lang w:val="en-IE"/>
        </w:rPr>
        <w:t>. Fostering and strengthening structured operational cooperation with Europol</w:t>
      </w:r>
      <w:bookmarkEnd w:id="153"/>
    </w:p>
    <w:p w14:paraId="107E3EB6" w14:textId="5B9EC669" w:rsidR="00A63B53" w:rsidRPr="00D4396B" w:rsidRDefault="00A63B53" w:rsidP="003B0D3B">
      <w:pPr>
        <w:pStyle w:val="ListParagraph"/>
        <w:spacing w:after="120"/>
        <w:ind w:left="0"/>
        <w:contextualSpacing w:val="0"/>
        <w:rPr>
          <w:rFonts w:asciiTheme="majorBidi" w:hAnsiTheme="majorBidi" w:cstheme="majorBidi"/>
          <w:noProof/>
        </w:rPr>
      </w:pPr>
      <w:r w:rsidRPr="00D4396B">
        <w:rPr>
          <w:rFonts w:asciiTheme="majorBidi" w:hAnsiTheme="majorBidi" w:cstheme="majorBidi"/>
          <w:noProof/>
        </w:rPr>
        <w:t xml:space="preserve">Eurojust’s cooperation with partners </w:t>
      </w:r>
      <w:r w:rsidR="00FA5318" w:rsidRPr="00D4396B">
        <w:rPr>
          <w:rFonts w:asciiTheme="majorBidi" w:hAnsiTheme="majorBidi" w:cstheme="majorBidi"/>
          <w:noProof/>
        </w:rPr>
        <w:t xml:space="preserve">is presently </w:t>
      </w:r>
      <w:r w:rsidR="1BC9229C" w:rsidRPr="00D4396B">
        <w:rPr>
          <w:rFonts w:asciiTheme="majorBidi" w:hAnsiTheme="majorBidi" w:cstheme="majorBidi"/>
          <w:noProof/>
        </w:rPr>
        <w:t xml:space="preserve">assessed as overall </w:t>
      </w:r>
      <w:r w:rsidRPr="00D4396B">
        <w:rPr>
          <w:rFonts w:asciiTheme="majorBidi" w:hAnsiTheme="majorBidi" w:cstheme="majorBidi"/>
          <w:noProof/>
        </w:rPr>
        <w:t>effective</w:t>
      </w:r>
      <w:r w:rsidR="34E8276F" w:rsidRPr="00D4396B">
        <w:rPr>
          <w:rFonts w:asciiTheme="majorBidi" w:hAnsiTheme="majorBidi" w:cstheme="majorBidi"/>
          <w:noProof/>
        </w:rPr>
        <w:t>,</w:t>
      </w:r>
      <w:r w:rsidRPr="00D4396B">
        <w:rPr>
          <w:rFonts w:asciiTheme="majorBidi" w:hAnsiTheme="majorBidi" w:cstheme="majorBidi"/>
          <w:noProof/>
        </w:rPr>
        <w:t xml:space="preserve"> on a case-by-case basis</w:t>
      </w:r>
      <w:r w:rsidR="63184833" w:rsidRPr="00D4396B">
        <w:rPr>
          <w:rFonts w:asciiTheme="majorBidi" w:hAnsiTheme="majorBidi" w:cstheme="majorBidi"/>
          <w:noProof/>
        </w:rPr>
        <w:t>,</w:t>
      </w:r>
      <w:r w:rsidRPr="00D4396B">
        <w:rPr>
          <w:rFonts w:asciiTheme="majorBidi" w:hAnsiTheme="majorBidi" w:cstheme="majorBidi"/>
          <w:noProof/>
        </w:rPr>
        <w:t xml:space="preserve"> but </w:t>
      </w:r>
      <w:r w:rsidR="2AE79F05" w:rsidRPr="00D4396B">
        <w:rPr>
          <w:rFonts w:asciiTheme="majorBidi" w:hAnsiTheme="majorBidi" w:cstheme="majorBidi"/>
          <w:noProof/>
        </w:rPr>
        <w:t>it</w:t>
      </w:r>
      <w:r w:rsidRPr="00D4396B">
        <w:rPr>
          <w:rFonts w:asciiTheme="majorBidi" w:hAnsiTheme="majorBidi" w:cstheme="majorBidi"/>
          <w:noProof/>
        </w:rPr>
        <w:t xml:space="preserve"> lacks a structural dimension, resulting in suboptimal coordination and missed opportunities. While pursuing the broader objective of strengthening cross-agency cooperation, these options focus specifically on Eurojust’s relationship with Europol, its key partner and counterpart along the investigative continuum between law enforcement action and judicial follow-up. They aim to address the current lack of sufficiently structured cooperation with Europol (#8).</w:t>
      </w:r>
    </w:p>
    <w:p w14:paraId="56388057" w14:textId="332B9FAF" w:rsidR="00A63B53" w:rsidRPr="00D4396B" w:rsidRDefault="00B76C08" w:rsidP="003B0D3B">
      <w:pPr>
        <w:pStyle w:val="ListParagraph"/>
        <w:spacing w:after="120"/>
        <w:ind w:left="0"/>
        <w:contextualSpacing w:val="0"/>
        <w:rPr>
          <w:rFonts w:asciiTheme="majorBidi" w:hAnsiTheme="majorBidi" w:cstheme="majorBidi"/>
          <w:noProof/>
        </w:rPr>
      </w:pPr>
      <w:r w:rsidRPr="00D4396B">
        <w:rPr>
          <w:rFonts w:asciiTheme="majorBidi" w:hAnsiTheme="majorBidi" w:cstheme="majorBidi"/>
          <w:b/>
          <w:bCs/>
          <w:noProof/>
          <w:u w:val="single"/>
        </w:rPr>
        <w:t>D</w:t>
      </w:r>
      <w:r w:rsidR="00FD2740" w:rsidRPr="00D4396B">
        <w:rPr>
          <w:rFonts w:asciiTheme="majorBidi" w:hAnsiTheme="majorBidi" w:cstheme="majorBidi"/>
          <w:b/>
          <w:bCs/>
          <w:noProof/>
          <w:u w:val="single"/>
        </w:rPr>
        <w:t>.</w:t>
      </w:r>
      <w:r w:rsidR="00A63B53" w:rsidRPr="00D4396B">
        <w:rPr>
          <w:rFonts w:asciiTheme="majorBidi" w:hAnsiTheme="majorBidi" w:cstheme="majorBidi"/>
          <w:b/>
          <w:bCs/>
          <w:noProof/>
          <w:u w:val="single"/>
        </w:rPr>
        <w:t>PO1:</w:t>
      </w:r>
      <w:r w:rsidR="00A63B53" w:rsidRPr="00D4396B">
        <w:rPr>
          <w:rFonts w:asciiTheme="majorBidi" w:hAnsiTheme="majorBidi" w:cstheme="majorBidi"/>
          <w:noProof/>
        </w:rPr>
        <w:t xml:space="preserve"> This option seeks to improve relations, information exchange, and operational cooperation through working arrangements, common guidelines, and shared practices. The objective is to promote a common operational culture and a shared understanding of needs, challenges, and opportunities for synergy.</w:t>
      </w:r>
      <w:r w:rsidR="00A63B53" w:rsidRPr="00D4396B">
        <w:rPr>
          <w:rFonts w:asciiTheme="majorBidi" w:hAnsiTheme="majorBidi" w:cstheme="majorBidi"/>
          <w:noProof/>
          <w:lang w:val="en-IE"/>
        </w:rPr>
        <w:t xml:space="preserve"> It</w:t>
      </w:r>
      <w:r w:rsidR="00A63B53" w:rsidRPr="00D4396B">
        <w:rPr>
          <w:rFonts w:asciiTheme="majorBidi" w:hAnsiTheme="majorBidi" w:cstheme="majorBidi"/>
          <w:noProof/>
        </w:rPr>
        <w:t xml:space="preserve"> would include the following combined measures:</w:t>
      </w:r>
    </w:p>
    <w:p w14:paraId="50A07A99" w14:textId="75F61837" w:rsidR="00A63B53" w:rsidRPr="00D4396B" w:rsidRDefault="00A63B53" w:rsidP="0061435E">
      <w:pPr>
        <w:pStyle w:val="ListParagraph"/>
        <w:spacing w:after="120"/>
        <w:ind w:left="0"/>
        <w:contextualSpacing w:val="0"/>
        <w:rPr>
          <w:rFonts w:asciiTheme="majorBidi" w:hAnsiTheme="majorBidi" w:cstheme="majorBidi"/>
          <w:noProof/>
        </w:rPr>
      </w:pPr>
      <w:r w:rsidRPr="00D4396B">
        <w:rPr>
          <w:rFonts w:asciiTheme="majorBidi" w:hAnsiTheme="majorBidi" w:cstheme="majorBidi"/>
          <w:noProof/>
        </w:rPr>
        <w:t xml:space="preserve">(i.a) Automating and optimising the Eurojust-Europol hit/no-hit system to facilitate link detection. Under the current system, Eurojust must submit a request to Europol regarding a suspect or case; Europol then manually verifies the information in its database, communicates the “hit”, and subsequently follows up manually to provide </w:t>
      </w:r>
      <w:r w:rsidRPr="00D4396B">
        <w:rPr>
          <w:rFonts w:asciiTheme="majorBidi" w:hAnsiTheme="majorBidi" w:cstheme="majorBidi"/>
          <w:noProof/>
          <w:lang w:val="en-US"/>
        </w:rPr>
        <w:t>the</w:t>
      </w:r>
      <w:r w:rsidRPr="00D4396B">
        <w:rPr>
          <w:rFonts w:asciiTheme="majorBidi" w:hAnsiTheme="majorBidi" w:cstheme="majorBidi"/>
          <w:noProof/>
        </w:rPr>
        <w:t xml:space="preserve"> information</w:t>
      </w:r>
      <w:r w:rsidRPr="00D4396B">
        <w:rPr>
          <w:rFonts w:asciiTheme="majorBidi" w:hAnsiTheme="majorBidi" w:cstheme="majorBidi"/>
          <w:noProof/>
          <w:lang w:val="en-US"/>
        </w:rPr>
        <w:t xml:space="preserve"> requested</w:t>
      </w:r>
      <w:r w:rsidRPr="00D4396B">
        <w:rPr>
          <w:rFonts w:asciiTheme="majorBidi" w:hAnsiTheme="majorBidi" w:cstheme="majorBidi"/>
          <w:noProof/>
        </w:rPr>
        <w:t>. An automated system would instead allow Eurojust to determine immediately</w:t>
      </w:r>
      <w:r w:rsidRPr="00D4396B">
        <w:rPr>
          <w:rFonts w:asciiTheme="majorBidi" w:hAnsiTheme="majorBidi" w:cstheme="majorBidi"/>
          <w:noProof/>
          <w:lang w:val="en-US"/>
        </w:rPr>
        <w:t xml:space="preserve"> – </w:t>
      </w:r>
      <w:r w:rsidRPr="00D4396B">
        <w:rPr>
          <w:rFonts w:asciiTheme="majorBidi" w:hAnsiTheme="majorBidi" w:cstheme="majorBidi"/>
          <w:noProof/>
        </w:rPr>
        <w:t>through automated matching</w:t>
      </w:r>
      <w:r w:rsidRPr="00D4396B">
        <w:rPr>
          <w:rFonts w:asciiTheme="majorBidi" w:hAnsiTheme="majorBidi" w:cstheme="majorBidi"/>
          <w:noProof/>
          <w:lang w:val="en-US"/>
        </w:rPr>
        <w:t xml:space="preserve"> – </w:t>
      </w:r>
      <w:r w:rsidRPr="00D4396B">
        <w:rPr>
          <w:rFonts w:asciiTheme="majorBidi" w:hAnsiTheme="majorBidi" w:cstheme="majorBidi"/>
          <w:noProof/>
        </w:rPr>
        <w:t>whether relevant information exists in Europol’s databases.</w:t>
      </w:r>
    </w:p>
    <w:p w14:paraId="378C1620" w14:textId="2E27A714" w:rsidR="00A63B53" w:rsidRPr="00D4396B" w:rsidRDefault="00A63B53" w:rsidP="7E8FC249">
      <w:pPr>
        <w:spacing w:after="120"/>
        <w:rPr>
          <w:rFonts w:asciiTheme="majorBidi" w:hAnsiTheme="majorBidi" w:cstheme="majorBidi"/>
          <w:noProof/>
        </w:rPr>
      </w:pPr>
      <w:r w:rsidRPr="7E8FC249">
        <w:rPr>
          <w:rFonts w:asciiTheme="majorBidi" w:hAnsiTheme="majorBidi" w:cstheme="majorBidi"/>
          <w:noProof/>
        </w:rPr>
        <w:t>(ii.b) Revising the 2010 Eurojust-Europol Working Arrangement through political incentives. The Commission and the Council would encourage both agencies to update their cooperation framework so that it reflects current operational realities,</w:t>
      </w:r>
      <w:r w:rsidR="00B44DCE" w:rsidRPr="7E8FC249">
        <w:rPr>
          <w:rFonts w:asciiTheme="majorBidi" w:hAnsiTheme="majorBidi" w:cstheme="majorBidi"/>
          <w:noProof/>
        </w:rPr>
        <w:t xml:space="preserve"> expertise and needs</w:t>
      </w:r>
      <w:r w:rsidR="007727A1" w:rsidRPr="7E8FC249">
        <w:rPr>
          <w:rFonts w:asciiTheme="majorBidi" w:hAnsiTheme="majorBidi" w:cstheme="majorBidi"/>
          <w:noProof/>
        </w:rPr>
        <w:t xml:space="preserve"> as well as emerging tools such as</w:t>
      </w:r>
      <w:r w:rsidRPr="7E8FC249">
        <w:rPr>
          <w:rFonts w:asciiTheme="majorBidi" w:hAnsiTheme="majorBidi" w:cstheme="majorBidi"/>
          <w:noProof/>
        </w:rPr>
        <w:t xml:space="preserve"> </w:t>
      </w:r>
      <w:r w:rsidR="798A95AE" w:rsidRPr="7E8FC249">
        <w:rPr>
          <w:rFonts w:asciiTheme="majorBidi" w:hAnsiTheme="majorBidi" w:cstheme="majorBidi"/>
          <w:noProof/>
        </w:rPr>
        <w:t>JOP</w:t>
      </w:r>
      <w:r w:rsidRPr="7E8FC249">
        <w:rPr>
          <w:rFonts w:asciiTheme="majorBidi" w:hAnsiTheme="majorBidi" w:cstheme="majorBidi"/>
          <w:noProof/>
        </w:rPr>
        <w:t>s bringing together law enforcement and judicial expertise.</w:t>
      </w:r>
    </w:p>
    <w:p w14:paraId="14399B99" w14:textId="619122BE" w:rsidR="00A63B53" w:rsidRPr="00D4396B" w:rsidRDefault="00B76C08" w:rsidP="003B0D3B">
      <w:pPr>
        <w:spacing w:after="120"/>
        <w:rPr>
          <w:rFonts w:asciiTheme="majorBidi" w:hAnsiTheme="majorBidi" w:cstheme="majorBidi"/>
          <w:noProof/>
        </w:rPr>
      </w:pPr>
      <w:r w:rsidRPr="00D4396B">
        <w:rPr>
          <w:rFonts w:asciiTheme="majorBidi" w:hAnsiTheme="majorBidi" w:cstheme="majorBidi"/>
          <w:b/>
          <w:bCs/>
          <w:noProof/>
          <w:u w:val="single"/>
        </w:rPr>
        <w:t>D</w:t>
      </w:r>
      <w:r w:rsidR="00FD2740" w:rsidRPr="00D4396B">
        <w:rPr>
          <w:rFonts w:asciiTheme="majorBidi" w:hAnsiTheme="majorBidi" w:cstheme="majorBidi"/>
          <w:b/>
          <w:bCs/>
          <w:noProof/>
          <w:u w:val="single"/>
        </w:rPr>
        <w:t>.</w:t>
      </w:r>
      <w:r w:rsidR="00A63B53" w:rsidRPr="00D4396B">
        <w:rPr>
          <w:rFonts w:asciiTheme="majorBidi" w:hAnsiTheme="majorBidi" w:cstheme="majorBidi"/>
          <w:b/>
          <w:bCs/>
          <w:noProof/>
          <w:u w:val="single"/>
        </w:rPr>
        <w:t>PO2:</w:t>
      </w:r>
      <w:r w:rsidR="00A63B53" w:rsidRPr="00D4396B">
        <w:rPr>
          <w:rFonts w:asciiTheme="majorBidi" w:hAnsiTheme="majorBidi" w:cstheme="majorBidi"/>
          <w:b/>
          <w:bCs/>
          <w:noProof/>
        </w:rPr>
        <w:t xml:space="preserve"> </w:t>
      </w:r>
      <w:r w:rsidR="00A63B53" w:rsidRPr="00D4396B">
        <w:rPr>
          <w:rFonts w:asciiTheme="majorBidi" w:hAnsiTheme="majorBidi" w:cstheme="majorBidi"/>
          <w:noProof/>
        </w:rPr>
        <w:t>This option aims at structuring and institutionalising cooperation</w:t>
      </w:r>
      <w:r w:rsidR="00A63B53" w:rsidRPr="00D4396B">
        <w:rPr>
          <w:rFonts w:asciiTheme="majorBidi" w:hAnsiTheme="majorBidi" w:cstheme="majorBidi"/>
          <w:noProof/>
          <w:lang w:val="en-US"/>
        </w:rPr>
        <w:t xml:space="preserve"> with Europol</w:t>
      </w:r>
      <w:r w:rsidR="00A63B53" w:rsidRPr="00D4396B">
        <w:rPr>
          <w:rFonts w:asciiTheme="majorBidi" w:hAnsiTheme="majorBidi" w:cstheme="majorBidi"/>
          <w:noProof/>
        </w:rPr>
        <w:t xml:space="preserve"> through targeted legislative amendments.</w:t>
      </w:r>
      <w:r w:rsidR="00A63B53" w:rsidRPr="00D4396B">
        <w:rPr>
          <w:rFonts w:asciiTheme="majorBidi" w:hAnsiTheme="majorBidi" w:cstheme="majorBidi"/>
          <w:noProof/>
          <w:lang w:val="en-US"/>
        </w:rPr>
        <w:t xml:space="preserve"> </w:t>
      </w:r>
      <w:r w:rsidR="00A63B53" w:rsidRPr="00D4396B">
        <w:rPr>
          <w:rFonts w:asciiTheme="majorBidi" w:hAnsiTheme="majorBidi" w:cstheme="majorBidi"/>
          <w:noProof/>
        </w:rPr>
        <w:t xml:space="preserve">While maintaining the operational flexibility that characterises current cooperation, this option reduces reliance on informal practice and voluntary coordination by embedding key cooperation modalities within the legal framework governing the two agencies, creating greater predictability and ensuring continuity of cooperation across operational contexts. Proposed measures </w:t>
      </w:r>
      <w:r w:rsidR="076347C8" w:rsidRPr="0098D6A4">
        <w:rPr>
          <w:rFonts w:asciiTheme="majorBidi" w:hAnsiTheme="majorBidi" w:cstheme="majorBidi"/>
          <w:noProof/>
        </w:rPr>
        <w:t xml:space="preserve">would </w:t>
      </w:r>
      <w:r w:rsidR="00A63B53" w:rsidRPr="0098D6A4">
        <w:rPr>
          <w:rFonts w:asciiTheme="majorBidi" w:hAnsiTheme="majorBidi" w:cstheme="majorBidi"/>
          <w:noProof/>
        </w:rPr>
        <w:t>include:</w:t>
      </w:r>
    </w:p>
    <w:p w14:paraId="01130B7C" w14:textId="121121C9" w:rsidR="00A63B53" w:rsidRPr="00D4396B" w:rsidRDefault="00A63B53" w:rsidP="0061435E">
      <w:pPr>
        <w:spacing w:after="120"/>
        <w:rPr>
          <w:rFonts w:asciiTheme="majorBidi" w:hAnsiTheme="majorBidi" w:cstheme="majorBidi"/>
          <w:noProof/>
        </w:rPr>
      </w:pPr>
      <w:r w:rsidRPr="00D4396B">
        <w:rPr>
          <w:rFonts w:asciiTheme="majorBidi" w:hAnsiTheme="majorBidi" w:cstheme="majorBidi"/>
          <w:noProof/>
        </w:rPr>
        <w:t xml:space="preserve">(i.b) Automating and optimising the system of information exchange with the establishment of </w:t>
      </w:r>
      <w:r w:rsidR="7A5A7936" w:rsidRPr="00D4396B">
        <w:rPr>
          <w:rFonts w:asciiTheme="majorBidi" w:hAnsiTheme="majorBidi" w:cstheme="majorBidi"/>
          <w:noProof/>
        </w:rPr>
        <w:t xml:space="preserve">an </w:t>
      </w:r>
      <w:r w:rsidR="3A88BE36" w:rsidRPr="00D4396B">
        <w:rPr>
          <w:rFonts w:asciiTheme="majorBidi" w:hAnsiTheme="majorBidi" w:cstheme="majorBidi"/>
          <w:noProof/>
        </w:rPr>
        <w:t>impro</w:t>
      </w:r>
      <w:r w:rsidR="47A333AA" w:rsidRPr="00D4396B">
        <w:rPr>
          <w:rFonts w:asciiTheme="majorBidi" w:hAnsiTheme="majorBidi" w:cstheme="majorBidi"/>
          <w:noProof/>
        </w:rPr>
        <w:t>v</w:t>
      </w:r>
      <w:r w:rsidR="3A88BE36" w:rsidRPr="00D4396B">
        <w:rPr>
          <w:rFonts w:asciiTheme="majorBidi" w:hAnsiTheme="majorBidi" w:cstheme="majorBidi"/>
          <w:noProof/>
        </w:rPr>
        <w:t>ed</w:t>
      </w:r>
      <w:r w:rsidRPr="00D4396B">
        <w:rPr>
          <w:rFonts w:asciiTheme="majorBidi" w:hAnsiTheme="majorBidi" w:cstheme="majorBidi"/>
          <w:noProof/>
        </w:rPr>
        <w:t xml:space="preserve"> cross-checking system</w:t>
      </w:r>
      <w:r w:rsidR="175C6B05" w:rsidRPr="00D4396B">
        <w:rPr>
          <w:rFonts w:asciiTheme="majorBidi" w:hAnsiTheme="majorBidi" w:cstheme="majorBidi"/>
          <w:noProof/>
        </w:rPr>
        <w:t>s</w:t>
      </w:r>
      <w:r w:rsidRPr="00D4396B">
        <w:rPr>
          <w:rFonts w:asciiTheme="majorBidi" w:hAnsiTheme="majorBidi" w:cstheme="majorBidi"/>
          <w:noProof/>
        </w:rPr>
        <w:t xml:space="preserve"> across JHA agencies </w:t>
      </w:r>
      <w:r w:rsidR="7EAFFF22" w:rsidRPr="00D4396B">
        <w:rPr>
          <w:rFonts w:asciiTheme="majorBidi" w:hAnsiTheme="majorBidi" w:cstheme="majorBidi"/>
          <w:noProof/>
        </w:rPr>
        <w:t>and bodies</w:t>
      </w:r>
      <w:r w:rsidR="00201CAF" w:rsidRPr="00D4396B">
        <w:rPr>
          <w:rFonts w:asciiTheme="majorBidi" w:hAnsiTheme="majorBidi" w:cstheme="majorBidi"/>
          <w:noProof/>
        </w:rPr>
        <w:t xml:space="preserve"> (automated hit/no-hit system)</w:t>
      </w:r>
      <w:r w:rsidRPr="00D4396B">
        <w:rPr>
          <w:rFonts w:asciiTheme="majorBidi" w:hAnsiTheme="majorBidi" w:cstheme="majorBidi"/>
          <w:noProof/>
        </w:rPr>
        <w:t xml:space="preserve"> paired with the introduction of legal obligations to cooperate and share</w:t>
      </w:r>
      <w:r w:rsidR="00860C5A" w:rsidRPr="00D4396B">
        <w:rPr>
          <w:rFonts w:asciiTheme="majorBidi" w:hAnsiTheme="majorBidi" w:cstheme="majorBidi"/>
          <w:noProof/>
        </w:rPr>
        <w:t>, where appropriate,</w:t>
      </w:r>
      <w:r w:rsidRPr="00D4396B">
        <w:rPr>
          <w:rFonts w:asciiTheme="majorBidi" w:hAnsiTheme="majorBidi" w:cstheme="majorBidi"/>
          <w:noProof/>
        </w:rPr>
        <w:t xml:space="preserve"> specific categories of relevant data</w:t>
      </w:r>
      <w:r w:rsidR="00062F7D" w:rsidRPr="00D4396B">
        <w:rPr>
          <w:rFonts w:asciiTheme="majorBidi" w:hAnsiTheme="majorBidi" w:cstheme="majorBidi"/>
          <w:noProof/>
        </w:rPr>
        <w:t>,</w:t>
      </w:r>
      <w:r w:rsidR="76990CA3" w:rsidRPr="00D4396B">
        <w:rPr>
          <w:rFonts w:asciiTheme="majorBidi" w:hAnsiTheme="majorBidi" w:cstheme="majorBidi"/>
          <w:noProof/>
        </w:rPr>
        <w:t xml:space="preserve"> taking into account the specific mandates of ea</w:t>
      </w:r>
      <w:r w:rsidR="16B01FC4" w:rsidRPr="00D4396B">
        <w:rPr>
          <w:rFonts w:asciiTheme="majorBidi" w:hAnsiTheme="majorBidi" w:cstheme="majorBidi"/>
          <w:noProof/>
        </w:rPr>
        <w:t>c</w:t>
      </w:r>
      <w:r w:rsidR="76990CA3" w:rsidRPr="00D4396B">
        <w:rPr>
          <w:rFonts w:asciiTheme="majorBidi" w:hAnsiTheme="majorBidi" w:cstheme="majorBidi"/>
          <w:noProof/>
        </w:rPr>
        <w:t>h ag</w:t>
      </w:r>
      <w:r w:rsidR="0529D32B" w:rsidRPr="00D4396B">
        <w:rPr>
          <w:rFonts w:asciiTheme="majorBidi" w:hAnsiTheme="majorBidi" w:cstheme="majorBidi"/>
          <w:noProof/>
        </w:rPr>
        <w:t>ency in compliance with data protection requirements</w:t>
      </w:r>
      <w:r w:rsidRPr="00D4396B">
        <w:rPr>
          <w:rFonts w:asciiTheme="majorBidi" w:hAnsiTheme="majorBidi" w:cstheme="majorBidi"/>
          <w:noProof/>
        </w:rPr>
        <w:t>.</w:t>
      </w:r>
    </w:p>
    <w:p w14:paraId="52AC51C9" w14:textId="4DD78CEE" w:rsidR="00A63B53" w:rsidRPr="00D4396B" w:rsidRDefault="00A63B53" w:rsidP="0061435E">
      <w:pPr>
        <w:spacing w:after="120"/>
        <w:rPr>
          <w:rFonts w:asciiTheme="majorBidi" w:hAnsiTheme="majorBidi" w:cstheme="majorBidi"/>
          <w:noProof/>
        </w:rPr>
      </w:pPr>
      <w:r w:rsidRPr="00D4396B">
        <w:rPr>
          <w:rFonts w:asciiTheme="majorBidi" w:hAnsiTheme="majorBidi" w:cstheme="majorBidi"/>
          <w:noProof/>
        </w:rPr>
        <w:t xml:space="preserve">(ii.b) Revising the 2010 Eurojust-Europol Working Arrangement, along with the introduction in the </w:t>
      </w:r>
      <w:r w:rsidRPr="2DBBD416">
        <w:rPr>
          <w:rFonts w:asciiTheme="majorBidi" w:hAnsiTheme="majorBidi" w:cstheme="majorBidi"/>
          <w:noProof/>
        </w:rPr>
        <w:t>E</w:t>
      </w:r>
      <w:r w:rsidR="07CC92FF" w:rsidRPr="2DBBD416">
        <w:rPr>
          <w:rFonts w:asciiTheme="majorBidi" w:hAnsiTheme="majorBidi" w:cstheme="majorBidi"/>
          <w:noProof/>
        </w:rPr>
        <w:t>JR</w:t>
      </w:r>
      <w:r w:rsidRPr="00D4396B">
        <w:rPr>
          <w:rFonts w:asciiTheme="majorBidi" w:hAnsiTheme="majorBidi" w:cstheme="majorBidi"/>
          <w:noProof/>
        </w:rPr>
        <w:t xml:space="preserve"> of a </w:t>
      </w:r>
      <w:r w:rsidRPr="6B9C12A5">
        <w:rPr>
          <w:rFonts w:asciiTheme="majorBidi" w:hAnsiTheme="majorBidi" w:cstheme="majorBidi"/>
          <w:b/>
          <w:bCs/>
          <w:noProof/>
        </w:rPr>
        <w:t xml:space="preserve">legal obligation </w:t>
      </w:r>
      <w:r w:rsidRPr="00D4396B">
        <w:rPr>
          <w:rFonts w:asciiTheme="majorBidi" w:hAnsiTheme="majorBidi" w:cstheme="majorBidi"/>
          <w:noProof/>
        </w:rPr>
        <w:t xml:space="preserve">to periodically review the </w:t>
      </w:r>
      <w:r w:rsidR="2C268566" w:rsidRPr="00D4396B">
        <w:rPr>
          <w:rFonts w:asciiTheme="majorBidi" w:hAnsiTheme="majorBidi" w:cstheme="majorBidi"/>
          <w:noProof/>
        </w:rPr>
        <w:t>revised arrangement</w:t>
      </w:r>
      <w:r w:rsidRPr="00D4396B">
        <w:rPr>
          <w:rFonts w:asciiTheme="majorBidi" w:hAnsiTheme="majorBidi" w:cstheme="majorBidi"/>
          <w:noProof/>
        </w:rPr>
        <w:t>, in consultation with the Commission. Embedding revision cycles in the founding Regulations of both agencies would ensure that the cooperation framework remains aligned with evolving crime patterns and incorporates the most up-to-date operational practices.</w:t>
      </w:r>
    </w:p>
    <w:p w14:paraId="37CA7FA3" w14:textId="77777777" w:rsidR="00A63B53" w:rsidRPr="00D4396B" w:rsidRDefault="00A63B53" w:rsidP="0061435E">
      <w:pPr>
        <w:spacing w:after="120"/>
        <w:rPr>
          <w:rFonts w:asciiTheme="majorBidi" w:hAnsiTheme="majorBidi" w:cstheme="majorBidi"/>
          <w:noProof/>
        </w:rPr>
      </w:pPr>
      <w:r w:rsidRPr="00D4396B">
        <w:rPr>
          <w:rFonts w:asciiTheme="majorBidi" w:hAnsiTheme="majorBidi" w:cstheme="majorBidi"/>
          <w:noProof/>
        </w:rPr>
        <w:t xml:space="preserve">(iii) In addition, establishing a dedicated cooperation channel for systematic SIRIUS follow-up. This mechanism would integrate judicial coordination into digital evidence workflows, ensuring continuity between the law-enforcement identification of electronic evidence and subsequent cross-border judicial action. Rather than relying on </w:t>
      </w:r>
      <w:r w:rsidRPr="00E028A0">
        <w:rPr>
          <w:rFonts w:asciiTheme="majorBidi" w:hAnsiTheme="majorBidi" w:cstheme="majorBidi"/>
          <w:i/>
          <w:iCs/>
          <w:noProof/>
        </w:rPr>
        <w:t>ad hoc</w:t>
      </w:r>
      <w:r w:rsidRPr="00D4396B">
        <w:rPr>
          <w:rFonts w:asciiTheme="majorBidi" w:hAnsiTheme="majorBidi" w:cstheme="majorBidi"/>
          <w:noProof/>
        </w:rPr>
        <w:t xml:space="preserve"> escalation once jurisdictional or admissibility issues arise, the channel would facilitate structured interaction between Europol and Eurojust throughout the process.</w:t>
      </w:r>
    </w:p>
    <w:p w14:paraId="6E8F5991" w14:textId="1B5E1D62" w:rsidR="00A63B53" w:rsidRPr="00D4396B" w:rsidRDefault="00A63B53" w:rsidP="0061435E">
      <w:pPr>
        <w:spacing w:after="120"/>
        <w:rPr>
          <w:rFonts w:asciiTheme="majorBidi" w:hAnsiTheme="majorBidi" w:cstheme="majorBidi"/>
          <w:noProof/>
        </w:rPr>
      </w:pPr>
      <w:r w:rsidRPr="00D4396B">
        <w:rPr>
          <w:rFonts w:asciiTheme="majorBidi" w:hAnsiTheme="majorBidi" w:cstheme="majorBidi"/>
          <w:noProof/>
        </w:rPr>
        <w:t xml:space="preserve">(iv) Enhancing mutual involvement in partners’ activities through the introduction of a legal obligation requiring that Europol liaison officers participate </w:t>
      </w:r>
      <w:r w:rsidR="52706BBC" w:rsidRPr="00D4396B">
        <w:rPr>
          <w:rFonts w:asciiTheme="majorBidi" w:hAnsiTheme="majorBidi" w:cstheme="majorBidi"/>
          <w:noProof/>
        </w:rPr>
        <w:t>in meetings of</w:t>
      </w:r>
      <w:r w:rsidRPr="00D4396B">
        <w:rPr>
          <w:rFonts w:asciiTheme="majorBidi" w:hAnsiTheme="majorBidi" w:cstheme="majorBidi"/>
          <w:noProof/>
        </w:rPr>
        <w:t xml:space="preserve"> the Eurojust College when matters of common interest are discussed.</w:t>
      </w:r>
    </w:p>
    <w:p w14:paraId="0C6C0937" w14:textId="0616D5BD" w:rsidR="00A63B53" w:rsidRPr="00D4396B" w:rsidRDefault="00B76C08" w:rsidP="003B0D3B">
      <w:pPr>
        <w:spacing w:after="120"/>
        <w:rPr>
          <w:rFonts w:asciiTheme="majorBidi" w:hAnsiTheme="majorBidi" w:cstheme="majorBidi"/>
          <w:noProof/>
        </w:rPr>
      </w:pPr>
      <w:r w:rsidRPr="00D4396B">
        <w:rPr>
          <w:rFonts w:asciiTheme="majorBidi" w:hAnsiTheme="majorBidi" w:cstheme="majorBidi"/>
          <w:b/>
          <w:bCs/>
          <w:noProof/>
          <w:u w:val="single"/>
        </w:rPr>
        <w:t>D</w:t>
      </w:r>
      <w:r w:rsidR="00FD2740" w:rsidRPr="00D4396B">
        <w:rPr>
          <w:rFonts w:asciiTheme="majorBidi" w:hAnsiTheme="majorBidi" w:cstheme="majorBidi"/>
          <w:b/>
          <w:bCs/>
          <w:noProof/>
          <w:u w:val="single"/>
        </w:rPr>
        <w:t>.</w:t>
      </w:r>
      <w:r w:rsidR="00A63B53" w:rsidRPr="00D4396B">
        <w:rPr>
          <w:rFonts w:asciiTheme="majorBidi" w:hAnsiTheme="majorBidi" w:cstheme="majorBidi"/>
          <w:b/>
          <w:bCs/>
          <w:noProof/>
          <w:u w:val="single"/>
        </w:rPr>
        <w:t>PO3:</w:t>
      </w:r>
      <w:r w:rsidR="00A63B53" w:rsidRPr="00D4396B">
        <w:rPr>
          <w:rFonts w:asciiTheme="majorBidi" w:hAnsiTheme="majorBidi" w:cstheme="majorBidi"/>
          <w:noProof/>
        </w:rPr>
        <w:t xml:space="preserve"> This option represents a qualitative step beyond structured cooperation by integrating operational processes between Eurojust and Europol in a more systematic and legally codified manner. Cooperation would move from structured interaction to partially integrated operational processes </w:t>
      </w:r>
      <w:r w:rsidR="00456347" w:rsidRPr="00D4396B">
        <w:rPr>
          <w:rFonts w:asciiTheme="majorBidi" w:hAnsiTheme="majorBidi" w:cstheme="majorBidi"/>
          <w:noProof/>
        </w:rPr>
        <w:t>(</w:t>
      </w:r>
      <w:r w:rsidR="00A515C6" w:rsidRPr="00D4396B">
        <w:rPr>
          <w:rFonts w:asciiTheme="majorBidi" w:hAnsiTheme="majorBidi" w:cstheme="majorBidi"/>
          <w:noProof/>
        </w:rPr>
        <w:t>“</w:t>
      </w:r>
      <w:r w:rsidR="00A63B53" w:rsidRPr="6B9C12A5">
        <w:rPr>
          <w:rFonts w:asciiTheme="majorBidi" w:hAnsiTheme="majorBidi" w:cstheme="majorBidi"/>
          <w:i/>
          <w:iCs/>
          <w:noProof/>
        </w:rPr>
        <w:t>continuum</w:t>
      </w:r>
      <w:r w:rsidR="00A515C6" w:rsidRPr="6B9C12A5">
        <w:rPr>
          <w:rFonts w:asciiTheme="majorBidi" w:hAnsiTheme="majorBidi" w:cstheme="majorBidi"/>
          <w:i/>
          <w:iCs/>
          <w:noProof/>
        </w:rPr>
        <w:t>”</w:t>
      </w:r>
      <w:r w:rsidR="00456347" w:rsidRPr="00D4396B">
        <w:rPr>
          <w:rFonts w:asciiTheme="majorBidi" w:hAnsiTheme="majorBidi" w:cstheme="majorBidi"/>
          <w:noProof/>
        </w:rPr>
        <w:t>)</w:t>
      </w:r>
      <w:r w:rsidR="00A63B53" w:rsidRPr="00D4396B">
        <w:rPr>
          <w:rFonts w:asciiTheme="majorBidi" w:hAnsiTheme="majorBidi" w:cstheme="majorBidi"/>
          <w:noProof/>
        </w:rPr>
        <w:t xml:space="preserve">, supported by clearly defined reciprocal rights and duties regarding </w:t>
      </w:r>
      <w:r w:rsidR="00D9059B" w:rsidRPr="00D4396B">
        <w:rPr>
          <w:rFonts w:asciiTheme="majorBidi" w:hAnsiTheme="majorBidi" w:cstheme="majorBidi"/>
          <w:noProof/>
        </w:rPr>
        <w:t>expertise</w:t>
      </w:r>
      <w:r w:rsidR="1A055455" w:rsidRPr="00D4396B">
        <w:rPr>
          <w:rFonts w:asciiTheme="majorBidi" w:hAnsiTheme="majorBidi" w:cstheme="majorBidi"/>
          <w:noProof/>
        </w:rPr>
        <w:t xml:space="preserve">, </w:t>
      </w:r>
      <w:r w:rsidR="00A63B53" w:rsidRPr="00D4396B">
        <w:rPr>
          <w:rFonts w:asciiTheme="majorBidi" w:hAnsiTheme="majorBidi" w:cstheme="majorBidi"/>
          <w:noProof/>
        </w:rPr>
        <w:t>information sharing</w:t>
      </w:r>
      <w:r w:rsidR="002D096E" w:rsidRPr="00D4396B">
        <w:rPr>
          <w:rFonts w:asciiTheme="majorBidi" w:hAnsiTheme="majorBidi" w:cstheme="majorBidi"/>
          <w:noProof/>
        </w:rPr>
        <w:t xml:space="preserve">, </w:t>
      </w:r>
      <w:r w:rsidR="6F8FE635" w:rsidRPr="00D4396B">
        <w:rPr>
          <w:rFonts w:asciiTheme="majorBidi" w:hAnsiTheme="majorBidi" w:cstheme="majorBidi"/>
          <w:noProof/>
        </w:rPr>
        <w:t xml:space="preserve">and respective operational activities. </w:t>
      </w:r>
      <w:r w:rsidR="00A63B53" w:rsidRPr="00D4396B">
        <w:rPr>
          <w:rFonts w:asciiTheme="majorBidi" w:hAnsiTheme="majorBidi" w:cstheme="majorBidi"/>
          <w:noProof/>
        </w:rPr>
        <w:t>The package would include the following measures:</w:t>
      </w:r>
    </w:p>
    <w:p w14:paraId="27AA2812" w14:textId="79A44146" w:rsidR="00A63B53" w:rsidRPr="00D4396B" w:rsidRDefault="00A63B53" w:rsidP="0061435E">
      <w:pPr>
        <w:spacing w:after="120"/>
        <w:rPr>
          <w:rFonts w:asciiTheme="majorBidi" w:hAnsiTheme="majorBidi" w:cstheme="majorBidi"/>
          <w:noProof/>
          <w:lang w:val="en-IE"/>
        </w:rPr>
      </w:pPr>
      <w:r w:rsidRPr="00D4396B">
        <w:rPr>
          <w:rFonts w:asciiTheme="majorBidi" w:hAnsiTheme="majorBidi" w:cstheme="majorBidi"/>
          <w:noProof/>
          <w:lang w:val="en-IE"/>
        </w:rPr>
        <w:t xml:space="preserve">(i.b), (ii.b), (iii), (iv) Implementing </w:t>
      </w:r>
      <w:r w:rsidR="008739A2" w:rsidRPr="00D4396B">
        <w:rPr>
          <w:rFonts w:asciiTheme="majorBidi" w:hAnsiTheme="majorBidi" w:cstheme="majorBidi"/>
          <w:noProof/>
          <w:lang w:val="en-IE"/>
        </w:rPr>
        <w:t xml:space="preserve">an </w:t>
      </w:r>
      <w:r w:rsidR="00AE51C9" w:rsidRPr="00D4396B">
        <w:rPr>
          <w:rFonts w:asciiTheme="majorBidi" w:hAnsiTheme="majorBidi" w:cstheme="majorBidi"/>
          <w:noProof/>
          <w:lang w:val="en-IE"/>
        </w:rPr>
        <w:t>automated hit/no-hit</w:t>
      </w:r>
      <w:r w:rsidR="00411E89" w:rsidRPr="00D4396B">
        <w:rPr>
          <w:rFonts w:asciiTheme="majorBidi" w:hAnsiTheme="majorBidi" w:cstheme="majorBidi"/>
          <w:noProof/>
          <w:lang w:val="en-IE"/>
        </w:rPr>
        <w:t xml:space="preserve"> system</w:t>
      </w:r>
      <w:r w:rsidRPr="00D4396B">
        <w:rPr>
          <w:rFonts w:asciiTheme="majorBidi" w:hAnsiTheme="majorBidi" w:cstheme="majorBidi"/>
          <w:noProof/>
          <w:lang w:val="en-IE"/>
        </w:rPr>
        <w:t>, revise the 2010 Eurojust-Europol Working Arrangement</w:t>
      </w:r>
      <w:r w:rsidR="001F4A5C" w:rsidRPr="00D4396B">
        <w:rPr>
          <w:rFonts w:asciiTheme="majorBidi" w:hAnsiTheme="majorBidi" w:cstheme="majorBidi"/>
          <w:noProof/>
          <w:lang w:val="en-IE"/>
        </w:rPr>
        <w:t xml:space="preserve"> along with a leal obligation to periodically review the revised arrangement</w:t>
      </w:r>
      <w:r w:rsidRPr="00D4396B">
        <w:rPr>
          <w:rFonts w:asciiTheme="majorBidi" w:hAnsiTheme="majorBidi" w:cstheme="majorBidi"/>
          <w:noProof/>
          <w:lang w:val="en-IE"/>
        </w:rPr>
        <w:t>, creating a dedicated cooperation channel for SIRIUS referrals and granting participation in College meeting to Europol representative</w:t>
      </w:r>
      <w:r w:rsidR="002D0A78">
        <w:rPr>
          <w:rFonts w:asciiTheme="majorBidi" w:hAnsiTheme="majorBidi" w:cstheme="majorBidi"/>
          <w:noProof/>
          <w:lang w:val="en-IE"/>
        </w:rPr>
        <w:t>s</w:t>
      </w:r>
      <w:r w:rsidRPr="00D4396B">
        <w:rPr>
          <w:rFonts w:asciiTheme="majorBidi" w:hAnsiTheme="majorBidi" w:cstheme="majorBidi"/>
          <w:noProof/>
          <w:lang w:val="en-IE"/>
        </w:rPr>
        <w:t xml:space="preserve"> as outlined under </w:t>
      </w:r>
      <w:r w:rsidR="00B76C08" w:rsidRPr="00D4396B">
        <w:rPr>
          <w:rFonts w:asciiTheme="majorBidi" w:hAnsiTheme="majorBidi" w:cstheme="majorBidi"/>
          <w:noProof/>
          <w:lang w:val="en-IE"/>
        </w:rPr>
        <w:t>D</w:t>
      </w:r>
      <w:r w:rsidR="00FD2740" w:rsidRPr="00D4396B">
        <w:rPr>
          <w:rFonts w:asciiTheme="majorBidi" w:hAnsiTheme="majorBidi" w:cstheme="majorBidi"/>
          <w:noProof/>
          <w:lang w:val="en-IE"/>
        </w:rPr>
        <w:t>.</w:t>
      </w:r>
      <w:r w:rsidRPr="00D4396B">
        <w:rPr>
          <w:rFonts w:asciiTheme="majorBidi" w:hAnsiTheme="majorBidi" w:cstheme="majorBidi"/>
          <w:noProof/>
          <w:lang w:val="en-IE"/>
        </w:rPr>
        <w:t>PO2.</w:t>
      </w:r>
    </w:p>
    <w:p w14:paraId="45D01102" w14:textId="1A005BC4" w:rsidR="00A63B53" w:rsidRPr="00D4396B" w:rsidRDefault="08FC6AC7" w:rsidP="7E8FC249">
      <w:pPr>
        <w:spacing w:after="120"/>
        <w:rPr>
          <w:rFonts w:asciiTheme="majorBidi" w:hAnsiTheme="majorBidi" w:cstheme="majorBidi"/>
          <w:noProof/>
        </w:rPr>
      </w:pPr>
      <w:r w:rsidRPr="7E8FC249">
        <w:rPr>
          <w:rFonts w:asciiTheme="majorBidi" w:hAnsiTheme="majorBidi" w:cstheme="majorBidi"/>
          <w:noProof/>
          <w:lang w:val="en-IE"/>
        </w:rPr>
        <w:t xml:space="preserve">(v) In addition, </w:t>
      </w:r>
      <w:r w:rsidR="004A755F" w:rsidRPr="7E8FC249">
        <w:rPr>
          <w:rFonts w:asciiTheme="majorBidi" w:hAnsiTheme="majorBidi" w:cstheme="majorBidi"/>
          <w:noProof/>
          <w:lang w:val="en-IE"/>
        </w:rPr>
        <w:t xml:space="preserve">further </w:t>
      </w:r>
      <w:r w:rsidRPr="7E8FC249">
        <w:rPr>
          <w:rFonts w:asciiTheme="majorBidi" w:hAnsiTheme="majorBidi" w:cstheme="majorBidi"/>
          <w:noProof/>
        </w:rPr>
        <w:t>codifying cooperation modalities in the Europol and E</w:t>
      </w:r>
      <w:r w:rsidR="7A614BDE" w:rsidRPr="7E8FC249">
        <w:rPr>
          <w:rFonts w:asciiTheme="majorBidi" w:hAnsiTheme="majorBidi" w:cstheme="majorBidi"/>
          <w:noProof/>
        </w:rPr>
        <w:t>JR</w:t>
      </w:r>
      <w:r w:rsidRPr="7E8FC249">
        <w:rPr>
          <w:rFonts w:asciiTheme="majorBidi" w:hAnsiTheme="majorBidi" w:cstheme="majorBidi"/>
          <w:noProof/>
        </w:rPr>
        <w:t>. This would include</w:t>
      </w:r>
      <w:r w:rsidR="00F60854" w:rsidRPr="7E8FC249">
        <w:rPr>
          <w:rFonts w:asciiTheme="majorBidi" w:hAnsiTheme="majorBidi" w:cstheme="majorBidi"/>
          <w:noProof/>
        </w:rPr>
        <w:t xml:space="preserve"> modalities</w:t>
      </w:r>
      <w:r w:rsidR="003C37C6" w:rsidRPr="7E8FC249">
        <w:rPr>
          <w:rFonts w:asciiTheme="majorBidi" w:hAnsiTheme="majorBidi" w:cstheme="majorBidi"/>
          <w:noProof/>
        </w:rPr>
        <w:t xml:space="preserve"> for </w:t>
      </w:r>
      <w:r w:rsidR="00502091" w:rsidRPr="7E8FC249">
        <w:rPr>
          <w:rFonts w:asciiTheme="majorBidi" w:hAnsiTheme="majorBidi" w:cstheme="majorBidi"/>
          <w:noProof/>
        </w:rPr>
        <w:t>sharin</w:t>
      </w:r>
      <w:r w:rsidR="009F44AE" w:rsidRPr="7E8FC249">
        <w:rPr>
          <w:rFonts w:asciiTheme="majorBidi" w:hAnsiTheme="majorBidi" w:cstheme="majorBidi"/>
          <w:noProof/>
        </w:rPr>
        <w:t>g</w:t>
      </w:r>
      <w:r w:rsidR="00502091" w:rsidRPr="7E8FC249">
        <w:rPr>
          <w:rFonts w:asciiTheme="majorBidi" w:hAnsiTheme="majorBidi" w:cstheme="majorBidi"/>
          <w:noProof/>
        </w:rPr>
        <w:t xml:space="preserve"> information</w:t>
      </w:r>
      <w:r w:rsidR="00EC6015" w:rsidRPr="7E8FC249">
        <w:rPr>
          <w:rFonts w:asciiTheme="majorBidi" w:hAnsiTheme="majorBidi" w:cstheme="majorBidi"/>
          <w:noProof/>
        </w:rPr>
        <w:t xml:space="preserve"> </w:t>
      </w:r>
      <w:r w:rsidRPr="7E8FC249">
        <w:rPr>
          <w:rFonts w:asciiTheme="majorBidi" w:hAnsiTheme="majorBidi" w:cstheme="majorBidi"/>
          <w:noProof/>
        </w:rPr>
        <w:t>when Europol-supported Operational Task Forces reach a defined “</w:t>
      </w:r>
      <w:r w:rsidRPr="53544349">
        <w:rPr>
          <w:rFonts w:asciiTheme="majorBidi" w:hAnsiTheme="majorBidi" w:cstheme="majorBidi"/>
          <w:i/>
          <w:iCs/>
          <w:noProof/>
        </w:rPr>
        <w:t>judicial threshold</w:t>
      </w:r>
      <w:r w:rsidRPr="7E8FC249">
        <w:rPr>
          <w:rFonts w:asciiTheme="majorBidi" w:hAnsiTheme="majorBidi" w:cstheme="majorBidi"/>
          <w:noProof/>
        </w:rPr>
        <w:t>”</w:t>
      </w:r>
      <w:r w:rsidR="0071113F">
        <w:rPr>
          <w:rFonts w:asciiTheme="majorBidi" w:hAnsiTheme="majorBidi" w:cstheme="majorBidi"/>
          <w:noProof/>
        </w:rPr>
        <w:t>.</w:t>
      </w:r>
      <w:r w:rsidR="00A63B53" w:rsidRPr="7E8FC249">
        <w:rPr>
          <w:rStyle w:val="FootnoteReference"/>
          <w:rFonts w:asciiTheme="majorBidi" w:hAnsiTheme="majorBidi" w:cstheme="majorBidi"/>
          <w:noProof/>
        </w:rPr>
        <w:footnoteReference w:id="109"/>
      </w:r>
      <w:r w:rsidRPr="7E8FC249">
        <w:rPr>
          <w:rFonts w:asciiTheme="majorBidi" w:hAnsiTheme="majorBidi" w:cstheme="majorBidi"/>
          <w:noProof/>
        </w:rPr>
        <w:t xml:space="preserve"> Reference would be made to the possibility of creating JOPs, </w:t>
      </w:r>
      <w:r w:rsidR="00603AF7" w:rsidRPr="7E8FC249">
        <w:rPr>
          <w:rFonts w:asciiTheme="majorBidi" w:hAnsiTheme="majorBidi" w:cstheme="majorBidi"/>
          <w:noProof/>
        </w:rPr>
        <w:t>which could be exploited</w:t>
      </w:r>
      <w:r w:rsidR="0024308B" w:rsidRPr="7E8FC249">
        <w:rPr>
          <w:rFonts w:asciiTheme="majorBidi" w:hAnsiTheme="majorBidi" w:cstheme="majorBidi"/>
          <w:noProof/>
        </w:rPr>
        <w:t xml:space="preserve"> as a tool for enhanced cooperation.</w:t>
      </w:r>
      <w:r w:rsidR="00E0136C" w:rsidRPr="7E8FC249">
        <w:rPr>
          <w:rFonts w:asciiTheme="majorBidi" w:hAnsiTheme="majorBidi" w:cstheme="majorBidi"/>
          <w:noProof/>
        </w:rPr>
        <w:t xml:space="preserve"> </w:t>
      </w:r>
      <w:r w:rsidR="453F63C0" w:rsidRPr="7E8FC249">
        <w:rPr>
          <w:rFonts w:asciiTheme="majorBidi" w:hAnsiTheme="majorBidi" w:cstheme="majorBidi"/>
          <w:noProof/>
        </w:rPr>
        <w:t>A</w:t>
      </w:r>
      <w:r w:rsidR="00E0136C" w:rsidRPr="7E8FC249">
        <w:rPr>
          <w:rFonts w:asciiTheme="majorBidi" w:hAnsiTheme="majorBidi" w:cstheme="majorBidi"/>
          <w:noProof/>
        </w:rPr>
        <w:t>nalytical support to Eurojust would also be further defined</w:t>
      </w:r>
      <w:r w:rsidR="684AD4DA" w:rsidRPr="7E8FC249">
        <w:rPr>
          <w:rFonts w:asciiTheme="majorBidi" w:hAnsiTheme="majorBidi" w:cstheme="majorBidi"/>
          <w:noProof/>
        </w:rPr>
        <w:t>.</w:t>
      </w:r>
    </w:p>
    <w:p w14:paraId="7C3E8CF3" w14:textId="5CFD1409" w:rsidR="00A63B53" w:rsidRPr="001D6F76" w:rsidRDefault="58233CBD" w:rsidP="00390347">
      <w:pPr>
        <w:pStyle w:val="Heading4"/>
        <w:spacing w:after="120"/>
        <w:ind w:left="567" w:firstLine="0"/>
        <w:rPr>
          <w:rFonts w:asciiTheme="majorBidi" w:hAnsiTheme="majorBidi" w:cstheme="majorBidi"/>
          <w:noProof/>
        </w:rPr>
      </w:pPr>
      <w:bookmarkStart w:id="154" w:name="_Toc232176421"/>
      <w:r w:rsidRPr="00026E9E">
        <w:rPr>
          <w:rStyle w:val="Heading4Char"/>
          <w:noProof/>
        </w:rPr>
        <w:t>5.2.2.</w:t>
      </w:r>
      <w:r w:rsidR="00885529" w:rsidRPr="00026E9E">
        <w:rPr>
          <w:rStyle w:val="Heading4Char"/>
          <w:noProof/>
        </w:rPr>
        <w:t>2</w:t>
      </w:r>
      <w:r w:rsidR="009673B0" w:rsidRPr="001D6F76">
        <w:rPr>
          <w:noProof/>
        </w:rPr>
        <w:tab/>
      </w:r>
      <w:r w:rsidR="16099869" w:rsidRPr="00026E9E">
        <w:rPr>
          <w:rStyle w:val="Heading4Char"/>
          <w:noProof/>
        </w:rPr>
        <w:t xml:space="preserve">Area of intervention </w:t>
      </w:r>
      <w:r w:rsidR="00A56F1B" w:rsidRPr="00026E9E">
        <w:rPr>
          <w:rStyle w:val="Heading4Char"/>
          <w:noProof/>
        </w:rPr>
        <w:t>E</w:t>
      </w:r>
      <w:r w:rsidR="16099869" w:rsidRPr="00026E9E">
        <w:rPr>
          <w:rStyle w:val="Heading4Char"/>
          <w:noProof/>
        </w:rPr>
        <w:t>. Promoting fully developed cooperation with the</w:t>
      </w:r>
      <w:r w:rsidR="16099869" w:rsidRPr="00026E9E">
        <w:rPr>
          <w:rFonts w:asciiTheme="majorBidi" w:hAnsiTheme="majorBidi" w:cstheme="majorBidi"/>
          <w:noProof/>
        </w:rPr>
        <w:t xml:space="preserve"> EPPO</w:t>
      </w:r>
      <w:bookmarkEnd w:id="154"/>
    </w:p>
    <w:p w14:paraId="06B25060" w14:textId="77777777" w:rsidR="00A63B53" w:rsidRPr="00D4396B" w:rsidRDefault="00A63B53" w:rsidP="003B0D3B">
      <w:pPr>
        <w:spacing w:after="120"/>
        <w:rPr>
          <w:rFonts w:asciiTheme="majorBidi" w:hAnsiTheme="majorBidi" w:cstheme="majorBidi"/>
          <w:noProof/>
        </w:rPr>
      </w:pPr>
      <w:r w:rsidRPr="00D4396B">
        <w:rPr>
          <w:rFonts w:asciiTheme="majorBidi" w:hAnsiTheme="majorBidi" w:cstheme="majorBidi"/>
          <w:noProof/>
        </w:rPr>
        <w:t xml:space="preserve">Cooperation between Eurojust and the EPPO has remained largely underdeveloped due to legal and structural constraints. This results in a missed opportunity to fully exploit Eurojust’s support in the area of crimes affecting the financial interests of the Union, often linked with the most serious manifestations of cross-border crime, such as organised crime. These options, within the broader objective of strengthening cooperation with partner agencies and bodies, focus specifically on relations with the </w:t>
      </w:r>
      <w:r w:rsidRPr="00D4396B">
        <w:rPr>
          <w:rFonts w:asciiTheme="majorBidi" w:hAnsiTheme="majorBidi" w:cstheme="majorBidi"/>
          <w:noProof/>
          <w:lang w:val="en-US"/>
        </w:rPr>
        <w:t xml:space="preserve">EPPO </w:t>
      </w:r>
      <w:r w:rsidRPr="00D4396B">
        <w:rPr>
          <w:rFonts w:asciiTheme="majorBidi" w:hAnsiTheme="majorBidi" w:cstheme="majorBidi"/>
          <w:noProof/>
        </w:rPr>
        <w:t>(#9).</w:t>
      </w:r>
    </w:p>
    <w:p w14:paraId="01C21D5D" w14:textId="2FC05F45" w:rsidR="00A63B53" w:rsidRPr="00D4396B" w:rsidRDefault="00B05231" w:rsidP="003B0D3B">
      <w:pPr>
        <w:spacing w:after="120"/>
        <w:rPr>
          <w:rFonts w:asciiTheme="majorBidi" w:hAnsiTheme="majorBidi" w:cstheme="majorBidi"/>
          <w:noProof/>
        </w:rPr>
      </w:pPr>
      <w:r w:rsidRPr="00D4396B">
        <w:rPr>
          <w:rFonts w:asciiTheme="majorBidi" w:hAnsiTheme="majorBidi" w:cstheme="majorBidi"/>
          <w:b/>
          <w:bCs/>
          <w:noProof/>
          <w:u w:val="single"/>
        </w:rPr>
        <w:t>E</w:t>
      </w:r>
      <w:r w:rsidR="00456347" w:rsidRPr="00D4396B">
        <w:rPr>
          <w:rFonts w:asciiTheme="majorBidi" w:hAnsiTheme="majorBidi" w:cstheme="majorBidi"/>
          <w:b/>
          <w:bCs/>
          <w:noProof/>
          <w:u w:val="single"/>
        </w:rPr>
        <w:t>.</w:t>
      </w:r>
      <w:r w:rsidR="00A63B53" w:rsidRPr="00D4396B">
        <w:rPr>
          <w:rFonts w:asciiTheme="majorBidi" w:hAnsiTheme="majorBidi" w:cstheme="majorBidi"/>
          <w:b/>
          <w:bCs/>
          <w:noProof/>
          <w:u w:val="single"/>
        </w:rPr>
        <w:t>PO1:</w:t>
      </w:r>
      <w:r w:rsidR="00A63B53" w:rsidRPr="00D4396B">
        <w:rPr>
          <w:rFonts w:asciiTheme="majorBidi" w:hAnsiTheme="majorBidi" w:cstheme="majorBidi"/>
          <w:noProof/>
        </w:rPr>
        <w:t xml:space="preserve"> Under </w:t>
      </w:r>
      <w:r w:rsidR="00A63B53" w:rsidRPr="00D4396B">
        <w:rPr>
          <w:rFonts w:asciiTheme="majorBidi" w:hAnsiTheme="majorBidi" w:cstheme="majorBidi"/>
          <w:noProof/>
          <w:lang w:val="en-US"/>
        </w:rPr>
        <w:t>this option</w:t>
      </w:r>
      <w:r w:rsidR="00A63B53" w:rsidRPr="00D4396B">
        <w:rPr>
          <w:rFonts w:asciiTheme="majorBidi" w:hAnsiTheme="majorBidi" w:cstheme="majorBidi"/>
          <w:noProof/>
        </w:rPr>
        <w:t xml:space="preserve">, cooperation with the EPPO would be strengthened primarily through structured practice, working arrangements, political encouragement, and </w:t>
      </w:r>
      <w:r w:rsidR="6C79EAB6" w:rsidRPr="6A0A99CE">
        <w:rPr>
          <w:rFonts w:asciiTheme="majorBidi" w:hAnsiTheme="majorBidi" w:cstheme="majorBidi"/>
          <w:noProof/>
        </w:rPr>
        <w:t xml:space="preserve">building </w:t>
      </w:r>
      <w:r w:rsidR="00A63B53" w:rsidRPr="00D4396B">
        <w:rPr>
          <w:rFonts w:asciiTheme="majorBidi" w:hAnsiTheme="majorBidi" w:cstheme="majorBidi"/>
          <w:noProof/>
        </w:rPr>
        <w:t xml:space="preserve">operational </w:t>
      </w:r>
      <w:r w:rsidR="07B273BB" w:rsidRPr="24E5CB0F">
        <w:rPr>
          <w:rFonts w:asciiTheme="majorBidi" w:hAnsiTheme="majorBidi" w:cstheme="majorBidi"/>
          <w:noProof/>
        </w:rPr>
        <w:t>practices</w:t>
      </w:r>
      <w:r w:rsidR="00A63B53" w:rsidRPr="00D4396B">
        <w:rPr>
          <w:rFonts w:asciiTheme="majorBidi" w:hAnsiTheme="majorBidi" w:cstheme="majorBidi"/>
          <w:noProof/>
        </w:rPr>
        <w:t>. Envisaged measures include:</w:t>
      </w:r>
    </w:p>
    <w:p w14:paraId="0EED2BE4" w14:textId="06360463" w:rsidR="00A63B53" w:rsidRPr="00D4396B" w:rsidRDefault="00A63B53" w:rsidP="00010679">
      <w:pPr>
        <w:pStyle w:val="ListParagraph"/>
        <w:spacing w:after="120"/>
        <w:ind w:left="0"/>
        <w:rPr>
          <w:rFonts w:asciiTheme="majorBidi" w:hAnsiTheme="majorBidi" w:cstheme="majorBidi"/>
          <w:noProof/>
        </w:rPr>
      </w:pPr>
      <w:r w:rsidRPr="00D4396B">
        <w:rPr>
          <w:rFonts w:asciiTheme="majorBidi" w:hAnsiTheme="majorBidi" w:cstheme="majorBidi"/>
          <w:noProof/>
        </w:rPr>
        <w:t xml:space="preserve">(i.a) Automatising and optimising the Eurojust-EPPO hit/no-hit system to facilitate link detection (as for Europol, under </w:t>
      </w:r>
      <w:r w:rsidR="00B76C08" w:rsidRPr="00D4396B">
        <w:rPr>
          <w:rFonts w:asciiTheme="majorBidi" w:hAnsiTheme="majorBidi" w:cstheme="majorBidi"/>
          <w:noProof/>
        </w:rPr>
        <w:t>D</w:t>
      </w:r>
      <w:r w:rsidR="00456347" w:rsidRPr="00D4396B">
        <w:rPr>
          <w:rFonts w:asciiTheme="majorBidi" w:hAnsiTheme="majorBidi" w:cstheme="majorBidi"/>
          <w:noProof/>
        </w:rPr>
        <w:t>.</w:t>
      </w:r>
      <w:r w:rsidRPr="00D4396B">
        <w:rPr>
          <w:rFonts w:asciiTheme="majorBidi" w:hAnsiTheme="majorBidi" w:cstheme="majorBidi"/>
          <w:noProof/>
        </w:rPr>
        <w:t>PO1, i.a).</w:t>
      </w:r>
    </w:p>
    <w:p w14:paraId="3BB978A9" w14:textId="340619A1" w:rsidR="00A63B53" w:rsidRPr="00D4396B" w:rsidRDefault="00B05231" w:rsidP="003B0D3B">
      <w:pPr>
        <w:spacing w:after="120"/>
        <w:rPr>
          <w:rFonts w:asciiTheme="majorBidi" w:hAnsiTheme="majorBidi" w:cstheme="majorBidi"/>
          <w:noProof/>
        </w:rPr>
      </w:pPr>
      <w:r w:rsidRPr="00D4396B">
        <w:rPr>
          <w:rFonts w:asciiTheme="majorBidi" w:hAnsiTheme="majorBidi" w:cstheme="majorBidi"/>
          <w:b/>
          <w:bCs/>
          <w:noProof/>
          <w:u w:val="single"/>
        </w:rPr>
        <w:t>E</w:t>
      </w:r>
      <w:r w:rsidR="00456347" w:rsidRPr="00D4396B">
        <w:rPr>
          <w:rFonts w:asciiTheme="majorBidi" w:hAnsiTheme="majorBidi" w:cstheme="majorBidi"/>
          <w:b/>
          <w:bCs/>
          <w:noProof/>
          <w:u w:val="single"/>
        </w:rPr>
        <w:t>.</w:t>
      </w:r>
      <w:r w:rsidR="00A63B53" w:rsidRPr="00D4396B">
        <w:rPr>
          <w:rFonts w:asciiTheme="majorBidi" w:hAnsiTheme="majorBidi" w:cstheme="majorBidi"/>
          <w:b/>
          <w:bCs/>
          <w:noProof/>
          <w:u w:val="single"/>
        </w:rPr>
        <w:t>PO2:</w:t>
      </w:r>
      <w:r w:rsidR="00A63B53" w:rsidRPr="00D4396B">
        <w:rPr>
          <w:rFonts w:asciiTheme="majorBidi" w:hAnsiTheme="majorBidi" w:cstheme="majorBidi"/>
          <w:b/>
          <w:bCs/>
          <w:noProof/>
        </w:rPr>
        <w:t xml:space="preserve"> </w:t>
      </w:r>
      <w:r w:rsidR="00A63B53" w:rsidRPr="00D4396B">
        <w:rPr>
          <w:rFonts w:asciiTheme="majorBidi" w:hAnsiTheme="majorBidi" w:cstheme="majorBidi"/>
          <w:noProof/>
        </w:rPr>
        <w:t>This option seeks to reinforce and structure cooperation between Eurojust and the EPPO through targeted legislative clarification. Rather than relying on practice alone, this option would provide a clearer legal basis for Eurojust’s supportive role in EPPO-related cases, ensuring greater predictability and operational continuity while fully preserving the EPPO’s prosecutorial independence.</w:t>
      </w:r>
      <w:r w:rsidR="00A63B53" w:rsidRPr="00D4396B">
        <w:rPr>
          <w:rFonts w:asciiTheme="majorBidi" w:hAnsiTheme="majorBidi" w:cstheme="majorBidi"/>
          <w:noProof/>
          <w:lang w:val="en-IE"/>
        </w:rPr>
        <w:t xml:space="preserve"> </w:t>
      </w:r>
      <w:r w:rsidR="00A63B53" w:rsidRPr="00D4396B">
        <w:rPr>
          <w:rFonts w:asciiTheme="majorBidi" w:hAnsiTheme="majorBidi" w:cstheme="majorBidi"/>
          <w:noProof/>
        </w:rPr>
        <w:t>The proposed measures include:</w:t>
      </w:r>
    </w:p>
    <w:p w14:paraId="5556CA07" w14:textId="7897BCAA" w:rsidR="00A63B53" w:rsidRPr="00D4396B" w:rsidRDefault="00A63B53" w:rsidP="00010679">
      <w:pPr>
        <w:spacing w:after="120"/>
        <w:rPr>
          <w:rFonts w:asciiTheme="majorBidi" w:hAnsiTheme="majorBidi" w:cstheme="majorBidi"/>
          <w:noProof/>
        </w:rPr>
      </w:pPr>
      <w:r w:rsidRPr="00D4396B">
        <w:rPr>
          <w:rFonts w:asciiTheme="majorBidi" w:hAnsiTheme="majorBidi" w:cstheme="majorBidi"/>
          <w:noProof/>
        </w:rPr>
        <w:t xml:space="preserve">(i.b) Automating and optimising the system of information exchange with the establishment of </w:t>
      </w:r>
      <w:r w:rsidR="1DADB152" w:rsidRPr="00D4396B">
        <w:rPr>
          <w:rFonts w:asciiTheme="majorBidi" w:hAnsiTheme="majorBidi" w:cstheme="majorBidi"/>
          <w:noProof/>
        </w:rPr>
        <w:t>an improved</w:t>
      </w:r>
      <w:r w:rsidRPr="00D4396B">
        <w:rPr>
          <w:rFonts w:asciiTheme="majorBidi" w:hAnsiTheme="majorBidi" w:cstheme="majorBidi"/>
          <w:noProof/>
        </w:rPr>
        <w:t xml:space="preserve"> cross-checking system across JHA agencies</w:t>
      </w:r>
      <w:r w:rsidR="004E4053">
        <w:rPr>
          <w:rFonts w:asciiTheme="majorBidi" w:hAnsiTheme="majorBidi" w:cstheme="majorBidi"/>
          <w:noProof/>
        </w:rPr>
        <w:t xml:space="preserve"> and bodies</w:t>
      </w:r>
      <w:r w:rsidRPr="00D4396B">
        <w:rPr>
          <w:rFonts w:asciiTheme="majorBidi" w:hAnsiTheme="majorBidi" w:cstheme="majorBidi"/>
          <w:noProof/>
        </w:rPr>
        <w:t xml:space="preserve"> paired with the introduction of legal obligations to cooperate and share specific categories of relevant data</w:t>
      </w:r>
      <w:r w:rsidR="47C3049A" w:rsidRPr="00D4396B">
        <w:rPr>
          <w:rFonts w:asciiTheme="majorBidi" w:hAnsiTheme="majorBidi" w:cstheme="majorBidi"/>
          <w:noProof/>
        </w:rPr>
        <w:t xml:space="preserve"> taking into account the specific mandates of each agency in compliance with data protection requirements.</w:t>
      </w:r>
    </w:p>
    <w:p w14:paraId="7D915830" w14:textId="69AA576B" w:rsidR="00A63B53" w:rsidRPr="00D4396B" w:rsidRDefault="3CFCD59B" w:rsidP="7E8FC249">
      <w:pPr>
        <w:spacing w:after="120"/>
        <w:rPr>
          <w:rFonts w:asciiTheme="majorBidi" w:hAnsiTheme="majorBidi" w:cstheme="majorBidi"/>
          <w:noProof/>
        </w:rPr>
      </w:pPr>
      <w:r w:rsidRPr="7E8FC249">
        <w:rPr>
          <w:rFonts w:asciiTheme="majorBidi" w:hAnsiTheme="majorBidi" w:cstheme="majorBidi"/>
          <w:noProof/>
        </w:rPr>
        <w:t>(ii) Introducing an explicit mandate for reinforced Eurojust support in EPPO cases. This provision would clarify Eurojust’s role in facilitating J</w:t>
      </w:r>
      <w:r w:rsidR="7D27C6EA" w:rsidRPr="7E8FC249">
        <w:rPr>
          <w:rFonts w:asciiTheme="majorBidi" w:hAnsiTheme="majorBidi" w:cstheme="majorBidi"/>
          <w:noProof/>
        </w:rPr>
        <w:t>IT</w:t>
      </w:r>
      <w:r w:rsidRPr="7E8FC249">
        <w:rPr>
          <w:rFonts w:asciiTheme="majorBidi" w:hAnsiTheme="majorBidi" w:cstheme="majorBidi"/>
          <w:noProof/>
        </w:rPr>
        <w:t xml:space="preserve">s, </w:t>
      </w:r>
      <w:r w:rsidR="680CA944" w:rsidRPr="7E8FC249">
        <w:rPr>
          <w:rFonts w:asciiTheme="majorBidi" w:hAnsiTheme="majorBidi" w:cstheme="majorBidi"/>
          <w:noProof/>
        </w:rPr>
        <w:t>CM</w:t>
      </w:r>
      <w:r w:rsidRPr="7E8FC249">
        <w:rPr>
          <w:rFonts w:asciiTheme="majorBidi" w:hAnsiTheme="majorBidi" w:cstheme="majorBidi"/>
          <w:noProof/>
        </w:rPr>
        <w:t xml:space="preserve">s, and Action Days in EPPO cases presenting </w:t>
      </w:r>
      <w:r w:rsidR="343988B2" w:rsidRPr="7E8FC249">
        <w:rPr>
          <w:rFonts w:asciiTheme="majorBidi" w:hAnsiTheme="majorBidi" w:cstheme="majorBidi"/>
          <w:noProof/>
        </w:rPr>
        <w:t xml:space="preserve">a judicial interest </w:t>
      </w:r>
      <w:r w:rsidRPr="7E8FC249">
        <w:rPr>
          <w:rFonts w:asciiTheme="majorBidi" w:hAnsiTheme="majorBidi" w:cstheme="majorBidi"/>
          <w:noProof/>
        </w:rPr>
        <w:t xml:space="preserve">beyond the </w:t>
      </w:r>
      <w:r w:rsidR="4B260BBB" w:rsidRPr="7E8FC249">
        <w:rPr>
          <w:rFonts w:asciiTheme="majorBidi" w:hAnsiTheme="majorBidi" w:cstheme="majorBidi"/>
          <w:noProof/>
        </w:rPr>
        <w:t>EPPO</w:t>
      </w:r>
      <w:r w:rsidRPr="7E8FC249">
        <w:rPr>
          <w:rFonts w:asciiTheme="majorBidi" w:hAnsiTheme="majorBidi" w:cstheme="majorBidi"/>
          <w:noProof/>
        </w:rPr>
        <w:t>’s territorial or material competence. The measure would strengthen operational interaction while maintaining the EPPO’s autonomy in prosecutorial decision-making.</w:t>
      </w:r>
    </w:p>
    <w:p w14:paraId="4BF12DFC" w14:textId="226FB332" w:rsidR="00A63B53" w:rsidRPr="00D4396B" w:rsidRDefault="00A63B53" w:rsidP="00010679">
      <w:pPr>
        <w:spacing w:after="120"/>
        <w:rPr>
          <w:rFonts w:asciiTheme="majorBidi" w:hAnsiTheme="majorBidi" w:cstheme="majorBidi"/>
          <w:noProof/>
        </w:rPr>
      </w:pPr>
      <w:r w:rsidRPr="00D4396B">
        <w:rPr>
          <w:rFonts w:asciiTheme="majorBidi" w:hAnsiTheme="majorBidi" w:cstheme="majorBidi"/>
          <w:noProof/>
        </w:rPr>
        <w:t xml:space="preserve">(iii) Enhancing mutual involvement in partners’ activities through the introduction of a legal obligation requiring that EPPO liaison officers </w:t>
      </w:r>
      <w:r w:rsidR="00400DB4">
        <w:rPr>
          <w:rFonts w:asciiTheme="majorBidi" w:hAnsiTheme="majorBidi" w:cstheme="majorBidi"/>
          <w:noProof/>
        </w:rPr>
        <w:t xml:space="preserve">are regularly invited to </w:t>
      </w:r>
      <w:r w:rsidR="68D2810E" w:rsidRPr="00D4396B">
        <w:rPr>
          <w:rFonts w:asciiTheme="majorBidi" w:hAnsiTheme="majorBidi" w:cstheme="majorBidi"/>
          <w:noProof/>
        </w:rPr>
        <w:t>meetings of</w:t>
      </w:r>
      <w:r w:rsidRPr="00D4396B">
        <w:rPr>
          <w:rFonts w:asciiTheme="majorBidi" w:hAnsiTheme="majorBidi" w:cstheme="majorBidi"/>
          <w:noProof/>
        </w:rPr>
        <w:t xml:space="preserve"> the Eurojust College when matters of common interest are discussed.</w:t>
      </w:r>
    </w:p>
    <w:p w14:paraId="7E7E02D2" w14:textId="72A0BD55" w:rsidR="00A63B53" w:rsidRPr="00D4396B" w:rsidRDefault="00B05231" w:rsidP="003B0D3B">
      <w:pPr>
        <w:spacing w:after="120"/>
        <w:rPr>
          <w:rFonts w:asciiTheme="majorBidi" w:hAnsiTheme="majorBidi" w:cstheme="majorBidi"/>
          <w:noProof/>
        </w:rPr>
      </w:pPr>
      <w:r w:rsidRPr="00D4396B">
        <w:rPr>
          <w:rFonts w:asciiTheme="majorBidi" w:hAnsiTheme="majorBidi" w:cstheme="majorBidi"/>
          <w:b/>
          <w:bCs/>
          <w:noProof/>
          <w:u w:val="single"/>
        </w:rPr>
        <w:t>E</w:t>
      </w:r>
      <w:r w:rsidR="00E7370C" w:rsidRPr="00D4396B">
        <w:rPr>
          <w:rFonts w:asciiTheme="majorBidi" w:hAnsiTheme="majorBidi" w:cstheme="majorBidi"/>
          <w:b/>
          <w:bCs/>
          <w:noProof/>
          <w:u w:val="single"/>
        </w:rPr>
        <w:t>.</w:t>
      </w:r>
      <w:r w:rsidR="00A63B53" w:rsidRPr="00D4396B">
        <w:rPr>
          <w:rFonts w:asciiTheme="majorBidi" w:hAnsiTheme="majorBidi" w:cstheme="majorBidi"/>
          <w:b/>
          <w:bCs/>
          <w:noProof/>
          <w:u w:val="single"/>
        </w:rPr>
        <w:t>PO3:</w:t>
      </w:r>
      <w:r w:rsidR="00A63B53" w:rsidRPr="00D4396B">
        <w:rPr>
          <w:rFonts w:asciiTheme="majorBidi" w:hAnsiTheme="majorBidi" w:cstheme="majorBidi"/>
          <w:noProof/>
          <w:u w:val="single"/>
        </w:rPr>
        <w:t xml:space="preserve"> </w:t>
      </w:r>
      <w:r w:rsidR="00A63B53" w:rsidRPr="00D4396B">
        <w:rPr>
          <w:rFonts w:asciiTheme="majorBidi" w:hAnsiTheme="majorBidi" w:cstheme="majorBidi"/>
          <w:noProof/>
        </w:rPr>
        <w:t>This option represents a further step towards a more integrated framework for Eurojust</w:t>
      </w:r>
      <w:r w:rsidR="00A63B53" w:rsidRPr="00D4396B">
        <w:rPr>
          <w:rFonts w:asciiTheme="majorBidi" w:hAnsiTheme="majorBidi" w:cstheme="majorBidi"/>
          <w:noProof/>
          <w:lang w:val="en-US"/>
        </w:rPr>
        <w:t>-</w:t>
      </w:r>
      <w:r w:rsidR="00A63B53" w:rsidRPr="00D4396B">
        <w:rPr>
          <w:rFonts w:asciiTheme="majorBidi" w:hAnsiTheme="majorBidi" w:cstheme="majorBidi"/>
          <w:noProof/>
        </w:rPr>
        <w:t>EPPO cooperation, moving beyond structured interaction to establish more systematic operational linkages supported by clearly defined reciprocal rights and duties regarding information exchange and coordination.</w:t>
      </w:r>
      <w:r w:rsidR="00A63B53" w:rsidRPr="00D4396B">
        <w:rPr>
          <w:rFonts w:asciiTheme="majorBidi" w:hAnsiTheme="majorBidi" w:cstheme="majorBidi"/>
          <w:noProof/>
          <w:lang w:val="en-IE"/>
        </w:rPr>
        <w:t xml:space="preserve"> </w:t>
      </w:r>
      <w:r w:rsidR="00A63B53" w:rsidRPr="00D4396B">
        <w:rPr>
          <w:rFonts w:asciiTheme="majorBidi" w:hAnsiTheme="majorBidi" w:cstheme="majorBidi"/>
          <w:noProof/>
        </w:rPr>
        <w:t>The following cumulative measures are envisaged:</w:t>
      </w:r>
    </w:p>
    <w:p w14:paraId="433F302B" w14:textId="27D2E229" w:rsidR="00A63B53" w:rsidRPr="00D4396B" w:rsidRDefault="00A63B53" w:rsidP="00010679">
      <w:pPr>
        <w:spacing w:after="120"/>
        <w:rPr>
          <w:rFonts w:asciiTheme="majorBidi" w:hAnsiTheme="majorBidi" w:cstheme="majorBidi"/>
          <w:noProof/>
        </w:rPr>
      </w:pPr>
      <w:r w:rsidRPr="00D4396B">
        <w:rPr>
          <w:rFonts w:asciiTheme="majorBidi" w:hAnsiTheme="majorBidi" w:cstheme="majorBidi"/>
          <w:noProof/>
        </w:rPr>
        <w:t xml:space="preserve">(i.b), (ii), (iii) </w:t>
      </w:r>
      <w:r w:rsidRPr="00D4396B">
        <w:rPr>
          <w:rFonts w:asciiTheme="majorBidi" w:hAnsiTheme="majorBidi" w:cstheme="majorBidi"/>
          <w:noProof/>
          <w:lang w:val="en-IE"/>
        </w:rPr>
        <w:t xml:space="preserve">Implementing </w:t>
      </w:r>
      <w:r w:rsidR="6F190415" w:rsidRPr="00D4396B">
        <w:rPr>
          <w:rFonts w:asciiTheme="majorBidi" w:hAnsiTheme="majorBidi" w:cstheme="majorBidi"/>
          <w:noProof/>
          <w:lang w:val="en-IE"/>
        </w:rPr>
        <w:t>an</w:t>
      </w:r>
      <w:r w:rsidRPr="00D4396B">
        <w:rPr>
          <w:rFonts w:asciiTheme="majorBidi" w:hAnsiTheme="majorBidi" w:cstheme="majorBidi"/>
          <w:noProof/>
          <w:lang w:val="en-IE"/>
        </w:rPr>
        <w:t xml:space="preserve"> </w:t>
      </w:r>
      <w:r w:rsidR="00111230" w:rsidRPr="00D4396B">
        <w:rPr>
          <w:rFonts w:asciiTheme="majorBidi" w:hAnsiTheme="majorBidi" w:cstheme="majorBidi"/>
          <w:noProof/>
          <w:lang w:val="en-IE"/>
        </w:rPr>
        <w:t>automated</w:t>
      </w:r>
      <w:r w:rsidR="00D10EB2" w:rsidRPr="00D4396B">
        <w:rPr>
          <w:rFonts w:asciiTheme="majorBidi" w:hAnsiTheme="majorBidi" w:cstheme="majorBidi"/>
          <w:noProof/>
          <w:lang w:val="en-IE"/>
        </w:rPr>
        <w:t xml:space="preserve"> hit/no-hit system</w:t>
      </w:r>
      <w:r w:rsidRPr="00D4396B">
        <w:rPr>
          <w:rFonts w:asciiTheme="majorBidi" w:hAnsiTheme="majorBidi" w:cstheme="majorBidi"/>
          <w:noProof/>
          <w:lang w:val="en-IE"/>
        </w:rPr>
        <w:t xml:space="preserve">, entrusting Eurojust with a specific mandate for reinforced support to </w:t>
      </w:r>
      <w:r w:rsidR="00B97C3E">
        <w:rPr>
          <w:rFonts w:asciiTheme="majorBidi" w:hAnsiTheme="majorBidi" w:cstheme="majorBidi"/>
          <w:noProof/>
          <w:lang w:val="en-IE"/>
        </w:rPr>
        <w:t xml:space="preserve">the </w:t>
      </w:r>
      <w:r w:rsidRPr="00D4396B">
        <w:rPr>
          <w:rFonts w:asciiTheme="majorBidi" w:hAnsiTheme="majorBidi" w:cstheme="majorBidi"/>
          <w:noProof/>
          <w:lang w:val="en-IE"/>
        </w:rPr>
        <w:t xml:space="preserve">EPPO </w:t>
      </w:r>
      <w:r w:rsidR="328FDD5D" w:rsidRPr="00D4396B">
        <w:rPr>
          <w:rFonts w:asciiTheme="majorBidi" w:hAnsiTheme="majorBidi" w:cstheme="majorBidi"/>
          <w:noProof/>
          <w:lang w:val="en-IE"/>
        </w:rPr>
        <w:t xml:space="preserve">in the area of judicial cooperation </w:t>
      </w:r>
      <w:r w:rsidRPr="00D4396B">
        <w:rPr>
          <w:rFonts w:asciiTheme="majorBidi" w:hAnsiTheme="majorBidi" w:cstheme="majorBidi"/>
          <w:noProof/>
          <w:lang w:val="en-IE"/>
        </w:rPr>
        <w:t>and granting participation in College meeting</w:t>
      </w:r>
      <w:r w:rsidR="515DF9B8" w:rsidRPr="00D4396B">
        <w:rPr>
          <w:rFonts w:asciiTheme="majorBidi" w:hAnsiTheme="majorBidi" w:cstheme="majorBidi"/>
          <w:noProof/>
          <w:lang w:val="en-IE"/>
        </w:rPr>
        <w:t>s</w:t>
      </w:r>
      <w:r w:rsidRPr="00D4396B">
        <w:rPr>
          <w:rFonts w:asciiTheme="majorBidi" w:hAnsiTheme="majorBidi" w:cstheme="majorBidi"/>
          <w:noProof/>
          <w:lang w:val="en-IE"/>
        </w:rPr>
        <w:t xml:space="preserve"> to </w:t>
      </w:r>
      <w:r w:rsidR="00B97C3E">
        <w:rPr>
          <w:rFonts w:asciiTheme="majorBidi" w:hAnsiTheme="majorBidi" w:cstheme="majorBidi"/>
          <w:noProof/>
          <w:lang w:val="en-IE"/>
        </w:rPr>
        <w:t xml:space="preserve">the </w:t>
      </w:r>
      <w:r w:rsidRPr="00D4396B">
        <w:rPr>
          <w:rFonts w:asciiTheme="majorBidi" w:hAnsiTheme="majorBidi" w:cstheme="majorBidi"/>
          <w:noProof/>
          <w:lang w:val="en-IE"/>
        </w:rPr>
        <w:t>EPPO representative</w:t>
      </w:r>
      <w:r w:rsidR="00D10EB2" w:rsidRPr="00D4396B">
        <w:rPr>
          <w:rFonts w:asciiTheme="majorBidi" w:hAnsiTheme="majorBidi" w:cstheme="majorBidi"/>
          <w:noProof/>
          <w:lang w:val="en-IE"/>
        </w:rPr>
        <w:t>s</w:t>
      </w:r>
      <w:r w:rsidRPr="00D4396B">
        <w:rPr>
          <w:rFonts w:asciiTheme="majorBidi" w:hAnsiTheme="majorBidi" w:cstheme="majorBidi"/>
          <w:noProof/>
          <w:lang w:val="en-IE"/>
        </w:rPr>
        <w:t xml:space="preserve"> as outlined under </w:t>
      </w:r>
      <w:r w:rsidR="00B05231" w:rsidRPr="00D4396B">
        <w:rPr>
          <w:rFonts w:asciiTheme="majorBidi" w:hAnsiTheme="majorBidi" w:cstheme="majorBidi"/>
          <w:noProof/>
          <w:lang w:val="en-IE"/>
        </w:rPr>
        <w:t>E</w:t>
      </w:r>
      <w:r w:rsidR="00E7370C" w:rsidRPr="00D4396B">
        <w:rPr>
          <w:rFonts w:asciiTheme="majorBidi" w:hAnsiTheme="majorBidi" w:cstheme="majorBidi"/>
          <w:noProof/>
          <w:lang w:val="en-IE"/>
        </w:rPr>
        <w:t>.</w:t>
      </w:r>
      <w:r w:rsidRPr="00D4396B">
        <w:rPr>
          <w:rFonts w:asciiTheme="majorBidi" w:hAnsiTheme="majorBidi" w:cstheme="majorBidi"/>
          <w:noProof/>
          <w:lang w:val="en-IE"/>
        </w:rPr>
        <w:t>PO2.</w:t>
      </w:r>
    </w:p>
    <w:p w14:paraId="6A27C174" w14:textId="77777777" w:rsidR="00A63B53" w:rsidRPr="00D4396B" w:rsidRDefault="00A63B53" w:rsidP="00010679">
      <w:pPr>
        <w:spacing w:after="120"/>
        <w:rPr>
          <w:rFonts w:asciiTheme="majorBidi" w:hAnsiTheme="majorBidi" w:cstheme="majorBidi"/>
          <w:noProof/>
        </w:rPr>
      </w:pPr>
      <w:r w:rsidRPr="00D4396B">
        <w:rPr>
          <w:rFonts w:asciiTheme="majorBidi" w:hAnsiTheme="majorBidi" w:cstheme="majorBidi"/>
          <w:noProof/>
        </w:rPr>
        <w:t>(iv) In addition, establishing an EPPO-Eurojust clearing-house mechanism, providing a structured platform to identify overlaps, allocate coordination roles, and manage spill-over effects. This mechanism would help reduce duplication, clarify responsibilities, and address legal or procedural uncertainties arising in complex cross-border cases.</w:t>
      </w:r>
    </w:p>
    <w:p w14:paraId="2577F1C7" w14:textId="651BFA2B" w:rsidR="00A63B53" w:rsidRPr="00026E9E" w:rsidRDefault="0D7CF240" w:rsidP="00026E9E">
      <w:pPr>
        <w:pStyle w:val="Heading4"/>
        <w:ind w:left="567" w:firstLine="0"/>
        <w:rPr>
          <w:noProof/>
        </w:rPr>
      </w:pPr>
      <w:bookmarkStart w:id="155" w:name="_Toc232176422"/>
      <w:r w:rsidRPr="00026E9E">
        <w:rPr>
          <w:noProof/>
        </w:rPr>
        <w:t>5.2.2.</w:t>
      </w:r>
      <w:r w:rsidR="00885529" w:rsidRPr="00026E9E">
        <w:rPr>
          <w:noProof/>
        </w:rPr>
        <w:t>3</w:t>
      </w:r>
      <w:r w:rsidR="009673B0" w:rsidRPr="001D6F76">
        <w:rPr>
          <w:noProof/>
        </w:rPr>
        <w:tab/>
      </w:r>
      <w:r w:rsidR="16099869" w:rsidRPr="00026E9E">
        <w:rPr>
          <w:noProof/>
        </w:rPr>
        <w:t xml:space="preserve">Area of intervention </w:t>
      </w:r>
      <w:r w:rsidR="00885529" w:rsidRPr="00026E9E">
        <w:rPr>
          <w:noProof/>
        </w:rPr>
        <w:t>F</w:t>
      </w:r>
      <w:r w:rsidR="16099869" w:rsidRPr="00026E9E">
        <w:rPr>
          <w:noProof/>
        </w:rPr>
        <w:t>. Consolidating cooperation with third countries and international organisations</w:t>
      </w:r>
      <w:bookmarkEnd w:id="155"/>
    </w:p>
    <w:p w14:paraId="05832521" w14:textId="4AD588B8" w:rsidR="00A63B53" w:rsidRPr="00D4396B" w:rsidRDefault="198AE790" w:rsidP="5E05A023">
      <w:pPr>
        <w:spacing w:after="120"/>
        <w:rPr>
          <w:rFonts w:asciiTheme="majorBidi" w:hAnsiTheme="majorBidi" w:cstheme="majorBidi"/>
          <w:noProof/>
        </w:rPr>
      </w:pPr>
      <w:r w:rsidRPr="00D4396B">
        <w:rPr>
          <w:rFonts w:asciiTheme="majorBidi" w:hAnsiTheme="majorBidi" w:cstheme="majorBidi"/>
          <w:noProof/>
        </w:rPr>
        <w:t xml:space="preserve">The </w:t>
      </w:r>
      <w:r w:rsidR="35B6E8D3" w:rsidRPr="00D4396B">
        <w:rPr>
          <w:rFonts w:asciiTheme="majorBidi" w:hAnsiTheme="majorBidi" w:cstheme="majorBidi"/>
          <w:noProof/>
        </w:rPr>
        <w:t>negotiation and</w:t>
      </w:r>
      <w:r w:rsidRPr="00D4396B">
        <w:rPr>
          <w:rFonts w:asciiTheme="majorBidi" w:hAnsiTheme="majorBidi" w:cstheme="majorBidi"/>
          <w:noProof/>
        </w:rPr>
        <w:t xml:space="preserve"> conclusion of </w:t>
      </w:r>
      <w:r w:rsidR="4E4EEC4E" w:rsidRPr="00D4396B">
        <w:rPr>
          <w:rFonts w:asciiTheme="majorBidi" w:hAnsiTheme="majorBidi" w:cstheme="majorBidi"/>
          <w:noProof/>
        </w:rPr>
        <w:t>i</w:t>
      </w:r>
      <w:r w:rsidR="3F484ECD" w:rsidRPr="00D4396B">
        <w:rPr>
          <w:rFonts w:asciiTheme="majorBidi" w:hAnsiTheme="majorBidi" w:cstheme="majorBidi"/>
          <w:noProof/>
        </w:rPr>
        <w:t xml:space="preserve">nternational </w:t>
      </w:r>
      <w:r w:rsidRPr="00D4396B">
        <w:rPr>
          <w:rFonts w:asciiTheme="majorBidi" w:hAnsiTheme="majorBidi" w:cstheme="majorBidi"/>
          <w:noProof/>
        </w:rPr>
        <w:t xml:space="preserve">agreements </w:t>
      </w:r>
      <w:r w:rsidR="3F484ECD" w:rsidRPr="00D4396B">
        <w:rPr>
          <w:rFonts w:asciiTheme="majorBidi" w:hAnsiTheme="majorBidi" w:cstheme="majorBidi"/>
          <w:noProof/>
        </w:rPr>
        <w:t xml:space="preserve">between the EU and </w:t>
      </w:r>
      <w:r w:rsidRPr="00D4396B">
        <w:rPr>
          <w:rFonts w:asciiTheme="majorBidi" w:hAnsiTheme="majorBidi" w:cstheme="majorBidi"/>
          <w:noProof/>
        </w:rPr>
        <w:t xml:space="preserve">third countries </w:t>
      </w:r>
      <w:r w:rsidR="4602F2D2" w:rsidRPr="00D4396B">
        <w:rPr>
          <w:rFonts w:asciiTheme="majorBidi" w:hAnsiTheme="majorBidi" w:cstheme="majorBidi"/>
          <w:noProof/>
        </w:rPr>
        <w:t xml:space="preserve">or </w:t>
      </w:r>
      <w:r w:rsidRPr="00D4396B">
        <w:rPr>
          <w:rFonts w:asciiTheme="majorBidi" w:hAnsiTheme="majorBidi" w:cstheme="majorBidi"/>
          <w:noProof/>
        </w:rPr>
        <w:t xml:space="preserve">international </w:t>
      </w:r>
      <w:r w:rsidR="26DD1517" w:rsidRPr="00D4396B">
        <w:rPr>
          <w:rFonts w:asciiTheme="majorBidi" w:hAnsiTheme="majorBidi" w:cstheme="majorBidi"/>
          <w:noProof/>
        </w:rPr>
        <w:t>organisations</w:t>
      </w:r>
      <w:r w:rsidR="1A45BBCC" w:rsidRPr="00D4396B">
        <w:rPr>
          <w:rFonts w:asciiTheme="majorBidi" w:hAnsiTheme="majorBidi" w:cstheme="majorBidi"/>
          <w:noProof/>
        </w:rPr>
        <w:t xml:space="preserve"> on the judicial cooperation with Eurojust </w:t>
      </w:r>
      <w:r w:rsidRPr="00D4396B">
        <w:rPr>
          <w:rFonts w:asciiTheme="majorBidi" w:hAnsiTheme="majorBidi" w:cstheme="majorBidi"/>
          <w:noProof/>
        </w:rPr>
        <w:t xml:space="preserve">is inherently complex and time-consuming. By its nature, this process may struggle to keep pace with the evolving dynamics of transnational criminal phenomena (#10). The proposed measures therefore aim to enable Eurojust to cooperate as effectively as possible with priority partner countries pending the conclusion of formal </w:t>
      </w:r>
      <w:r w:rsidR="1186E756" w:rsidRPr="00D4396B">
        <w:rPr>
          <w:rFonts w:asciiTheme="majorBidi" w:hAnsiTheme="majorBidi" w:cstheme="majorBidi"/>
          <w:noProof/>
        </w:rPr>
        <w:t>internation</w:t>
      </w:r>
      <w:r w:rsidRPr="00D4396B">
        <w:rPr>
          <w:rFonts w:asciiTheme="majorBidi" w:hAnsiTheme="majorBidi" w:cstheme="majorBidi"/>
          <w:noProof/>
        </w:rPr>
        <w:t>al agreements.</w:t>
      </w:r>
    </w:p>
    <w:p w14:paraId="1334218E" w14:textId="5ADF98C5" w:rsidR="00A63B53" w:rsidRPr="00D4396B" w:rsidRDefault="00F21953" w:rsidP="5E05A023">
      <w:pPr>
        <w:spacing w:after="120"/>
        <w:rPr>
          <w:rFonts w:asciiTheme="majorBidi" w:hAnsiTheme="majorBidi" w:cstheme="majorBidi"/>
          <w:noProof/>
        </w:rPr>
      </w:pPr>
      <w:r w:rsidRPr="00D4396B">
        <w:rPr>
          <w:rFonts w:asciiTheme="majorBidi" w:hAnsiTheme="majorBidi" w:cstheme="majorBidi"/>
          <w:b/>
          <w:bCs/>
          <w:noProof/>
          <w:u w:val="single"/>
        </w:rPr>
        <w:t>F</w:t>
      </w:r>
      <w:r w:rsidR="727B39AD" w:rsidRPr="00D4396B">
        <w:rPr>
          <w:rFonts w:asciiTheme="majorBidi" w:hAnsiTheme="majorBidi" w:cstheme="majorBidi"/>
          <w:b/>
          <w:bCs/>
          <w:noProof/>
          <w:u w:val="single"/>
        </w:rPr>
        <w:t>.</w:t>
      </w:r>
      <w:r w:rsidR="198AE790" w:rsidRPr="00D4396B">
        <w:rPr>
          <w:rFonts w:asciiTheme="majorBidi" w:hAnsiTheme="majorBidi" w:cstheme="majorBidi"/>
          <w:b/>
          <w:bCs/>
          <w:noProof/>
          <w:u w:val="single"/>
        </w:rPr>
        <w:t>PO1:</w:t>
      </w:r>
      <w:r w:rsidR="198AE790" w:rsidRPr="00D4396B">
        <w:rPr>
          <w:rFonts w:asciiTheme="majorBidi" w:hAnsiTheme="majorBidi" w:cstheme="majorBidi"/>
          <w:noProof/>
        </w:rPr>
        <w:t xml:space="preserve"> </w:t>
      </w:r>
      <w:r w:rsidR="198AE790" w:rsidRPr="00D4396B">
        <w:rPr>
          <w:rFonts w:asciiTheme="majorBidi" w:hAnsiTheme="majorBidi" w:cstheme="majorBidi"/>
          <w:noProof/>
          <w:lang w:val="en-US"/>
        </w:rPr>
        <w:t>This option</w:t>
      </w:r>
      <w:r w:rsidR="198AE790" w:rsidRPr="00D4396B">
        <w:rPr>
          <w:rFonts w:asciiTheme="majorBidi" w:hAnsiTheme="majorBidi" w:cstheme="majorBidi"/>
          <w:noProof/>
        </w:rPr>
        <w:t xml:space="preserve"> aims at fostering stronger and more reliable cooperation through non-legislative means, encouraging operational interaction with third</w:t>
      </w:r>
      <w:r w:rsidR="00B46809">
        <w:rPr>
          <w:rFonts w:asciiTheme="majorBidi" w:hAnsiTheme="majorBidi" w:cstheme="majorBidi"/>
          <w:noProof/>
        </w:rPr>
        <w:t xml:space="preserve"> country</w:t>
      </w:r>
      <w:r w:rsidR="198AE790" w:rsidRPr="00D4396B">
        <w:rPr>
          <w:rFonts w:asciiTheme="majorBidi" w:hAnsiTheme="majorBidi" w:cstheme="majorBidi"/>
          <w:noProof/>
        </w:rPr>
        <w:t xml:space="preserve"> partners. It would promote convergence in legal frameworks, institutional practices, and operational standards, thereby reducing practical barriers to cooperation.</w:t>
      </w:r>
      <w:r w:rsidR="198AE790" w:rsidRPr="00D4396B">
        <w:rPr>
          <w:rFonts w:asciiTheme="majorBidi" w:hAnsiTheme="majorBidi" w:cstheme="majorBidi"/>
          <w:noProof/>
          <w:lang w:val="en-IE"/>
        </w:rPr>
        <w:t xml:space="preserve"> </w:t>
      </w:r>
      <w:r w:rsidR="198AE790" w:rsidRPr="00D4396B">
        <w:rPr>
          <w:rFonts w:asciiTheme="majorBidi" w:hAnsiTheme="majorBidi" w:cstheme="majorBidi"/>
          <w:noProof/>
        </w:rPr>
        <w:t xml:space="preserve">This option includes the following measure – which constitutes a minimum measure common to </w:t>
      </w:r>
      <w:r w:rsidRPr="00D4396B">
        <w:rPr>
          <w:rFonts w:asciiTheme="majorBidi" w:hAnsiTheme="majorBidi" w:cstheme="majorBidi"/>
          <w:noProof/>
        </w:rPr>
        <w:t>F</w:t>
      </w:r>
      <w:r w:rsidR="727B39AD" w:rsidRPr="00D4396B">
        <w:rPr>
          <w:rFonts w:asciiTheme="majorBidi" w:hAnsiTheme="majorBidi" w:cstheme="majorBidi"/>
          <w:noProof/>
        </w:rPr>
        <w:t>.</w:t>
      </w:r>
      <w:r w:rsidR="198AE790" w:rsidRPr="00D4396B">
        <w:rPr>
          <w:rFonts w:asciiTheme="majorBidi" w:hAnsiTheme="majorBidi" w:cstheme="majorBidi"/>
          <w:noProof/>
        </w:rPr>
        <w:t xml:space="preserve">PO2 and </w:t>
      </w:r>
      <w:r w:rsidRPr="00D4396B">
        <w:rPr>
          <w:rFonts w:asciiTheme="majorBidi" w:hAnsiTheme="majorBidi" w:cstheme="majorBidi"/>
          <w:noProof/>
        </w:rPr>
        <w:t>F</w:t>
      </w:r>
      <w:r w:rsidR="727B39AD" w:rsidRPr="00D4396B">
        <w:rPr>
          <w:rFonts w:asciiTheme="majorBidi" w:hAnsiTheme="majorBidi" w:cstheme="majorBidi"/>
          <w:noProof/>
        </w:rPr>
        <w:t>.</w:t>
      </w:r>
      <w:r w:rsidR="198AE790" w:rsidRPr="00D4396B">
        <w:rPr>
          <w:rFonts w:asciiTheme="majorBidi" w:hAnsiTheme="majorBidi" w:cstheme="majorBidi"/>
          <w:noProof/>
        </w:rPr>
        <w:t>PO3:</w:t>
      </w:r>
    </w:p>
    <w:p w14:paraId="51F811C3" w14:textId="17E88107" w:rsidR="00A63B53" w:rsidRPr="00D4396B" w:rsidRDefault="00A63B53" w:rsidP="00010679">
      <w:pPr>
        <w:spacing w:after="120"/>
        <w:rPr>
          <w:rFonts w:asciiTheme="majorBidi" w:hAnsiTheme="majorBidi" w:cstheme="majorBidi"/>
          <w:noProof/>
        </w:rPr>
      </w:pPr>
      <w:r w:rsidRPr="00D4396B">
        <w:rPr>
          <w:rFonts w:asciiTheme="majorBidi" w:hAnsiTheme="majorBidi" w:cstheme="majorBidi"/>
          <w:noProof/>
        </w:rPr>
        <w:t xml:space="preserve">(i) </w:t>
      </w:r>
      <w:r w:rsidR="629104BF" w:rsidRPr="00D4396B">
        <w:rPr>
          <w:rFonts w:asciiTheme="majorBidi" w:hAnsiTheme="majorBidi" w:cstheme="majorBidi"/>
          <w:noProof/>
        </w:rPr>
        <w:t xml:space="preserve">Mainstreaming the inclusion of </w:t>
      </w:r>
      <w:r w:rsidRPr="00D4396B">
        <w:rPr>
          <w:rFonts w:asciiTheme="majorBidi" w:hAnsiTheme="majorBidi" w:cstheme="majorBidi"/>
          <w:noProof/>
        </w:rPr>
        <w:t xml:space="preserve">cooperation </w:t>
      </w:r>
      <w:r w:rsidR="6390B20C" w:rsidRPr="00D4396B">
        <w:rPr>
          <w:rFonts w:asciiTheme="majorBidi" w:hAnsiTheme="majorBidi" w:cstheme="majorBidi"/>
          <w:noProof/>
        </w:rPr>
        <w:t>commitments</w:t>
      </w:r>
      <w:r w:rsidRPr="00D4396B">
        <w:rPr>
          <w:rFonts w:asciiTheme="majorBidi" w:hAnsiTheme="majorBidi" w:cstheme="majorBidi"/>
          <w:noProof/>
        </w:rPr>
        <w:t xml:space="preserve"> in </w:t>
      </w:r>
      <w:r w:rsidR="00625DF2" w:rsidRPr="00D4396B">
        <w:rPr>
          <w:rFonts w:asciiTheme="majorBidi" w:hAnsiTheme="majorBidi" w:cstheme="majorBidi"/>
          <w:noProof/>
        </w:rPr>
        <w:t xml:space="preserve">international </w:t>
      </w:r>
      <w:r w:rsidRPr="00D4396B">
        <w:rPr>
          <w:rFonts w:asciiTheme="majorBidi" w:hAnsiTheme="majorBidi" w:cstheme="majorBidi"/>
          <w:noProof/>
        </w:rPr>
        <w:t xml:space="preserve">agreements </w:t>
      </w:r>
      <w:r w:rsidR="648812A7" w:rsidRPr="00D4396B">
        <w:rPr>
          <w:rFonts w:asciiTheme="majorBidi" w:hAnsiTheme="majorBidi" w:cstheme="majorBidi"/>
          <w:noProof/>
        </w:rPr>
        <w:t>and other relevant instruments</w:t>
      </w:r>
      <w:r w:rsidRPr="00D4396B">
        <w:rPr>
          <w:rFonts w:asciiTheme="majorBidi" w:hAnsiTheme="majorBidi" w:cstheme="majorBidi"/>
          <w:noProof/>
        </w:rPr>
        <w:t xml:space="preserve"> with third countries. Third countries would be encouraged to engage more actively with Eurojust, align their practices with EU standards, and make effective use of available cooperation tools by mean</w:t>
      </w:r>
      <w:r w:rsidR="27B2C834" w:rsidRPr="00D4396B">
        <w:rPr>
          <w:rFonts w:asciiTheme="majorBidi" w:hAnsiTheme="majorBidi" w:cstheme="majorBidi"/>
          <w:noProof/>
        </w:rPr>
        <w:t>s</w:t>
      </w:r>
      <w:r w:rsidRPr="00D4396B">
        <w:rPr>
          <w:rFonts w:asciiTheme="majorBidi" w:hAnsiTheme="majorBidi" w:cstheme="majorBidi"/>
          <w:noProof/>
        </w:rPr>
        <w:t xml:space="preserve"> of </w:t>
      </w:r>
      <w:r w:rsidR="36565FBD" w:rsidRPr="00D4396B">
        <w:rPr>
          <w:rFonts w:asciiTheme="majorBidi" w:hAnsiTheme="majorBidi" w:cstheme="majorBidi"/>
          <w:noProof/>
        </w:rPr>
        <w:t>political and</w:t>
      </w:r>
      <w:r w:rsidRPr="00D4396B">
        <w:rPr>
          <w:rFonts w:asciiTheme="majorBidi" w:hAnsiTheme="majorBidi" w:cstheme="majorBidi"/>
          <w:noProof/>
        </w:rPr>
        <w:t xml:space="preserve"> economic incentives.</w:t>
      </w:r>
    </w:p>
    <w:p w14:paraId="34CE4320" w14:textId="678BBD42" w:rsidR="00A63B53" w:rsidRPr="00D4396B" w:rsidRDefault="00F21953" w:rsidP="5E05A023">
      <w:pPr>
        <w:spacing w:after="120"/>
        <w:rPr>
          <w:rFonts w:asciiTheme="majorBidi" w:hAnsiTheme="majorBidi" w:cstheme="majorBidi"/>
          <w:noProof/>
        </w:rPr>
      </w:pPr>
      <w:r w:rsidRPr="00D4396B">
        <w:rPr>
          <w:rFonts w:asciiTheme="majorBidi" w:hAnsiTheme="majorBidi" w:cstheme="majorBidi"/>
          <w:b/>
          <w:bCs/>
          <w:noProof/>
          <w:u w:val="single"/>
        </w:rPr>
        <w:t>F</w:t>
      </w:r>
      <w:r w:rsidR="727B39AD" w:rsidRPr="00D4396B">
        <w:rPr>
          <w:rFonts w:asciiTheme="majorBidi" w:hAnsiTheme="majorBidi" w:cstheme="majorBidi"/>
          <w:b/>
          <w:bCs/>
          <w:noProof/>
          <w:u w:val="single"/>
        </w:rPr>
        <w:t>.</w:t>
      </w:r>
      <w:r w:rsidR="198AE790" w:rsidRPr="00D4396B">
        <w:rPr>
          <w:rFonts w:asciiTheme="majorBidi" w:hAnsiTheme="majorBidi" w:cstheme="majorBidi"/>
          <w:b/>
          <w:bCs/>
          <w:noProof/>
          <w:u w:val="single"/>
        </w:rPr>
        <w:t>PO2:</w:t>
      </w:r>
      <w:r w:rsidR="198AE790" w:rsidRPr="00D4396B">
        <w:rPr>
          <w:rFonts w:asciiTheme="majorBidi" w:hAnsiTheme="majorBidi" w:cstheme="majorBidi"/>
          <w:noProof/>
        </w:rPr>
        <w:t xml:space="preserve"> Under this option, the range of cooperation tools available to Eurojust would be expanded through amendments to the </w:t>
      </w:r>
      <w:r w:rsidR="198AE790" w:rsidRPr="4544776D">
        <w:rPr>
          <w:rFonts w:asciiTheme="majorBidi" w:hAnsiTheme="majorBidi" w:cstheme="majorBidi"/>
          <w:noProof/>
        </w:rPr>
        <w:t>E</w:t>
      </w:r>
      <w:r w:rsidR="4E182296" w:rsidRPr="4544776D">
        <w:rPr>
          <w:rFonts w:asciiTheme="majorBidi" w:hAnsiTheme="majorBidi" w:cstheme="majorBidi"/>
          <w:noProof/>
        </w:rPr>
        <w:t>JR</w:t>
      </w:r>
      <w:r w:rsidR="198AE790" w:rsidRPr="00D4396B">
        <w:rPr>
          <w:rFonts w:asciiTheme="majorBidi" w:hAnsiTheme="majorBidi" w:cstheme="majorBidi"/>
          <w:noProof/>
        </w:rPr>
        <w:t>. These would clarify and streamline existing provisions while codifying operational practices that have already proven effective but currently lack a clear legislative basis.</w:t>
      </w:r>
      <w:r w:rsidR="198AE790" w:rsidRPr="00D4396B">
        <w:rPr>
          <w:rFonts w:asciiTheme="majorBidi" w:hAnsiTheme="majorBidi" w:cstheme="majorBidi"/>
          <w:noProof/>
          <w:lang w:val="en-IE"/>
        </w:rPr>
        <w:t xml:space="preserve"> </w:t>
      </w:r>
      <w:r w:rsidR="198AE790" w:rsidRPr="00D4396B">
        <w:rPr>
          <w:rFonts w:asciiTheme="majorBidi" w:hAnsiTheme="majorBidi" w:cstheme="majorBidi"/>
          <w:noProof/>
        </w:rPr>
        <w:t>The package would include the following measures:</w:t>
      </w:r>
    </w:p>
    <w:p w14:paraId="67F201EF" w14:textId="748AD78F" w:rsidR="00A63B53" w:rsidRPr="00D4396B" w:rsidRDefault="00A63B53" w:rsidP="00010679">
      <w:pPr>
        <w:spacing w:after="120"/>
        <w:rPr>
          <w:rFonts w:asciiTheme="majorBidi" w:hAnsiTheme="majorBidi" w:cstheme="majorBidi"/>
          <w:noProof/>
        </w:rPr>
      </w:pPr>
      <w:r w:rsidRPr="00D4396B">
        <w:rPr>
          <w:rFonts w:asciiTheme="majorBidi" w:hAnsiTheme="majorBidi" w:cstheme="majorBidi"/>
          <w:noProof/>
        </w:rPr>
        <w:t xml:space="preserve">(i) Introducing cooperation </w:t>
      </w:r>
      <w:r w:rsidR="7A92D0C0" w:rsidRPr="00D4396B">
        <w:rPr>
          <w:rFonts w:asciiTheme="majorBidi" w:hAnsiTheme="majorBidi" w:cstheme="majorBidi"/>
          <w:noProof/>
        </w:rPr>
        <w:t>commitments</w:t>
      </w:r>
      <w:r w:rsidRPr="00D4396B">
        <w:rPr>
          <w:rFonts w:asciiTheme="majorBidi" w:hAnsiTheme="majorBidi" w:cstheme="majorBidi"/>
          <w:noProof/>
        </w:rPr>
        <w:t xml:space="preserve"> in international agreements as outlined under </w:t>
      </w:r>
      <w:r w:rsidR="00F21953" w:rsidRPr="00D4396B">
        <w:rPr>
          <w:rFonts w:asciiTheme="majorBidi" w:hAnsiTheme="majorBidi" w:cstheme="majorBidi"/>
          <w:noProof/>
        </w:rPr>
        <w:t>F</w:t>
      </w:r>
      <w:r w:rsidR="00E7370C" w:rsidRPr="00D4396B">
        <w:rPr>
          <w:rFonts w:asciiTheme="majorBidi" w:hAnsiTheme="majorBidi" w:cstheme="majorBidi"/>
          <w:noProof/>
        </w:rPr>
        <w:t>.</w:t>
      </w:r>
      <w:r w:rsidRPr="00D4396B">
        <w:rPr>
          <w:rFonts w:asciiTheme="majorBidi" w:hAnsiTheme="majorBidi" w:cstheme="majorBidi"/>
          <w:noProof/>
        </w:rPr>
        <w:t>PO1.</w:t>
      </w:r>
    </w:p>
    <w:p w14:paraId="4A410976" w14:textId="5FFD1A0F" w:rsidR="00A63B53" w:rsidRPr="00D4396B" w:rsidRDefault="00A63B53" w:rsidP="7E8FC249">
      <w:pPr>
        <w:spacing w:after="120"/>
        <w:rPr>
          <w:rFonts w:asciiTheme="majorBidi" w:hAnsiTheme="majorBidi" w:cstheme="majorBidi"/>
          <w:noProof/>
        </w:rPr>
      </w:pPr>
      <w:r w:rsidRPr="7E8FC249">
        <w:rPr>
          <w:rFonts w:asciiTheme="majorBidi" w:hAnsiTheme="majorBidi" w:cstheme="majorBidi"/>
          <w:noProof/>
        </w:rPr>
        <w:t>(ii) in addition, clarifying the legal framework governing L</w:t>
      </w:r>
      <w:r w:rsidR="7853B266" w:rsidRPr="7E8FC249">
        <w:rPr>
          <w:rFonts w:asciiTheme="majorBidi" w:hAnsiTheme="majorBidi" w:cstheme="majorBidi"/>
          <w:noProof/>
        </w:rPr>
        <w:t>M</w:t>
      </w:r>
      <w:r w:rsidRPr="7E8FC249">
        <w:rPr>
          <w:rFonts w:asciiTheme="majorBidi" w:hAnsiTheme="majorBidi" w:cstheme="majorBidi"/>
          <w:noProof/>
        </w:rPr>
        <w:t>s. The E</w:t>
      </w:r>
      <w:r w:rsidR="43B93EBC" w:rsidRPr="7E8FC249">
        <w:rPr>
          <w:rFonts w:asciiTheme="majorBidi" w:hAnsiTheme="majorBidi" w:cstheme="majorBidi"/>
          <w:noProof/>
        </w:rPr>
        <w:t>JR</w:t>
      </w:r>
      <w:r w:rsidRPr="7E8FC249">
        <w:rPr>
          <w:rFonts w:asciiTheme="majorBidi" w:hAnsiTheme="majorBidi" w:cstheme="majorBidi"/>
          <w:noProof/>
        </w:rPr>
        <w:t xml:space="preserve"> provides for the posting of </w:t>
      </w:r>
      <w:r w:rsidR="2DCE8E00" w:rsidRPr="7E8FC249">
        <w:rPr>
          <w:rFonts w:asciiTheme="majorBidi" w:hAnsiTheme="majorBidi" w:cstheme="majorBidi"/>
          <w:noProof/>
        </w:rPr>
        <w:t>LM</w:t>
      </w:r>
      <w:r w:rsidRPr="7E8FC249">
        <w:rPr>
          <w:rFonts w:asciiTheme="majorBidi" w:hAnsiTheme="majorBidi" w:cstheme="majorBidi"/>
          <w:noProof/>
        </w:rPr>
        <w:t xml:space="preserve">s to third countries in order to facilitate judicial cooperation with local authorities. However, their tasks and powers are defined only in broad terms. In practice, uncertainty regarding the interpretation and scope of this provision has contributed to the underutilisation of </w:t>
      </w:r>
      <w:r w:rsidR="1040A658" w:rsidRPr="7E8FC249">
        <w:rPr>
          <w:rFonts w:asciiTheme="majorBidi" w:hAnsiTheme="majorBidi" w:cstheme="majorBidi"/>
          <w:noProof/>
        </w:rPr>
        <w:t>LM</w:t>
      </w:r>
      <w:r w:rsidRPr="7E8FC249">
        <w:rPr>
          <w:rFonts w:asciiTheme="majorBidi" w:hAnsiTheme="majorBidi" w:cstheme="majorBidi"/>
          <w:noProof/>
        </w:rPr>
        <w:t>s. A clearer definition of their role, competences, and operational scope would enhance their effectiveness and practical added value.</w:t>
      </w:r>
    </w:p>
    <w:p w14:paraId="3C14D354" w14:textId="510BB06B" w:rsidR="00A63B53" w:rsidRPr="00D4396B" w:rsidRDefault="00A63B53" w:rsidP="00010679">
      <w:pPr>
        <w:spacing w:after="120"/>
        <w:rPr>
          <w:rFonts w:asciiTheme="majorBidi" w:hAnsiTheme="majorBidi" w:cstheme="majorBidi"/>
          <w:noProof/>
        </w:rPr>
      </w:pPr>
      <w:r w:rsidRPr="00D4396B">
        <w:rPr>
          <w:rFonts w:asciiTheme="majorBidi" w:hAnsiTheme="majorBidi" w:cstheme="majorBidi"/>
          <w:noProof/>
        </w:rPr>
        <w:t>(iii) Institutionalising the role of resident contact points for priority third countries. Resident contact points are third</w:t>
      </w:r>
      <w:r w:rsidR="00B46809">
        <w:rPr>
          <w:rFonts w:asciiTheme="majorBidi" w:hAnsiTheme="majorBidi" w:cstheme="majorBidi"/>
          <w:noProof/>
        </w:rPr>
        <w:t xml:space="preserve"> </w:t>
      </w:r>
      <w:r w:rsidRPr="00D4396B">
        <w:rPr>
          <w:rFonts w:asciiTheme="majorBidi" w:hAnsiTheme="majorBidi" w:cstheme="majorBidi"/>
          <w:noProof/>
        </w:rPr>
        <w:t xml:space="preserve">country magistrates or officials seconded to Eurojust to facilitate contacts with national authorities and assist the Agency in navigating domestic procedural frameworks. Unlike </w:t>
      </w:r>
      <w:r w:rsidR="006234E0" w:rsidRPr="00D4396B">
        <w:rPr>
          <w:rFonts w:asciiTheme="majorBidi" w:hAnsiTheme="majorBidi" w:cstheme="majorBidi"/>
          <w:noProof/>
        </w:rPr>
        <w:t>LP</w:t>
      </w:r>
      <w:r w:rsidRPr="00D4396B">
        <w:rPr>
          <w:rFonts w:asciiTheme="majorBidi" w:hAnsiTheme="majorBidi" w:cstheme="majorBidi"/>
          <w:noProof/>
        </w:rPr>
        <w:t xml:space="preserve">s, they do not have access to Eurojust’s </w:t>
      </w:r>
      <w:r w:rsidR="39F3E366" w:rsidRPr="5480F66B">
        <w:rPr>
          <w:rFonts w:asciiTheme="majorBidi" w:hAnsiTheme="majorBidi" w:cstheme="majorBidi"/>
          <w:noProof/>
        </w:rPr>
        <w:t>CMS</w:t>
      </w:r>
      <w:r w:rsidRPr="00D4396B">
        <w:rPr>
          <w:rFonts w:asciiTheme="majorBidi" w:hAnsiTheme="majorBidi" w:cstheme="majorBidi"/>
          <w:noProof/>
        </w:rPr>
        <w:t xml:space="preserve"> and operate under a more limited mandate. </w:t>
      </w:r>
      <w:r w:rsidR="516FE37F" w:rsidRPr="00D4396B">
        <w:rPr>
          <w:rFonts w:asciiTheme="majorBidi" w:hAnsiTheme="majorBidi" w:cstheme="majorBidi"/>
          <w:noProof/>
        </w:rPr>
        <w:t>Nonetheless, the presence of a resident contact point at Eurojust could have tangi</w:t>
      </w:r>
      <w:r w:rsidR="3512C5B0" w:rsidRPr="00D4396B">
        <w:rPr>
          <w:rFonts w:asciiTheme="majorBidi" w:hAnsiTheme="majorBidi" w:cstheme="majorBidi"/>
          <w:noProof/>
        </w:rPr>
        <w:t>ble benefits</w:t>
      </w:r>
      <w:r w:rsidR="0F9FB37C" w:rsidRPr="00D4396B">
        <w:rPr>
          <w:rFonts w:asciiTheme="majorBidi" w:hAnsiTheme="majorBidi" w:cstheme="majorBidi"/>
          <w:noProof/>
        </w:rPr>
        <w:t>, in particular</w:t>
      </w:r>
      <w:r w:rsidR="3512C5B0" w:rsidRPr="00D4396B">
        <w:rPr>
          <w:rFonts w:asciiTheme="majorBidi" w:hAnsiTheme="majorBidi" w:cstheme="majorBidi"/>
          <w:noProof/>
        </w:rPr>
        <w:t xml:space="preserve"> when cooperation is hampered by procedural or coordination issues with the partner country.</w:t>
      </w:r>
      <w:r w:rsidR="516FE37F" w:rsidRPr="00D4396B">
        <w:rPr>
          <w:rFonts w:asciiTheme="majorBidi" w:hAnsiTheme="majorBidi" w:cstheme="majorBidi"/>
          <w:noProof/>
        </w:rPr>
        <w:t xml:space="preserve"> </w:t>
      </w:r>
      <w:r w:rsidRPr="00D4396B">
        <w:rPr>
          <w:rFonts w:asciiTheme="majorBidi" w:hAnsiTheme="majorBidi" w:cstheme="majorBidi"/>
          <w:noProof/>
        </w:rPr>
        <w:t>Their role is currently based on working arrangements with the relevant third country rather than on a legislative basis. Introducing an explicit reference to resident contact points in the Regulation would provide legal clarity and establish clear rules concerning their appointment, functions, and operational limitations.</w:t>
      </w:r>
    </w:p>
    <w:p w14:paraId="05FC00BB" w14:textId="4C54E3E1" w:rsidR="00A63B53" w:rsidRPr="00D4396B" w:rsidRDefault="3E29B60C" w:rsidP="00010679">
      <w:pPr>
        <w:spacing w:after="120"/>
        <w:rPr>
          <w:rFonts w:asciiTheme="majorBidi" w:hAnsiTheme="majorBidi" w:cstheme="majorBidi"/>
          <w:noProof/>
        </w:rPr>
      </w:pPr>
      <w:r w:rsidRPr="00D4396B">
        <w:rPr>
          <w:rFonts w:asciiTheme="majorBidi" w:hAnsiTheme="majorBidi" w:cstheme="majorBidi"/>
          <w:noProof/>
        </w:rPr>
        <w:t xml:space="preserve">(iv) Providing for the formal participation of </w:t>
      </w:r>
      <w:r w:rsidR="2B4E01B0" w:rsidRPr="43DA7E6A">
        <w:rPr>
          <w:rFonts w:asciiTheme="majorBidi" w:hAnsiTheme="majorBidi" w:cstheme="majorBidi"/>
          <w:noProof/>
        </w:rPr>
        <w:t>LP</w:t>
      </w:r>
      <w:r w:rsidR="5017BA49" w:rsidRPr="00D4396B">
        <w:rPr>
          <w:rFonts w:asciiTheme="majorBidi" w:hAnsiTheme="majorBidi" w:cstheme="majorBidi"/>
          <w:noProof/>
        </w:rPr>
        <w:t>s</w:t>
      </w:r>
      <w:r w:rsidRPr="00D4396B">
        <w:rPr>
          <w:rFonts w:asciiTheme="majorBidi" w:hAnsiTheme="majorBidi" w:cstheme="majorBidi"/>
          <w:noProof/>
        </w:rPr>
        <w:t xml:space="preserve"> in the Eurojust College. Structured participation of </w:t>
      </w:r>
      <w:r w:rsidR="7BF3585B" w:rsidRPr="034B2A02">
        <w:rPr>
          <w:rFonts w:asciiTheme="majorBidi" w:hAnsiTheme="majorBidi" w:cstheme="majorBidi"/>
          <w:noProof/>
        </w:rPr>
        <w:t>LP</w:t>
      </w:r>
      <w:r w:rsidR="295CB5E9" w:rsidRPr="00D4396B">
        <w:rPr>
          <w:rFonts w:asciiTheme="majorBidi" w:hAnsiTheme="majorBidi" w:cstheme="majorBidi"/>
          <w:noProof/>
        </w:rPr>
        <w:t>s</w:t>
      </w:r>
      <w:r w:rsidRPr="00D4396B">
        <w:rPr>
          <w:rFonts w:asciiTheme="majorBidi" w:hAnsiTheme="majorBidi" w:cstheme="majorBidi"/>
          <w:noProof/>
        </w:rPr>
        <w:t xml:space="preserve"> posted </w:t>
      </w:r>
      <w:r w:rsidR="77D9C85F" w:rsidRPr="00D4396B">
        <w:rPr>
          <w:rFonts w:asciiTheme="majorBidi" w:hAnsiTheme="majorBidi" w:cstheme="majorBidi"/>
          <w:noProof/>
        </w:rPr>
        <w:t>from</w:t>
      </w:r>
      <w:r w:rsidRPr="00D4396B">
        <w:rPr>
          <w:rFonts w:asciiTheme="majorBidi" w:hAnsiTheme="majorBidi" w:cstheme="majorBidi"/>
          <w:noProof/>
        </w:rPr>
        <w:t xml:space="preserve"> third countries would allow them to contribute to the strategic discussions of the College, bringing operational insight into developments in key partner jurisdictions. Their involvement would support better-informed strategic prioritisation of Eurojust’s external engagement, ensuring that the Agency’s operational and cooperation strategies adequately reflect the evolving needs, risks, and priorities associated with third</w:t>
      </w:r>
      <w:r w:rsidR="00B46809">
        <w:rPr>
          <w:rFonts w:asciiTheme="majorBidi" w:hAnsiTheme="majorBidi" w:cstheme="majorBidi"/>
          <w:noProof/>
        </w:rPr>
        <w:t xml:space="preserve"> country</w:t>
      </w:r>
      <w:r w:rsidRPr="00D4396B">
        <w:rPr>
          <w:rFonts w:asciiTheme="majorBidi" w:hAnsiTheme="majorBidi" w:cstheme="majorBidi"/>
          <w:noProof/>
        </w:rPr>
        <w:t xml:space="preserve"> cooperation</w:t>
      </w:r>
      <w:r w:rsidRPr="00D4396B">
        <w:rPr>
          <w:rFonts w:asciiTheme="majorBidi" w:hAnsiTheme="majorBidi" w:cstheme="majorBidi"/>
          <w:noProof/>
          <w:lang w:val="en-US"/>
        </w:rPr>
        <w:t>.</w:t>
      </w:r>
    </w:p>
    <w:p w14:paraId="2FB4B6CA" w14:textId="6C149878" w:rsidR="00A63B53" w:rsidRPr="00D4396B" w:rsidRDefault="00F21953" w:rsidP="003B0D3B">
      <w:pPr>
        <w:spacing w:after="120"/>
        <w:rPr>
          <w:rFonts w:asciiTheme="majorBidi" w:hAnsiTheme="majorBidi" w:cstheme="majorBidi"/>
          <w:b/>
          <w:bCs/>
          <w:noProof/>
          <w:u w:val="single"/>
        </w:rPr>
      </w:pPr>
      <w:r w:rsidRPr="00D4396B">
        <w:rPr>
          <w:rFonts w:asciiTheme="majorBidi" w:hAnsiTheme="majorBidi" w:cstheme="majorBidi"/>
          <w:b/>
          <w:bCs/>
          <w:noProof/>
          <w:u w:val="single"/>
        </w:rPr>
        <w:t>F</w:t>
      </w:r>
      <w:r w:rsidR="00E7370C" w:rsidRPr="00D4396B">
        <w:rPr>
          <w:rFonts w:asciiTheme="majorBidi" w:hAnsiTheme="majorBidi" w:cstheme="majorBidi"/>
          <w:b/>
          <w:bCs/>
          <w:noProof/>
          <w:u w:val="single"/>
        </w:rPr>
        <w:t>.</w:t>
      </w:r>
      <w:r w:rsidR="00A63B53" w:rsidRPr="00D4396B">
        <w:rPr>
          <w:rFonts w:asciiTheme="majorBidi" w:hAnsiTheme="majorBidi" w:cstheme="majorBidi"/>
          <w:b/>
          <w:bCs/>
          <w:noProof/>
          <w:u w:val="single"/>
        </w:rPr>
        <w:t>PO3:</w:t>
      </w:r>
      <w:r w:rsidR="00A63B53" w:rsidRPr="00D4396B">
        <w:rPr>
          <w:rFonts w:asciiTheme="majorBidi" w:hAnsiTheme="majorBidi" w:cstheme="majorBidi"/>
          <w:b/>
          <w:bCs/>
          <w:noProof/>
        </w:rPr>
        <w:t xml:space="preserve"> </w:t>
      </w:r>
      <w:r w:rsidR="00A63B53" w:rsidRPr="00D4396B">
        <w:rPr>
          <w:rFonts w:asciiTheme="majorBidi" w:hAnsiTheme="majorBidi" w:cstheme="majorBidi"/>
          <w:noProof/>
          <w:lang w:val="en-US"/>
        </w:rPr>
        <w:t>This option</w:t>
      </w:r>
      <w:r w:rsidR="00A63B53" w:rsidRPr="00D4396B">
        <w:rPr>
          <w:rFonts w:asciiTheme="majorBidi" w:hAnsiTheme="majorBidi" w:cstheme="majorBidi"/>
          <w:noProof/>
        </w:rPr>
        <w:t xml:space="preserve"> would strengthen Eurojust’s external dimension through more far-reaching legislative amendments, expanding the Agency’s capacity to engage with third</w:t>
      </w:r>
      <w:r w:rsidR="00B46809">
        <w:rPr>
          <w:rFonts w:asciiTheme="majorBidi" w:hAnsiTheme="majorBidi" w:cstheme="majorBidi"/>
          <w:noProof/>
        </w:rPr>
        <w:t xml:space="preserve"> country</w:t>
      </w:r>
      <w:r w:rsidR="00A63B53" w:rsidRPr="00D4396B">
        <w:rPr>
          <w:rFonts w:asciiTheme="majorBidi" w:hAnsiTheme="majorBidi" w:cstheme="majorBidi"/>
          <w:noProof/>
        </w:rPr>
        <w:t xml:space="preserve"> partners in a structured and strategic manner. The proposed measures include:</w:t>
      </w:r>
    </w:p>
    <w:p w14:paraId="42D52758" w14:textId="2BA7F37A" w:rsidR="00A63B53" w:rsidRPr="00D4396B" w:rsidRDefault="00A63B53" w:rsidP="7E8FC249">
      <w:pPr>
        <w:spacing w:after="120"/>
        <w:rPr>
          <w:rFonts w:asciiTheme="majorBidi" w:hAnsiTheme="majorBidi" w:cstheme="majorBidi"/>
          <w:noProof/>
          <w:lang w:val="en-IE"/>
        </w:rPr>
      </w:pPr>
      <w:r w:rsidRPr="7E8FC249">
        <w:rPr>
          <w:rFonts w:asciiTheme="majorBidi" w:hAnsiTheme="majorBidi" w:cstheme="majorBidi"/>
          <w:noProof/>
          <w:lang w:val="en-IE"/>
        </w:rPr>
        <w:t xml:space="preserve">(i), (ii), (iii), (iv) Introducing cooperation </w:t>
      </w:r>
      <w:r w:rsidR="19642528" w:rsidRPr="7E8FC249">
        <w:rPr>
          <w:rFonts w:asciiTheme="majorBidi" w:hAnsiTheme="majorBidi" w:cstheme="majorBidi"/>
          <w:noProof/>
          <w:lang w:val="en-IE"/>
        </w:rPr>
        <w:t xml:space="preserve">commitments </w:t>
      </w:r>
      <w:r w:rsidRPr="7E8FC249">
        <w:rPr>
          <w:rFonts w:asciiTheme="majorBidi" w:hAnsiTheme="majorBidi" w:cstheme="majorBidi"/>
          <w:noProof/>
          <w:lang w:val="en-IE"/>
        </w:rPr>
        <w:t>in international agreements, clarifying the legal framework for L</w:t>
      </w:r>
      <w:r w:rsidR="1F6A466B" w:rsidRPr="7E8FC249">
        <w:rPr>
          <w:rFonts w:asciiTheme="majorBidi" w:hAnsiTheme="majorBidi" w:cstheme="majorBidi"/>
          <w:noProof/>
          <w:lang w:val="en-IE"/>
        </w:rPr>
        <w:t>M</w:t>
      </w:r>
      <w:r w:rsidRPr="7E8FC249">
        <w:rPr>
          <w:rFonts w:asciiTheme="majorBidi" w:hAnsiTheme="majorBidi" w:cstheme="majorBidi"/>
          <w:noProof/>
          <w:lang w:val="en-IE"/>
        </w:rPr>
        <w:t xml:space="preserve">s, institutionalising resident contact points and granting participation in College to </w:t>
      </w:r>
      <w:r w:rsidR="006234E0" w:rsidRPr="7E8FC249">
        <w:rPr>
          <w:rFonts w:asciiTheme="majorBidi" w:hAnsiTheme="majorBidi" w:cstheme="majorBidi"/>
          <w:noProof/>
          <w:lang w:val="en-IE"/>
        </w:rPr>
        <w:t>LP</w:t>
      </w:r>
      <w:r w:rsidRPr="7E8FC249">
        <w:rPr>
          <w:rFonts w:asciiTheme="majorBidi" w:hAnsiTheme="majorBidi" w:cstheme="majorBidi"/>
          <w:noProof/>
          <w:lang w:val="en-IE"/>
        </w:rPr>
        <w:t xml:space="preserve">s as outlined under </w:t>
      </w:r>
      <w:r w:rsidR="00F21953" w:rsidRPr="7E8FC249">
        <w:rPr>
          <w:rFonts w:asciiTheme="majorBidi" w:hAnsiTheme="majorBidi" w:cstheme="majorBidi"/>
          <w:noProof/>
          <w:lang w:val="en-IE"/>
        </w:rPr>
        <w:t>F</w:t>
      </w:r>
      <w:r w:rsidR="00E7370C" w:rsidRPr="7E8FC249">
        <w:rPr>
          <w:rFonts w:asciiTheme="majorBidi" w:hAnsiTheme="majorBidi" w:cstheme="majorBidi"/>
          <w:noProof/>
          <w:lang w:val="en-IE"/>
        </w:rPr>
        <w:t>.</w:t>
      </w:r>
      <w:r w:rsidRPr="7E8FC249">
        <w:rPr>
          <w:rFonts w:asciiTheme="majorBidi" w:hAnsiTheme="majorBidi" w:cstheme="majorBidi"/>
          <w:noProof/>
          <w:lang w:val="en-IE"/>
        </w:rPr>
        <w:t>PO2.</w:t>
      </w:r>
    </w:p>
    <w:p w14:paraId="06532B25" w14:textId="1DBE7360" w:rsidR="00A63B53" w:rsidRPr="00D4396B" w:rsidRDefault="198AE790" w:rsidP="005B1C92">
      <w:pPr>
        <w:spacing w:after="120"/>
        <w:rPr>
          <w:rFonts w:asciiTheme="majorBidi" w:hAnsiTheme="majorBidi" w:cstheme="majorBidi"/>
          <w:noProof/>
        </w:rPr>
      </w:pPr>
      <w:r w:rsidRPr="00D4396B">
        <w:rPr>
          <w:rFonts w:asciiTheme="majorBidi" w:hAnsiTheme="majorBidi" w:cstheme="majorBidi"/>
          <w:noProof/>
        </w:rPr>
        <w:t xml:space="preserve">(v) In addition, granting Eurojust an explicit capacity-building mandate vis-à-vis third countries. This mandate would allow Eurojust to design and implement capacity-building initiatives aimed at strengthening the judicial cooperation capabilities of partner countries. Such activities would contribute to </w:t>
      </w:r>
      <w:r w:rsidR="728515DC" w:rsidRPr="00D4396B">
        <w:rPr>
          <w:rFonts w:asciiTheme="majorBidi" w:hAnsiTheme="majorBidi" w:cstheme="majorBidi"/>
          <w:noProof/>
        </w:rPr>
        <w:t>promote best</w:t>
      </w:r>
      <w:r w:rsidRPr="00D4396B">
        <w:rPr>
          <w:rFonts w:asciiTheme="majorBidi" w:hAnsiTheme="majorBidi" w:cstheme="majorBidi"/>
          <w:noProof/>
        </w:rPr>
        <w:t xml:space="preserve"> practices in judicial cooperation, foster mutual trust, and enhance the effectiveness of operational collaboration. </w:t>
      </w:r>
    </w:p>
    <w:p w14:paraId="1B1B7A82" w14:textId="4C3B61DA" w:rsidR="00A63B53" w:rsidRPr="00D4396B" w:rsidRDefault="00A63B53" w:rsidP="000C3545">
      <w:pPr>
        <w:pStyle w:val="Heading2"/>
        <w:rPr>
          <w:noProof/>
        </w:rPr>
      </w:pPr>
      <w:bookmarkStart w:id="156" w:name="_Toc1612072537"/>
      <w:bookmarkStart w:id="157" w:name="_Toc788737158"/>
      <w:bookmarkStart w:id="158" w:name="_Toc1272536819"/>
      <w:bookmarkStart w:id="159" w:name="_Toc1604522062"/>
      <w:bookmarkStart w:id="160" w:name="_Toc1429636266"/>
      <w:bookmarkStart w:id="161" w:name="_Toc224109570"/>
      <w:bookmarkStart w:id="162" w:name="_Toc232176423"/>
      <w:r w:rsidRPr="00D4396B">
        <w:rPr>
          <w:noProof/>
        </w:rPr>
        <w:t>5.3</w:t>
      </w:r>
      <w:r w:rsidR="00010679" w:rsidRPr="00D4396B">
        <w:rPr>
          <w:noProof/>
        </w:rPr>
        <w:t>.</w:t>
      </w:r>
      <w:r w:rsidR="00010679">
        <w:rPr>
          <w:noProof/>
        </w:rPr>
        <w:tab/>
      </w:r>
      <w:r w:rsidR="0072178C">
        <w:rPr>
          <w:noProof/>
        </w:rPr>
        <w:t>M</w:t>
      </w:r>
      <w:r w:rsidR="00AD78DB">
        <w:rPr>
          <w:noProof/>
        </w:rPr>
        <w:t xml:space="preserve">easures </w:t>
      </w:r>
      <w:r w:rsidRPr="00D4396B">
        <w:rPr>
          <w:noProof/>
        </w:rPr>
        <w:t>discarded at an early stage</w:t>
      </w:r>
      <w:bookmarkEnd w:id="156"/>
      <w:bookmarkEnd w:id="157"/>
      <w:bookmarkEnd w:id="158"/>
      <w:bookmarkEnd w:id="159"/>
      <w:bookmarkEnd w:id="160"/>
      <w:bookmarkEnd w:id="161"/>
      <w:bookmarkEnd w:id="162"/>
    </w:p>
    <w:p w14:paraId="0837917D" w14:textId="4B3976B5" w:rsidR="00A63B53" w:rsidRPr="00D4396B" w:rsidRDefault="00A63B53" w:rsidP="003B0D3B">
      <w:pPr>
        <w:spacing w:after="120"/>
        <w:rPr>
          <w:noProof/>
        </w:rPr>
      </w:pPr>
      <w:r w:rsidRPr="384F7AB1">
        <w:rPr>
          <w:rFonts w:asciiTheme="majorBidi" w:eastAsia="Times New Roman" w:hAnsiTheme="majorBidi" w:cstheme="majorBidi"/>
          <w:noProof/>
        </w:rPr>
        <w:t>Several options and measures</w:t>
      </w:r>
      <w:r w:rsidR="544CA1D8" w:rsidRPr="384F7AB1">
        <w:rPr>
          <w:rFonts w:asciiTheme="majorBidi" w:eastAsia="Times New Roman" w:hAnsiTheme="majorBidi" w:cstheme="majorBidi"/>
          <w:noProof/>
        </w:rPr>
        <w:t xml:space="preserve"> that </w:t>
      </w:r>
      <w:r w:rsidR="0B4CC33B" w:rsidRPr="384F7AB1">
        <w:rPr>
          <w:rFonts w:asciiTheme="majorBidi" w:eastAsia="Times New Roman" w:hAnsiTheme="majorBidi" w:cstheme="majorBidi"/>
          <w:noProof/>
        </w:rPr>
        <w:t>might</w:t>
      </w:r>
      <w:r w:rsidR="544CA1D8" w:rsidRPr="384F7AB1">
        <w:rPr>
          <w:rFonts w:asciiTheme="majorBidi" w:eastAsia="Times New Roman" w:hAnsiTheme="majorBidi" w:cstheme="majorBidi"/>
          <w:noProof/>
        </w:rPr>
        <w:t xml:space="preserve"> have </w:t>
      </w:r>
      <w:r w:rsidR="0B4CC33B" w:rsidRPr="384F7AB1">
        <w:rPr>
          <w:rFonts w:asciiTheme="majorBidi" w:eastAsia="Times New Roman" w:hAnsiTheme="majorBidi" w:cstheme="majorBidi"/>
          <w:noProof/>
        </w:rPr>
        <w:t>seemed</w:t>
      </w:r>
      <w:r w:rsidR="544CA1D8" w:rsidRPr="384F7AB1">
        <w:rPr>
          <w:rFonts w:asciiTheme="majorBidi" w:eastAsia="Times New Roman" w:hAnsiTheme="majorBidi" w:cstheme="majorBidi"/>
          <w:noProof/>
        </w:rPr>
        <w:t xml:space="preserve"> interesting to address drivers and </w:t>
      </w:r>
      <w:r w:rsidR="10FF1C3E" w:rsidRPr="384F7AB1">
        <w:rPr>
          <w:rFonts w:asciiTheme="majorBidi" w:eastAsia="Times New Roman" w:hAnsiTheme="majorBidi" w:cstheme="majorBidi"/>
          <w:noProof/>
        </w:rPr>
        <w:t>to achieve certain budget savings</w:t>
      </w:r>
      <w:r w:rsidR="544CA1D8" w:rsidRPr="384F7AB1">
        <w:rPr>
          <w:rFonts w:asciiTheme="majorBidi" w:eastAsia="Times New Roman" w:hAnsiTheme="majorBidi" w:cstheme="majorBidi"/>
          <w:noProof/>
        </w:rPr>
        <w:t xml:space="preserve"> </w:t>
      </w:r>
      <w:r w:rsidRPr="384F7AB1">
        <w:rPr>
          <w:rFonts w:asciiTheme="majorBidi" w:eastAsia="Times New Roman" w:hAnsiTheme="majorBidi" w:cstheme="majorBidi"/>
          <w:noProof/>
        </w:rPr>
        <w:t xml:space="preserve">were discarded at an early stage, taking into account </w:t>
      </w:r>
      <w:r w:rsidRPr="384F7AB1">
        <w:rPr>
          <w:rFonts w:asciiTheme="majorBidi" w:eastAsia="Times New Roman" w:hAnsiTheme="majorBidi" w:cstheme="majorBidi"/>
          <w:b/>
          <w:bCs/>
          <w:noProof/>
          <w:lang w:val="en-US"/>
        </w:rPr>
        <w:t>in particular operational views expressed by stakeholders</w:t>
      </w:r>
      <w:r w:rsidRPr="384F7AB1">
        <w:rPr>
          <w:rFonts w:asciiTheme="majorBidi" w:eastAsia="Times New Roman" w:hAnsiTheme="majorBidi" w:cstheme="majorBidi"/>
          <w:noProof/>
          <w:lang w:val="en-US"/>
        </w:rPr>
        <w:t xml:space="preserve"> as well as </w:t>
      </w:r>
      <w:r w:rsidRPr="384F7AB1">
        <w:rPr>
          <w:rFonts w:asciiTheme="majorBidi" w:eastAsia="Times New Roman" w:hAnsiTheme="majorBidi" w:cstheme="majorBidi"/>
          <w:b/>
          <w:bCs/>
          <w:noProof/>
          <w:lang w:val="en-US"/>
        </w:rPr>
        <w:t>political and legal considerations</w:t>
      </w:r>
      <w:r w:rsidR="34120753" w:rsidRPr="384F7AB1">
        <w:rPr>
          <w:rFonts w:asciiTheme="majorBidi" w:eastAsia="Times New Roman" w:hAnsiTheme="majorBidi" w:cstheme="majorBidi"/>
          <w:b/>
          <w:bCs/>
          <w:noProof/>
          <w:lang w:val="en-US"/>
        </w:rPr>
        <w:t xml:space="preserve">. </w:t>
      </w:r>
      <w:r w:rsidR="34120753" w:rsidRPr="384F7AB1">
        <w:rPr>
          <w:rFonts w:asciiTheme="majorBidi" w:eastAsia="Times New Roman" w:hAnsiTheme="majorBidi" w:cstheme="majorBidi"/>
          <w:noProof/>
          <w:lang w:val="en-US"/>
        </w:rPr>
        <w:t>The</w:t>
      </w:r>
      <w:r w:rsidR="07C4730D" w:rsidRPr="384F7AB1">
        <w:rPr>
          <w:noProof/>
          <w:lang w:val="en-US"/>
        </w:rPr>
        <w:t xml:space="preserve"> </w:t>
      </w:r>
      <w:r w:rsidR="07C4730D" w:rsidRPr="384F7AB1">
        <w:rPr>
          <w:b/>
          <w:bCs/>
          <w:noProof/>
          <w:lang w:val="en-US"/>
        </w:rPr>
        <w:t>multi-criteria analysis</w:t>
      </w:r>
      <w:r w:rsidR="07C4730D" w:rsidRPr="384F7AB1">
        <w:rPr>
          <w:noProof/>
          <w:lang w:val="en-US"/>
        </w:rPr>
        <w:t xml:space="preserve"> </w:t>
      </w:r>
      <w:r w:rsidR="441F1A6B" w:rsidRPr="384F7AB1">
        <w:rPr>
          <w:noProof/>
          <w:lang w:val="en-US"/>
        </w:rPr>
        <w:t xml:space="preserve">(developed </w:t>
      </w:r>
      <w:r w:rsidR="63582349" w:rsidRPr="384F7AB1">
        <w:rPr>
          <w:noProof/>
          <w:lang w:val="en-US"/>
        </w:rPr>
        <w:t>in</w:t>
      </w:r>
      <w:r w:rsidR="441F1A6B" w:rsidRPr="384F7AB1">
        <w:rPr>
          <w:noProof/>
          <w:lang w:val="en-US"/>
        </w:rPr>
        <w:t xml:space="preserve"> </w:t>
      </w:r>
      <w:r w:rsidR="007B1096" w:rsidRPr="384F7AB1">
        <w:rPr>
          <w:noProof/>
          <w:lang w:val="en-US"/>
        </w:rPr>
        <w:t>c</w:t>
      </w:r>
      <w:r w:rsidR="441F1A6B" w:rsidRPr="384F7AB1">
        <w:rPr>
          <w:noProof/>
          <w:lang w:val="en-US"/>
        </w:rPr>
        <w:t xml:space="preserve">hapter 7) </w:t>
      </w:r>
      <w:r w:rsidR="333F1EB0" w:rsidRPr="384F7AB1">
        <w:rPr>
          <w:noProof/>
          <w:lang w:val="en-US"/>
        </w:rPr>
        <w:t xml:space="preserve">based on </w:t>
      </w:r>
      <w:r w:rsidR="07C4730D" w:rsidRPr="384F7AB1">
        <w:rPr>
          <w:noProof/>
          <w:lang w:val="en-US"/>
        </w:rPr>
        <w:t>effectiveness, efficiency, and coherence</w:t>
      </w:r>
      <w:r w:rsidR="371D838C" w:rsidRPr="384F7AB1">
        <w:rPr>
          <w:noProof/>
          <w:lang w:val="en-US"/>
        </w:rPr>
        <w:t xml:space="preserve"> </w:t>
      </w:r>
      <w:r w:rsidR="6AC67D39" w:rsidRPr="384F7AB1">
        <w:rPr>
          <w:noProof/>
          <w:lang w:val="en-US"/>
        </w:rPr>
        <w:t xml:space="preserve">also </w:t>
      </w:r>
      <w:r w:rsidR="1CFDDEA8" w:rsidRPr="384F7AB1">
        <w:rPr>
          <w:noProof/>
          <w:lang w:val="en-US"/>
        </w:rPr>
        <w:t>underlined that these policy measures</w:t>
      </w:r>
      <w:r w:rsidR="316D7AC7" w:rsidRPr="384F7AB1">
        <w:rPr>
          <w:noProof/>
          <w:lang w:val="en-US"/>
        </w:rPr>
        <w:t xml:space="preserve"> </w:t>
      </w:r>
      <w:r w:rsidR="371FE105" w:rsidRPr="384F7AB1">
        <w:rPr>
          <w:rFonts w:asciiTheme="majorBidi" w:eastAsia="Times New Roman" w:hAnsiTheme="majorBidi" w:cstheme="majorBidi"/>
          <w:noProof/>
        </w:rPr>
        <w:t>were not worth considering any further.</w:t>
      </w:r>
    </w:p>
    <w:p w14:paraId="56D52E18" w14:textId="08A36751" w:rsidR="00A63B53" w:rsidRPr="00D4396B" w:rsidRDefault="00A63B53" w:rsidP="000F169A">
      <w:pPr>
        <w:pStyle w:val="ListParagraph"/>
        <w:numPr>
          <w:ilvl w:val="0"/>
          <w:numId w:val="15"/>
        </w:numPr>
        <w:spacing w:after="120"/>
        <w:ind w:left="567" w:hanging="567"/>
        <w:rPr>
          <w:rFonts w:asciiTheme="majorBidi" w:eastAsia="Times New Roman" w:hAnsiTheme="majorBidi" w:cstheme="majorBidi"/>
          <w:b/>
          <w:bCs/>
          <w:noProof/>
        </w:rPr>
      </w:pPr>
      <w:r w:rsidRPr="00D4396B">
        <w:rPr>
          <w:rFonts w:asciiTheme="majorBidi" w:eastAsia="Times New Roman" w:hAnsiTheme="majorBidi" w:cstheme="majorBidi"/>
          <w:b/>
          <w:bCs/>
          <w:noProof/>
        </w:rPr>
        <w:t>Removing the College and replacing it with national units (Europol model)</w:t>
      </w:r>
    </w:p>
    <w:p w14:paraId="4B5625B6" w14:textId="41B5CC76" w:rsidR="00A63B53" w:rsidRPr="00D4396B" w:rsidRDefault="00967A43" w:rsidP="003B0D3B">
      <w:pPr>
        <w:spacing w:after="120"/>
        <w:rPr>
          <w:rFonts w:asciiTheme="majorBidi" w:eastAsia="Times New Roman" w:hAnsiTheme="majorBidi" w:cstheme="majorBidi"/>
          <w:noProof/>
        </w:rPr>
      </w:pPr>
      <w:r>
        <w:rPr>
          <w:rFonts w:asciiTheme="majorBidi" w:eastAsia="Times New Roman" w:hAnsiTheme="majorBidi" w:cstheme="majorBidi"/>
          <w:noProof/>
        </w:rPr>
        <w:t xml:space="preserve">While it could have created efficiencies, </w:t>
      </w:r>
      <w:r w:rsidR="000B52AC">
        <w:rPr>
          <w:rFonts w:asciiTheme="majorBidi" w:eastAsia="Times New Roman" w:hAnsiTheme="majorBidi" w:cstheme="majorBidi"/>
          <w:noProof/>
        </w:rPr>
        <w:t>this measure was discarded f</w:t>
      </w:r>
      <w:r w:rsidR="000B52AC" w:rsidRPr="129A2EFD">
        <w:rPr>
          <w:rFonts w:asciiTheme="majorBidi" w:eastAsia="Times New Roman" w:hAnsiTheme="majorBidi" w:cstheme="majorBidi"/>
          <w:noProof/>
        </w:rPr>
        <w:t>or</w:t>
      </w:r>
      <w:r w:rsidR="00A63B53" w:rsidRPr="129A2EFD">
        <w:rPr>
          <w:rFonts w:asciiTheme="majorBidi" w:eastAsia="Times New Roman" w:hAnsiTheme="majorBidi" w:cstheme="majorBidi"/>
          <w:noProof/>
        </w:rPr>
        <w:t xml:space="preserve"> reasons of political feasi</w:t>
      </w:r>
      <w:r w:rsidR="00A63B53" w:rsidRPr="00D4396B">
        <w:rPr>
          <w:rFonts w:asciiTheme="majorBidi" w:eastAsia="Times New Roman" w:hAnsiTheme="majorBidi" w:cstheme="majorBidi"/>
          <w:noProof/>
        </w:rPr>
        <w:t xml:space="preserve">bility in light of clear feedback from stakeholders who underlined that Eurojust’s added value lies precisely in its </w:t>
      </w:r>
      <w:r w:rsidR="00202CA9" w:rsidRPr="00D4396B">
        <w:rPr>
          <w:rFonts w:asciiTheme="majorBidi" w:eastAsia="Times New Roman" w:hAnsiTheme="majorBidi" w:cstheme="majorBidi"/>
          <w:noProof/>
        </w:rPr>
        <w:t>collegia</w:t>
      </w:r>
      <w:r w:rsidR="00202CA9">
        <w:rPr>
          <w:rFonts w:asciiTheme="majorBidi" w:eastAsia="Times New Roman" w:hAnsiTheme="majorBidi" w:cstheme="majorBidi"/>
          <w:noProof/>
        </w:rPr>
        <w:t>l</w:t>
      </w:r>
      <w:r w:rsidR="00202CA9" w:rsidRPr="00D4396B">
        <w:rPr>
          <w:rFonts w:asciiTheme="majorBidi" w:eastAsia="Times New Roman" w:hAnsiTheme="majorBidi" w:cstheme="majorBidi"/>
          <w:noProof/>
        </w:rPr>
        <w:t xml:space="preserve"> </w:t>
      </w:r>
      <w:r w:rsidR="00A63B53" w:rsidRPr="00D4396B">
        <w:rPr>
          <w:rFonts w:asciiTheme="majorBidi" w:eastAsia="Times New Roman" w:hAnsiTheme="majorBidi" w:cstheme="majorBidi"/>
          <w:noProof/>
        </w:rPr>
        <w:t>structure, which ensures judicial coordination based on equality between Member States’ judicial authorities.</w:t>
      </w:r>
    </w:p>
    <w:p w14:paraId="47A9404E" w14:textId="5EF4B27B" w:rsidR="00A63B53" w:rsidRPr="00D4396B" w:rsidRDefault="00A63B53" w:rsidP="384F7AB1">
      <w:pPr>
        <w:spacing w:after="120"/>
        <w:rPr>
          <w:rFonts w:asciiTheme="majorBidi" w:hAnsiTheme="majorBidi" w:cstheme="majorBidi"/>
          <w:noProof/>
        </w:rPr>
      </w:pPr>
      <w:r w:rsidRPr="384F7AB1">
        <w:rPr>
          <w:rFonts w:asciiTheme="majorBidi" w:eastAsia="Times New Roman" w:hAnsiTheme="majorBidi" w:cstheme="majorBidi"/>
          <w:noProof/>
        </w:rPr>
        <w:t>Unlike Europol, which is a police cooperation body, Eurojust operates in a judicial context where mutual trust, national sovereignty, and procedural autonomy are paramount</w:t>
      </w:r>
      <w:r w:rsidRPr="384F7AB1">
        <w:rPr>
          <w:rFonts w:eastAsia="Times New Roman"/>
          <w:noProof/>
        </w:rPr>
        <w:t xml:space="preserve">. </w:t>
      </w:r>
      <w:r w:rsidRPr="384F7AB1">
        <w:rPr>
          <w:rFonts w:asciiTheme="majorBidi" w:eastAsia="Times New Roman" w:hAnsiTheme="majorBidi" w:cstheme="majorBidi"/>
          <w:noProof/>
        </w:rPr>
        <w:t xml:space="preserve">Replacing the College with national units would have risked fragmenting </w:t>
      </w:r>
      <w:r w:rsidR="6C8C9D27" w:rsidRPr="384F7AB1">
        <w:rPr>
          <w:rFonts w:asciiTheme="majorBidi" w:eastAsia="Times New Roman" w:hAnsiTheme="majorBidi" w:cstheme="majorBidi"/>
          <w:noProof/>
        </w:rPr>
        <w:t xml:space="preserve">operational </w:t>
      </w:r>
      <w:r w:rsidRPr="384F7AB1">
        <w:rPr>
          <w:rFonts w:asciiTheme="majorBidi" w:eastAsia="Times New Roman" w:hAnsiTheme="majorBidi" w:cstheme="majorBidi"/>
          <w:noProof/>
        </w:rPr>
        <w:t xml:space="preserve">decision-making, weakening collective ownership of cases, and undermining Eurojust’s role as a neutral </w:t>
      </w:r>
      <w:r w:rsidR="0841339D" w:rsidRPr="384F7AB1">
        <w:rPr>
          <w:rFonts w:asciiTheme="majorBidi" w:eastAsia="Times New Roman" w:hAnsiTheme="majorBidi" w:cstheme="majorBidi"/>
          <w:noProof/>
        </w:rPr>
        <w:t xml:space="preserve">EU-level </w:t>
      </w:r>
      <w:r w:rsidRPr="384F7AB1">
        <w:rPr>
          <w:rFonts w:asciiTheme="majorBidi" w:eastAsia="Times New Roman" w:hAnsiTheme="majorBidi" w:cstheme="majorBidi"/>
          <w:noProof/>
        </w:rPr>
        <w:t>coordination platform</w:t>
      </w:r>
      <w:r w:rsidR="40CCDF31" w:rsidRPr="384F7AB1">
        <w:rPr>
          <w:rFonts w:asciiTheme="majorBidi" w:eastAsia="Times New Roman" w:hAnsiTheme="majorBidi" w:cstheme="majorBidi"/>
          <w:noProof/>
        </w:rPr>
        <w:t>:</w:t>
      </w:r>
      <w:r w:rsidR="51662486" w:rsidRPr="384F7AB1">
        <w:rPr>
          <w:rFonts w:asciiTheme="majorBidi" w:eastAsia="Times New Roman" w:hAnsiTheme="majorBidi" w:cstheme="majorBidi"/>
          <w:noProof/>
        </w:rPr>
        <w:t xml:space="preserve"> the effectiveness and (both internal and external) efficiency would be very low.</w:t>
      </w:r>
      <w:r w:rsidRPr="384F7AB1">
        <w:rPr>
          <w:rFonts w:asciiTheme="majorBidi" w:eastAsia="Times New Roman" w:hAnsiTheme="majorBidi" w:cstheme="majorBidi"/>
          <w:noProof/>
        </w:rPr>
        <w:t xml:space="preserve"> Such a shift </w:t>
      </w:r>
      <w:r w:rsidR="5A9B7706" w:rsidRPr="384F7AB1">
        <w:rPr>
          <w:rFonts w:asciiTheme="majorBidi" w:eastAsia="Times New Roman" w:hAnsiTheme="majorBidi" w:cstheme="majorBidi"/>
          <w:noProof/>
        </w:rPr>
        <w:t>may</w:t>
      </w:r>
      <w:r w:rsidRPr="384F7AB1">
        <w:rPr>
          <w:rFonts w:asciiTheme="majorBidi" w:eastAsia="Times New Roman" w:hAnsiTheme="majorBidi" w:cstheme="majorBidi"/>
          <w:noProof/>
        </w:rPr>
        <w:t xml:space="preserve"> also </w:t>
      </w:r>
      <w:r w:rsidR="14CD7243" w:rsidRPr="384F7AB1">
        <w:rPr>
          <w:rFonts w:asciiTheme="majorBidi" w:eastAsia="Times New Roman" w:hAnsiTheme="majorBidi" w:cstheme="majorBidi"/>
          <w:noProof/>
        </w:rPr>
        <w:t>risk</w:t>
      </w:r>
      <w:r w:rsidRPr="384F7AB1">
        <w:rPr>
          <w:rFonts w:asciiTheme="majorBidi" w:eastAsia="Times New Roman" w:hAnsiTheme="majorBidi" w:cstheme="majorBidi"/>
          <w:noProof/>
        </w:rPr>
        <w:t xml:space="preserve"> blur</w:t>
      </w:r>
      <w:r w:rsidR="04705D4B" w:rsidRPr="384F7AB1">
        <w:rPr>
          <w:rFonts w:asciiTheme="majorBidi" w:eastAsia="Times New Roman" w:hAnsiTheme="majorBidi" w:cstheme="majorBidi"/>
          <w:noProof/>
        </w:rPr>
        <w:t>ring</w:t>
      </w:r>
      <w:r w:rsidRPr="384F7AB1">
        <w:rPr>
          <w:rFonts w:asciiTheme="majorBidi" w:eastAsia="Times New Roman" w:hAnsiTheme="majorBidi" w:cstheme="majorBidi"/>
          <w:noProof/>
        </w:rPr>
        <w:t xml:space="preserve"> the institutional distinction between police and judicial cooperation enshrined in the Treaties.</w:t>
      </w:r>
    </w:p>
    <w:p w14:paraId="4314D6B0" w14:textId="77777777" w:rsidR="00A63B53" w:rsidRPr="00D4396B" w:rsidRDefault="00A63B53" w:rsidP="000F169A">
      <w:pPr>
        <w:pStyle w:val="ListParagraph"/>
        <w:numPr>
          <w:ilvl w:val="0"/>
          <w:numId w:val="15"/>
        </w:numPr>
        <w:spacing w:after="120"/>
        <w:ind w:left="567" w:hanging="567"/>
        <w:rPr>
          <w:rFonts w:asciiTheme="majorBidi" w:eastAsia="Times New Roman" w:hAnsiTheme="majorBidi" w:cstheme="majorBidi"/>
          <w:b/>
          <w:bCs/>
          <w:noProof/>
        </w:rPr>
      </w:pPr>
      <w:r w:rsidRPr="00D4396B">
        <w:rPr>
          <w:rFonts w:asciiTheme="majorBidi" w:eastAsia="Times New Roman" w:hAnsiTheme="majorBidi" w:cstheme="majorBidi"/>
          <w:b/>
          <w:bCs/>
          <w:noProof/>
        </w:rPr>
        <w:t>Fully integrating the networks currently hosted by Eurojust into the agency’s structure</w:t>
      </w:r>
    </w:p>
    <w:p w14:paraId="117CFC6D" w14:textId="48706FFC" w:rsidR="00A63B53" w:rsidRPr="00D4396B" w:rsidRDefault="00A63B53" w:rsidP="003B0D3B">
      <w:pPr>
        <w:spacing w:after="120"/>
        <w:rPr>
          <w:rFonts w:asciiTheme="majorBidi" w:eastAsia="Times New Roman" w:hAnsiTheme="majorBidi" w:cstheme="majorBidi"/>
          <w:noProof/>
        </w:rPr>
      </w:pPr>
      <w:r w:rsidRPr="00D4396B">
        <w:rPr>
          <w:rFonts w:asciiTheme="majorBidi" w:eastAsia="Times New Roman" w:hAnsiTheme="majorBidi" w:cstheme="majorBidi"/>
          <w:noProof/>
        </w:rPr>
        <w:t>The judicial networks hosted by Eurojust (e.g. EJN, Genocide Network</w:t>
      </w:r>
      <w:r w:rsidR="3288C855" w:rsidRPr="00D4396B">
        <w:rPr>
          <w:rFonts w:asciiTheme="majorBidi" w:eastAsia="Times New Roman" w:hAnsiTheme="majorBidi" w:cstheme="majorBidi"/>
          <w:noProof/>
        </w:rPr>
        <w:t>, etc.</w:t>
      </w:r>
      <w:r w:rsidRPr="00D4396B">
        <w:rPr>
          <w:rFonts w:asciiTheme="majorBidi" w:eastAsia="Times New Roman" w:hAnsiTheme="majorBidi" w:cstheme="majorBidi"/>
          <w:noProof/>
        </w:rPr>
        <w:t>) are designed to remain flexible, practitioner-driven, and relatively autonomous. Full integration into Eurojust’s</w:t>
      </w:r>
      <w:r w:rsidR="4B88C85B" w:rsidRPr="76C3D2E4">
        <w:rPr>
          <w:rFonts w:asciiTheme="majorBidi" w:eastAsia="Times New Roman" w:hAnsiTheme="majorBidi" w:cstheme="majorBidi"/>
          <w:noProof/>
        </w:rPr>
        <w:t xml:space="preserve"> </w:t>
      </w:r>
      <w:r w:rsidR="12C3C2E5" w:rsidRPr="76C3D2E4">
        <w:rPr>
          <w:rFonts w:asciiTheme="majorBidi" w:eastAsia="Times New Roman" w:hAnsiTheme="majorBidi" w:cstheme="majorBidi"/>
          <w:noProof/>
        </w:rPr>
        <w:t>structure</w:t>
      </w:r>
      <w:r w:rsidRPr="00D4396B">
        <w:rPr>
          <w:rFonts w:asciiTheme="majorBidi" w:eastAsia="Times New Roman" w:hAnsiTheme="majorBidi" w:cstheme="majorBidi"/>
          <w:noProof/>
        </w:rPr>
        <w:t xml:space="preserve"> could compromise their informal, peer-to-peer nature and reduce Member States’ sense of ownership. It could also create governance and accountability complexities, as these networks often serve broader or different mandates than Eurojust itself. </w:t>
      </w:r>
      <w:r w:rsidR="3E75D031" w:rsidRPr="620997DB">
        <w:rPr>
          <w:rFonts w:asciiTheme="majorBidi" w:eastAsia="Times New Roman" w:hAnsiTheme="majorBidi" w:cstheme="majorBidi"/>
          <w:noProof/>
        </w:rPr>
        <w:t xml:space="preserve">The efficiency would be low. </w:t>
      </w:r>
      <w:r w:rsidRPr="00D4396B">
        <w:rPr>
          <w:rFonts w:asciiTheme="majorBidi" w:eastAsia="Times New Roman" w:hAnsiTheme="majorBidi" w:cstheme="majorBidi"/>
          <w:noProof/>
        </w:rPr>
        <w:t>Maintaining a hosting model preserves operational flexibility while avoiding institutional overreach</w:t>
      </w:r>
      <w:r w:rsidR="38B63281" w:rsidRPr="620997DB">
        <w:rPr>
          <w:rFonts w:asciiTheme="majorBidi" w:eastAsia="Times New Roman" w:hAnsiTheme="majorBidi" w:cstheme="majorBidi"/>
          <w:noProof/>
        </w:rPr>
        <w:t xml:space="preserve"> and the external coherence of the agency</w:t>
      </w:r>
    </w:p>
    <w:p w14:paraId="4967A857" w14:textId="076ACF76" w:rsidR="00A63B53" w:rsidRPr="00D4396B" w:rsidRDefault="08FC6AC7" w:rsidP="009673B0">
      <w:pPr>
        <w:spacing w:after="120"/>
        <w:rPr>
          <w:rFonts w:asciiTheme="majorBidi" w:eastAsia="Times New Roman" w:hAnsiTheme="majorBidi" w:cstheme="majorBidi"/>
          <w:noProof/>
        </w:rPr>
      </w:pPr>
      <w:r w:rsidRPr="00D4396B">
        <w:rPr>
          <w:rFonts w:asciiTheme="majorBidi" w:eastAsia="Times New Roman" w:hAnsiTheme="majorBidi" w:cstheme="majorBidi"/>
          <w:noProof/>
        </w:rPr>
        <w:t xml:space="preserve">In addition, legal reasons </w:t>
      </w:r>
      <w:r w:rsidR="007314D7" w:rsidRPr="77CCF5BB">
        <w:rPr>
          <w:rFonts w:asciiTheme="majorBidi" w:eastAsia="Times New Roman" w:hAnsiTheme="majorBidi" w:cstheme="majorBidi"/>
          <w:noProof/>
        </w:rPr>
        <w:t>may</w:t>
      </w:r>
      <w:r w:rsidR="007314D7">
        <w:rPr>
          <w:rFonts w:asciiTheme="majorBidi" w:eastAsia="Times New Roman" w:hAnsiTheme="majorBidi" w:cstheme="majorBidi"/>
          <w:noProof/>
        </w:rPr>
        <w:t xml:space="preserve"> prevent </w:t>
      </w:r>
      <w:r w:rsidR="0005475B">
        <w:rPr>
          <w:rFonts w:asciiTheme="majorBidi" w:eastAsia="Times New Roman" w:hAnsiTheme="majorBidi" w:cstheme="majorBidi"/>
          <w:noProof/>
        </w:rPr>
        <w:t>substan</w:t>
      </w:r>
      <w:r w:rsidR="002E7F40">
        <w:rPr>
          <w:rFonts w:asciiTheme="majorBidi" w:eastAsia="Times New Roman" w:hAnsiTheme="majorBidi" w:cstheme="majorBidi"/>
          <w:noProof/>
        </w:rPr>
        <w:t>tive changes to</w:t>
      </w:r>
      <w:r w:rsidR="00973B52">
        <w:rPr>
          <w:rFonts w:asciiTheme="majorBidi" w:eastAsia="Times New Roman" w:hAnsiTheme="majorBidi" w:cstheme="majorBidi"/>
          <w:noProof/>
        </w:rPr>
        <w:t xml:space="preserve"> the</w:t>
      </w:r>
      <w:r w:rsidRPr="00D4396B">
        <w:rPr>
          <w:rFonts w:asciiTheme="majorBidi" w:eastAsia="Times New Roman" w:hAnsiTheme="majorBidi" w:cstheme="majorBidi"/>
          <w:noProof/>
        </w:rPr>
        <w:t xml:space="preserve"> EJN (provided by </w:t>
      </w:r>
      <w:r w:rsidR="00AB471B">
        <w:rPr>
          <w:rFonts w:asciiTheme="majorBidi" w:eastAsia="Times New Roman" w:hAnsiTheme="majorBidi" w:cstheme="majorBidi"/>
          <w:noProof/>
        </w:rPr>
        <w:t>A</w:t>
      </w:r>
      <w:r w:rsidR="00AB471B" w:rsidRPr="00D4396B">
        <w:rPr>
          <w:rFonts w:asciiTheme="majorBidi" w:eastAsia="Times New Roman" w:hAnsiTheme="majorBidi" w:cstheme="majorBidi"/>
          <w:noProof/>
        </w:rPr>
        <w:t xml:space="preserve">rticle </w:t>
      </w:r>
      <w:r w:rsidRPr="00D4396B">
        <w:rPr>
          <w:rFonts w:asciiTheme="majorBidi" w:eastAsia="Times New Roman" w:hAnsiTheme="majorBidi" w:cstheme="majorBidi"/>
          <w:noProof/>
        </w:rPr>
        <w:t>85 TFEU</w:t>
      </w:r>
      <w:r w:rsidRPr="270218DE">
        <w:rPr>
          <w:rFonts w:asciiTheme="majorBidi" w:eastAsia="Times New Roman" w:hAnsiTheme="majorBidi" w:cstheme="majorBidi"/>
          <w:noProof/>
        </w:rPr>
        <w:t>)</w:t>
      </w:r>
    </w:p>
    <w:p w14:paraId="21F2C6DB" w14:textId="15AE5476" w:rsidR="00A63B53" w:rsidRPr="00D4396B" w:rsidRDefault="00A63B53" w:rsidP="000F169A">
      <w:pPr>
        <w:numPr>
          <w:ilvl w:val="0"/>
          <w:numId w:val="14"/>
        </w:numPr>
        <w:spacing w:after="120"/>
        <w:ind w:left="426"/>
        <w:rPr>
          <w:rFonts w:asciiTheme="majorBidi" w:eastAsia="Times New Roman" w:hAnsiTheme="majorBidi" w:cstheme="majorBidi"/>
          <w:b/>
          <w:bCs/>
          <w:noProof/>
        </w:rPr>
      </w:pPr>
      <w:r w:rsidRPr="00D4396B">
        <w:rPr>
          <w:rFonts w:asciiTheme="majorBidi" w:eastAsia="Times New Roman" w:hAnsiTheme="majorBidi" w:cstheme="majorBidi"/>
          <w:b/>
          <w:bCs/>
          <w:noProof/>
        </w:rPr>
        <w:t>Enabling Eurojust to provide a binding decision in case of conflict of jurisdiction</w:t>
      </w:r>
    </w:p>
    <w:p w14:paraId="62559523" w14:textId="723CF482" w:rsidR="008C6FE7" w:rsidRDefault="16099869" w:rsidP="003B0D3B">
      <w:pPr>
        <w:spacing w:after="120"/>
        <w:rPr>
          <w:rFonts w:asciiTheme="majorBidi" w:eastAsia="Times New Roman" w:hAnsiTheme="majorBidi" w:cstheme="majorBidi"/>
          <w:noProof/>
          <w:lang w:val="en-US"/>
        </w:rPr>
      </w:pPr>
      <w:r w:rsidRPr="00D4396B">
        <w:rPr>
          <w:rFonts w:asciiTheme="majorBidi" w:eastAsia="Times New Roman" w:hAnsiTheme="majorBidi" w:cstheme="majorBidi"/>
          <w:noProof/>
        </w:rPr>
        <w:t>Although Article 85</w:t>
      </w:r>
      <w:r w:rsidR="003825C2" w:rsidRPr="00D4396B">
        <w:rPr>
          <w:rFonts w:asciiTheme="majorBidi" w:eastAsia="Times New Roman" w:hAnsiTheme="majorBidi" w:cstheme="majorBidi"/>
          <w:noProof/>
        </w:rPr>
        <w:t>(1)</w:t>
      </w:r>
      <w:r w:rsidRPr="00D4396B">
        <w:rPr>
          <w:rFonts w:asciiTheme="majorBidi" w:eastAsia="Times New Roman" w:hAnsiTheme="majorBidi" w:cstheme="majorBidi"/>
          <w:noProof/>
        </w:rPr>
        <w:t xml:space="preserve"> TFEU allow</w:t>
      </w:r>
      <w:r w:rsidR="5B958B88" w:rsidRPr="00D4396B">
        <w:rPr>
          <w:rFonts w:asciiTheme="majorBidi" w:eastAsia="Times New Roman" w:hAnsiTheme="majorBidi" w:cstheme="majorBidi"/>
          <w:noProof/>
        </w:rPr>
        <w:t>s</w:t>
      </w:r>
      <w:r w:rsidRPr="00D4396B">
        <w:rPr>
          <w:rFonts w:asciiTheme="majorBidi" w:eastAsia="Times New Roman" w:hAnsiTheme="majorBidi" w:cstheme="majorBidi"/>
          <w:noProof/>
        </w:rPr>
        <w:t xml:space="preserve"> for the creation of binding decision-making powers for Eurojust in relation to the resolution of conflicts of jurisdiction (going beyond </w:t>
      </w:r>
      <w:r w:rsidR="00F22C84">
        <w:rPr>
          <w:rFonts w:asciiTheme="majorBidi" w:eastAsia="Times New Roman" w:hAnsiTheme="majorBidi" w:cstheme="majorBidi"/>
          <w:noProof/>
        </w:rPr>
        <w:t>the sole</w:t>
      </w:r>
      <w:r w:rsidRPr="00D4396B">
        <w:rPr>
          <w:rFonts w:asciiTheme="majorBidi" w:eastAsia="Times New Roman" w:hAnsiTheme="majorBidi" w:cstheme="majorBidi"/>
          <w:noProof/>
        </w:rPr>
        <w:t xml:space="preserve"> opinion provided for in Article 4(4) of the </w:t>
      </w:r>
      <w:r w:rsidR="008D1C68" w:rsidRPr="7BAB790B">
        <w:rPr>
          <w:rFonts w:asciiTheme="majorBidi" w:eastAsia="Times New Roman" w:hAnsiTheme="majorBidi" w:cstheme="majorBidi"/>
          <w:noProof/>
        </w:rPr>
        <w:t>E</w:t>
      </w:r>
      <w:r w:rsidR="210D83B1" w:rsidRPr="7BAB790B">
        <w:rPr>
          <w:rFonts w:asciiTheme="majorBidi" w:eastAsia="Times New Roman" w:hAnsiTheme="majorBidi" w:cstheme="majorBidi"/>
          <w:noProof/>
        </w:rPr>
        <w:t>JR</w:t>
      </w:r>
      <w:r w:rsidRPr="00D4396B">
        <w:rPr>
          <w:rFonts w:asciiTheme="majorBidi" w:eastAsia="Times New Roman" w:hAnsiTheme="majorBidi" w:cstheme="majorBidi"/>
          <w:noProof/>
        </w:rPr>
        <w:t xml:space="preserve">), </w:t>
      </w:r>
      <w:r w:rsidR="005D5756">
        <w:rPr>
          <w:rFonts w:asciiTheme="majorBidi" w:eastAsia="Times New Roman" w:hAnsiTheme="majorBidi" w:cstheme="majorBidi"/>
          <w:noProof/>
        </w:rPr>
        <w:t xml:space="preserve">there </w:t>
      </w:r>
      <w:r w:rsidR="005D5756" w:rsidRPr="3B959FBF">
        <w:rPr>
          <w:rFonts w:asciiTheme="majorBidi" w:eastAsia="Times New Roman" w:hAnsiTheme="majorBidi" w:cstheme="majorBidi"/>
          <w:noProof/>
        </w:rPr>
        <w:t>seem</w:t>
      </w:r>
      <w:r w:rsidR="0FBFF314" w:rsidRPr="3B959FBF">
        <w:rPr>
          <w:rFonts w:asciiTheme="majorBidi" w:eastAsia="Times New Roman" w:hAnsiTheme="majorBidi" w:cstheme="majorBidi"/>
          <w:noProof/>
        </w:rPr>
        <w:t>s</w:t>
      </w:r>
      <w:r w:rsidR="005D5756">
        <w:rPr>
          <w:rFonts w:asciiTheme="majorBidi" w:eastAsia="Times New Roman" w:hAnsiTheme="majorBidi" w:cstheme="majorBidi"/>
          <w:noProof/>
        </w:rPr>
        <w:t xml:space="preserve"> to be no pressing need to entrust such power to the Agency</w:t>
      </w:r>
      <w:r w:rsidR="006C22A4">
        <w:rPr>
          <w:rFonts w:asciiTheme="majorBidi" w:eastAsia="Times New Roman" w:hAnsiTheme="majorBidi" w:cstheme="majorBidi"/>
          <w:noProof/>
        </w:rPr>
        <w:t>.</w:t>
      </w:r>
    </w:p>
    <w:p w14:paraId="5B93C142" w14:textId="2A7AFEFF" w:rsidR="00A63B53" w:rsidRPr="000F169A" w:rsidRDefault="008C6FE7" w:rsidP="541F7F39">
      <w:pPr>
        <w:spacing w:after="120"/>
        <w:rPr>
          <w:rFonts w:asciiTheme="majorBidi" w:eastAsiaTheme="minorEastAsia" w:hAnsiTheme="majorBidi" w:cstheme="majorBidi"/>
          <w:noProof/>
          <w:lang w:val="en-US"/>
        </w:rPr>
      </w:pPr>
      <w:r w:rsidRPr="384F7AB1">
        <w:rPr>
          <w:rFonts w:asciiTheme="majorBidi" w:eastAsia="Times New Roman" w:hAnsiTheme="majorBidi" w:cstheme="majorBidi"/>
          <w:noProof/>
          <w:lang w:val="en-US"/>
        </w:rPr>
        <w:t xml:space="preserve">Several EU instruments </w:t>
      </w:r>
      <w:r w:rsidR="00AB18FD" w:rsidRPr="384F7AB1">
        <w:rPr>
          <w:rFonts w:asciiTheme="majorBidi" w:eastAsia="Times New Roman" w:hAnsiTheme="majorBidi" w:cstheme="majorBidi"/>
          <w:noProof/>
          <w:lang w:val="en-US"/>
        </w:rPr>
        <w:t>already regulate the matter</w:t>
      </w:r>
      <w:r w:rsidR="00721004" w:rsidRPr="384F7AB1">
        <w:rPr>
          <w:rFonts w:asciiTheme="majorBidi" w:eastAsia="Times New Roman" w:hAnsiTheme="majorBidi" w:cstheme="majorBidi"/>
          <w:noProof/>
          <w:lang w:val="en-US"/>
        </w:rPr>
        <w:t>.</w:t>
      </w:r>
      <w:r w:rsidR="00161DD8" w:rsidRPr="384F7AB1">
        <w:rPr>
          <w:rFonts w:asciiTheme="majorBidi" w:eastAsia="Times New Roman" w:hAnsiTheme="majorBidi" w:cstheme="majorBidi"/>
          <w:noProof/>
          <w:lang w:val="en-US"/>
        </w:rPr>
        <w:t xml:space="preserve"> </w:t>
      </w:r>
      <w:r w:rsidR="00161DD8" w:rsidRPr="384F7AB1">
        <w:rPr>
          <w:rFonts w:asciiTheme="majorBidi" w:eastAsia="Times New Roman" w:hAnsiTheme="majorBidi" w:cstheme="majorBidi"/>
          <w:noProof/>
        </w:rPr>
        <w:t>Council Framework Decision 2009/948/JHA provides a mechanism for consultation aimed at preventing parallel proceedings, with most cases resolved by cooperation between authorities and via the a</w:t>
      </w:r>
      <w:r w:rsidR="00161DD8" w:rsidRPr="384F7AB1">
        <w:rPr>
          <w:rFonts w:asciiTheme="majorBidi" w:eastAsiaTheme="minorEastAsia" w:hAnsiTheme="majorBidi" w:cstheme="majorBidi"/>
          <w:noProof/>
        </w:rPr>
        <w:t>pplication of the ne bis in idem principle, as interpreted by the caselaw. In situations where the competent authorities cannot reach agreement, the matter is, where appropriate, referred to Eurojust.</w:t>
      </w:r>
      <w:r w:rsidRPr="000F169A">
        <w:rPr>
          <w:rStyle w:val="FootnoteReference"/>
          <w:noProof/>
        </w:rPr>
        <w:footnoteReference w:id="110"/>
      </w:r>
      <w:r w:rsidR="002B7498" w:rsidRPr="384F7AB1">
        <w:rPr>
          <w:rFonts w:asciiTheme="majorBidi" w:eastAsiaTheme="minorEastAsia" w:hAnsiTheme="majorBidi" w:cstheme="majorBidi"/>
          <w:noProof/>
        </w:rPr>
        <w:t xml:space="preserve"> </w:t>
      </w:r>
      <w:r w:rsidR="00AE10C4" w:rsidRPr="384F7AB1">
        <w:rPr>
          <w:rFonts w:asciiTheme="majorBidi" w:eastAsiaTheme="minorEastAsia" w:hAnsiTheme="majorBidi" w:cstheme="majorBidi"/>
          <w:noProof/>
        </w:rPr>
        <w:t>Regulation (EU) 2024/3011</w:t>
      </w:r>
      <w:r w:rsidR="4A02D4CD" w:rsidRPr="384F7AB1">
        <w:rPr>
          <w:rFonts w:asciiTheme="majorBidi" w:eastAsiaTheme="minorEastAsia" w:hAnsiTheme="majorBidi" w:cstheme="majorBidi"/>
          <w:noProof/>
        </w:rPr>
        <w:t xml:space="preserve"> </w:t>
      </w:r>
      <w:r w:rsidR="00AE10C4" w:rsidRPr="384F7AB1">
        <w:rPr>
          <w:rFonts w:asciiTheme="majorBidi" w:eastAsiaTheme="minorEastAsia" w:hAnsiTheme="majorBidi" w:cstheme="majorBidi"/>
          <w:noProof/>
        </w:rPr>
        <w:t>on the transfer of proceedings in criminal matters pursues similar objectives.</w:t>
      </w:r>
      <w:r w:rsidRPr="000F169A">
        <w:rPr>
          <w:rStyle w:val="FootnoteReference"/>
          <w:noProof/>
        </w:rPr>
        <w:footnoteReference w:id="111"/>
      </w:r>
      <w:r w:rsidR="6EAD5065" w:rsidRPr="000F169A">
        <w:rPr>
          <w:rFonts w:asciiTheme="majorBidi" w:eastAsiaTheme="minorEastAsia" w:hAnsiTheme="majorBidi" w:cstheme="majorBidi"/>
          <w:noProof/>
        </w:rPr>
        <w:t xml:space="preserve"> </w:t>
      </w:r>
      <w:r w:rsidR="00AE10C4" w:rsidRPr="384F7AB1">
        <w:rPr>
          <w:rFonts w:asciiTheme="majorBidi" w:eastAsiaTheme="minorEastAsia" w:hAnsiTheme="majorBidi" w:cstheme="majorBidi"/>
          <w:noProof/>
        </w:rPr>
        <w:t>Furthermore, Eurojust has always been conceived as a coordinating actor and not as a binding arbiter of national competences.</w:t>
      </w:r>
      <w:r w:rsidR="00AE10C4" w:rsidRPr="000F169A">
        <w:rPr>
          <w:rStyle w:val="FootnoteReference"/>
          <w:noProof/>
        </w:rPr>
        <w:footnoteReference w:id="112"/>
      </w:r>
      <w:r w:rsidR="00AE10C4" w:rsidRPr="384F7AB1">
        <w:rPr>
          <w:rFonts w:asciiTheme="majorBidi" w:eastAsiaTheme="minorEastAsia" w:hAnsiTheme="majorBidi" w:cstheme="majorBidi"/>
          <w:noProof/>
        </w:rPr>
        <w:t xml:space="preserve"> </w:t>
      </w:r>
      <w:r w:rsidR="6039D62B" w:rsidRPr="384F7AB1">
        <w:rPr>
          <w:rFonts w:asciiTheme="majorBidi" w:eastAsiaTheme="minorEastAsia" w:hAnsiTheme="majorBidi" w:cstheme="majorBidi"/>
          <w:noProof/>
        </w:rPr>
        <w:t xml:space="preserve">When </w:t>
      </w:r>
      <w:r w:rsidR="62F5EA59" w:rsidRPr="384F7AB1">
        <w:rPr>
          <w:rFonts w:asciiTheme="majorBidi" w:eastAsiaTheme="minorEastAsia" w:hAnsiTheme="majorBidi" w:cstheme="majorBidi"/>
          <w:noProof/>
        </w:rPr>
        <w:t>i</w:t>
      </w:r>
      <w:r w:rsidR="00AE10C4" w:rsidRPr="384F7AB1">
        <w:rPr>
          <w:rFonts w:asciiTheme="majorBidi" w:eastAsiaTheme="minorEastAsia" w:hAnsiTheme="majorBidi" w:cstheme="majorBidi"/>
          <w:noProof/>
        </w:rPr>
        <w:t xml:space="preserve">nformation relating to these conflicts of jurisdiction </w:t>
      </w:r>
      <w:r w:rsidR="56B23A83" w:rsidRPr="384F7AB1">
        <w:rPr>
          <w:rFonts w:asciiTheme="majorBidi" w:eastAsiaTheme="minorEastAsia" w:hAnsiTheme="majorBidi" w:cstheme="majorBidi"/>
          <w:noProof/>
        </w:rPr>
        <w:t>is</w:t>
      </w:r>
      <w:r w:rsidR="00AE10C4" w:rsidRPr="384F7AB1">
        <w:rPr>
          <w:rFonts w:asciiTheme="majorBidi" w:eastAsiaTheme="minorEastAsia" w:hAnsiTheme="majorBidi" w:cstheme="majorBidi"/>
          <w:noProof/>
        </w:rPr>
        <w:t xml:space="preserve"> brought to the attention of Eurojust, </w:t>
      </w:r>
      <w:r w:rsidR="020C2962" w:rsidRPr="384F7AB1">
        <w:rPr>
          <w:rFonts w:asciiTheme="majorBidi" w:eastAsiaTheme="minorEastAsia" w:hAnsiTheme="majorBidi" w:cstheme="majorBidi"/>
          <w:noProof/>
        </w:rPr>
        <w:t>it</w:t>
      </w:r>
      <w:r w:rsidR="00AE10C4" w:rsidRPr="384F7AB1">
        <w:rPr>
          <w:rFonts w:asciiTheme="majorBidi" w:eastAsiaTheme="minorEastAsia" w:hAnsiTheme="majorBidi" w:cstheme="majorBidi"/>
          <w:noProof/>
        </w:rPr>
        <w:t xml:space="preserve"> can exert influence at the level of the national desks concerned to ensure that a solution is found.</w:t>
      </w:r>
      <w:r w:rsidR="00AE10C4" w:rsidRPr="000F169A">
        <w:rPr>
          <w:rStyle w:val="FootnoteReference"/>
          <w:noProof/>
        </w:rPr>
        <w:footnoteReference w:id="113"/>
      </w:r>
      <w:r w:rsidR="526D25C1" w:rsidRPr="384F7AB1">
        <w:rPr>
          <w:rFonts w:asciiTheme="majorBidi" w:eastAsiaTheme="minorEastAsia" w:hAnsiTheme="majorBidi" w:cstheme="majorBidi"/>
          <w:noProof/>
        </w:rPr>
        <w:t xml:space="preserve"> There</w:t>
      </w:r>
      <w:r w:rsidR="00424B21" w:rsidRPr="384F7AB1">
        <w:rPr>
          <w:rFonts w:asciiTheme="majorBidi" w:eastAsiaTheme="minorEastAsia" w:hAnsiTheme="majorBidi" w:cstheme="majorBidi"/>
          <w:noProof/>
        </w:rPr>
        <w:t xml:space="preserve"> is</w:t>
      </w:r>
      <w:r w:rsidR="526D25C1" w:rsidRPr="384F7AB1">
        <w:rPr>
          <w:rFonts w:asciiTheme="majorBidi" w:eastAsiaTheme="minorEastAsia" w:hAnsiTheme="majorBidi" w:cstheme="majorBidi"/>
          <w:noProof/>
        </w:rPr>
        <w:t xml:space="preserve"> thus no need to enhance the effectiveness in this area.</w:t>
      </w:r>
    </w:p>
    <w:p w14:paraId="7EBE3A26" w14:textId="324BBF27" w:rsidR="00537407" w:rsidRPr="00504DA1" w:rsidRDefault="08FC6AC7" w:rsidP="541F7F39">
      <w:pPr>
        <w:spacing w:after="120"/>
        <w:rPr>
          <w:rFonts w:asciiTheme="majorBidi" w:eastAsiaTheme="minorEastAsia" w:hAnsiTheme="majorBidi" w:cstheme="majorBidi"/>
          <w:noProof/>
        </w:rPr>
      </w:pPr>
      <w:r w:rsidRPr="00504DA1">
        <w:rPr>
          <w:rFonts w:asciiTheme="majorBidi" w:eastAsiaTheme="minorEastAsia" w:hAnsiTheme="majorBidi" w:cstheme="majorBidi"/>
          <w:noProof/>
        </w:rPr>
        <w:t>Ultimately, the procedural and legal consequences of such binding powers would be significant, particularly in terms of legal remedies</w:t>
      </w:r>
      <w:r w:rsidR="00AF0FF8" w:rsidRPr="00504DA1">
        <w:rPr>
          <w:rFonts w:asciiTheme="majorBidi" w:eastAsiaTheme="minorEastAsia" w:hAnsiTheme="majorBidi" w:cstheme="majorBidi"/>
          <w:noProof/>
        </w:rPr>
        <w:t>,</w:t>
      </w:r>
      <w:r w:rsidRPr="000F169A">
        <w:rPr>
          <w:rStyle w:val="FootnoteReference"/>
          <w:noProof/>
        </w:rPr>
        <w:footnoteReference w:id="114"/>
      </w:r>
      <w:r w:rsidRPr="00504DA1">
        <w:rPr>
          <w:rFonts w:asciiTheme="majorBidi" w:eastAsiaTheme="minorEastAsia" w:hAnsiTheme="majorBidi" w:cstheme="majorBidi"/>
          <w:noProof/>
        </w:rPr>
        <w:t xml:space="preserve"> and could unnecessarily complicate the current system</w:t>
      </w:r>
      <w:r w:rsidR="00480640" w:rsidRPr="00504DA1">
        <w:rPr>
          <w:rFonts w:asciiTheme="majorBidi" w:eastAsiaTheme="minorEastAsia" w:hAnsiTheme="majorBidi" w:cstheme="majorBidi"/>
          <w:noProof/>
        </w:rPr>
        <w:t>.</w:t>
      </w:r>
      <w:r w:rsidR="222ADBE1" w:rsidRPr="541F7F39">
        <w:rPr>
          <w:rFonts w:asciiTheme="majorBidi" w:eastAsiaTheme="minorEastAsia" w:hAnsiTheme="majorBidi" w:cstheme="majorBidi"/>
          <w:noProof/>
        </w:rPr>
        <w:t xml:space="preserve"> The efficiency score would be low.</w:t>
      </w:r>
    </w:p>
    <w:p w14:paraId="7D467B37" w14:textId="5062F0D7" w:rsidR="0D2B0AD6" w:rsidRPr="00D4396B" w:rsidRDefault="0D2B0AD6" w:rsidP="00E324A3">
      <w:pPr>
        <w:pStyle w:val="ListParagraph"/>
        <w:numPr>
          <w:ilvl w:val="0"/>
          <w:numId w:val="1"/>
        </w:numPr>
        <w:spacing w:after="120"/>
        <w:ind w:left="567" w:hanging="567"/>
        <w:rPr>
          <w:rFonts w:asciiTheme="majorBidi" w:eastAsia="Times New Roman" w:hAnsiTheme="majorBidi" w:cstheme="majorBidi"/>
          <w:b/>
          <w:bCs/>
          <w:noProof/>
        </w:rPr>
      </w:pPr>
      <w:r w:rsidRPr="00E028A0">
        <w:rPr>
          <w:rFonts w:asciiTheme="majorBidi" w:eastAsia="Times New Roman" w:hAnsiTheme="majorBidi" w:cstheme="majorBidi"/>
          <w:b/>
          <w:bCs/>
          <w:noProof/>
        </w:rPr>
        <w:t>Provide for specific rules (</w:t>
      </w:r>
      <w:r w:rsidRPr="00E028A0">
        <w:rPr>
          <w:rFonts w:asciiTheme="majorBidi" w:eastAsia="Times New Roman" w:hAnsiTheme="majorBidi" w:cstheme="majorBidi"/>
          <w:b/>
          <w:i/>
          <w:noProof/>
        </w:rPr>
        <w:t>lex specialis</w:t>
      </w:r>
      <w:r w:rsidRPr="00E028A0">
        <w:rPr>
          <w:rFonts w:asciiTheme="majorBidi" w:eastAsia="Times New Roman" w:hAnsiTheme="majorBidi" w:cstheme="majorBidi"/>
          <w:b/>
          <w:bCs/>
          <w:noProof/>
        </w:rPr>
        <w:t>) regarding data processing, transfer and protection</w:t>
      </w:r>
    </w:p>
    <w:p w14:paraId="1DDF6708" w14:textId="4D286AC8" w:rsidR="4C4BDB89" w:rsidRPr="00D4396B" w:rsidRDefault="2AF3F68E" w:rsidP="00E028A0">
      <w:pPr>
        <w:spacing w:before="240"/>
        <w:rPr>
          <w:rFonts w:eastAsia="Times New Roman"/>
          <w:noProof/>
          <w:color w:val="000000" w:themeColor="text1"/>
          <w:lang w:val="en-US"/>
        </w:rPr>
      </w:pPr>
      <w:r w:rsidRPr="00D4396B">
        <w:rPr>
          <w:rFonts w:eastAsia="Times New Roman"/>
          <w:noProof/>
          <w:color w:val="000000" w:themeColor="text1"/>
          <w:lang w:val="en-US"/>
        </w:rPr>
        <w:t>The revision of Chapter IX of the EUDPR, in parallel with that of the Eurojust mandate, is intended to establish comprehensive, up-to-date, and directly applicable rules on data transfers for all EU JHA bodies and agencies. It provides an opportunity to bring all rules on the processing of personal data under the same umbrella, addressing the current fragmentation where part of the rules is included in the individual founding Regulations and with some differences between them.</w:t>
      </w:r>
    </w:p>
    <w:p w14:paraId="71A19C3C" w14:textId="3627224C" w:rsidR="00512781" w:rsidRPr="00D4396B" w:rsidRDefault="2AF3F68E" w:rsidP="384F7AB1">
      <w:pPr>
        <w:spacing w:after="120"/>
        <w:rPr>
          <w:rFonts w:eastAsia="Times New Roman"/>
          <w:noProof/>
          <w:color w:val="000000" w:themeColor="text1"/>
          <w:lang w:val="en-US"/>
        </w:rPr>
      </w:pPr>
      <w:r w:rsidRPr="384F7AB1">
        <w:rPr>
          <w:rFonts w:eastAsia="Times New Roman"/>
          <w:noProof/>
          <w:color w:val="000000" w:themeColor="text1"/>
          <w:lang w:val="en-US"/>
        </w:rPr>
        <w:t xml:space="preserve">The EUDPR </w:t>
      </w:r>
      <w:r w:rsidR="442C4A48" w:rsidRPr="384F7AB1">
        <w:rPr>
          <w:rFonts w:eastAsia="Times New Roman"/>
          <w:noProof/>
          <w:color w:val="000000" w:themeColor="text1"/>
          <w:lang w:val="en-US"/>
        </w:rPr>
        <w:t>constitutes</w:t>
      </w:r>
      <w:r w:rsidRPr="384F7AB1">
        <w:rPr>
          <w:rFonts w:eastAsia="Times New Roman"/>
          <w:noProof/>
          <w:color w:val="000000" w:themeColor="text1"/>
          <w:lang w:val="en-US"/>
        </w:rPr>
        <w:t xml:space="preserve"> the “</w:t>
      </w:r>
      <w:r w:rsidRPr="384F7AB1">
        <w:rPr>
          <w:rFonts w:eastAsia="Times New Roman"/>
          <w:i/>
          <w:iCs/>
          <w:noProof/>
          <w:color w:val="000000" w:themeColor="text1"/>
          <w:lang w:val="en-US"/>
        </w:rPr>
        <w:t>lex generalis</w:t>
      </w:r>
      <w:r w:rsidRPr="384F7AB1">
        <w:rPr>
          <w:rFonts w:eastAsia="Times New Roman"/>
          <w:noProof/>
          <w:color w:val="000000" w:themeColor="text1"/>
          <w:lang w:val="en-US"/>
        </w:rPr>
        <w:t xml:space="preserve">” making additional Eurojust-specific rules </w:t>
      </w:r>
      <w:r w:rsidR="7C035234" w:rsidRPr="384F7AB1">
        <w:rPr>
          <w:rFonts w:eastAsia="Times New Roman"/>
          <w:noProof/>
          <w:color w:val="000000" w:themeColor="text1"/>
          <w:lang w:val="en-US"/>
        </w:rPr>
        <w:t xml:space="preserve">only justified </w:t>
      </w:r>
      <w:r w:rsidR="24F1CBD1" w:rsidRPr="384F7AB1">
        <w:rPr>
          <w:rFonts w:eastAsia="Times New Roman"/>
          <w:noProof/>
          <w:color w:val="000000" w:themeColor="text1"/>
          <w:lang w:val="en-US"/>
        </w:rPr>
        <w:t>by an imperative</w:t>
      </w:r>
      <w:r w:rsidRPr="384F7AB1">
        <w:rPr>
          <w:rFonts w:eastAsia="Times New Roman"/>
          <w:noProof/>
          <w:color w:val="000000" w:themeColor="text1"/>
          <w:lang w:val="en-US"/>
        </w:rPr>
        <w:t xml:space="preserve"> need to deviate</w:t>
      </w:r>
      <w:r w:rsidR="7E2B1A3A" w:rsidRPr="384F7AB1">
        <w:rPr>
          <w:rFonts w:eastAsia="Times New Roman"/>
          <w:noProof/>
          <w:color w:val="000000" w:themeColor="text1"/>
          <w:lang w:val="en-US"/>
        </w:rPr>
        <w:t xml:space="preserve"> from th</w:t>
      </w:r>
      <w:r w:rsidR="4D79ECB4" w:rsidRPr="384F7AB1">
        <w:rPr>
          <w:rFonts w:eastAsia="Times New Roman"/>
          <w:noProof/>
          <w:color w:val="000000" w:themeColor="text1"/>
          <w:lang w:val="en-US"/>
        </w:rPr>
        <w:t>is</w:t>
      </w:r>
      <w:r w:rsidR="7E2B1A3A" w:rsidRPr="384F7AB1">
        <w:rPr>
          <w:rFonts w:eastAsia="Times New Roman"/>
          <w:noProof/>
          <w:color w:val="000000" w:themeColor="text1"/>
          <w:lang w:val="en-US"/>
        </w:rPr>
        <w:t xml:space="preserve"> global framework</w:t>
      </w:r>
      <w:r w:rsidRPr="384F7AB1">
        <w:rPr>
          <w:rFonts w:eastAsia="Times New Roman"/>
          <w:noProof/>
          <w:color w:val="000000" w:themeColor="text1"/>
          <w:lang w:val="en-US"/>
        </w:rPr>
        <w:t xml:space="preserve">. This </w:t>
      </w:r>
      <w:r w:rsidR="4DC685AD" w:rsidRPr="384F7AB1">
        <w:rPr>
          <w:rFonts w:eastAsia="Times New Roman"/>
          <w:noProof/>
          <w:color w:val="000000" w:themeColor="text1"/>
          <w:lang w:val="en-US"/>
        </w:rPr>
        <w:t>necessity</w:t>
      </w:r>
      <w:r w:rsidRPr="384F7AB1">
        <w:rPr>
          <w:rFonts w:eastAsia="Times New Roman"/>
          <w:noProof/>
          <w:color w:val="000000" w:themeColor="text1"/>
          <w:lang w:val="en-US"/>
        </w:rPr>
        <w:t xml:space="preserve"> to go beyond these horizontal rules</w:t>
      </w:r>
      <w:r w:rsidR="79B3DAB7" w:rsidRPr="384F7AB1">
        <w:rPr>
          <w:rFonts w:eastAsia="Times New Roman"/>
          <w:noProof/>
          <w:color w:val="000000" w:themeColor="text1"/>
          <w:lang w:val="en-US"/>
        </w:rPr>
        <w:t>,</w:t>
      </w:r>
      <w:r w:rsidRPr="384F7AB1">
        <w:rPr>
          <w:rFonts w:eastAsia="Times New Roman"/>
          <w:noProof/>
          <w:color w:val="000000" w:themeColor="text1"/>
          <w:lang w:val="en-US"/>
        </w:rPr>
        <w:t xml:space="preserve"> </w:t>
      </w:r>
      <w:r w:rsidR="49D9970C" w:rsidRPr="384F7AB1">
        <w:rPr>
          <w:rFonts w:eastAsia="Times New Roman"/>
          <w:noProof/>
          <w:color w:val="000000" w:themeColor="text1"/>
          <w:lang w:val="en-US"/>
        </w:rPr>
        <w:t>in compliance with the key principles laid down by the EUDPR</w:t>
      </w:r>
      <w:r w:rsidR="2E015ED6" w:rsidRPr="384F7AB1">
        <w:rPr>
          <w:rFonts w:eastAsia="Times New Roman"/>
          <w:noProof/>
          <w:color w:val="000000" w:themeColor="text1"/>
          <w:lang w:val="en-US"/>
        </w:rPr>
        <w:t>,</w:t>
      </w:r>
      <w:r w:rsidR="49D9970C" w:rsidRPr="384F7AB1">
        <w:rPr>
          <w:rFonts w:eastAsia="Times New Roman"/>
          <w:noProof/>
          <w:color w:val="000000" w:themeColor="text1"/>
          <w:lang w:val="en-US"/>
        </w:rPr>
        <w:t xml:space="preserve"> </w:t>
      </w:r>
      <w:r w:rsidRPr="384F7AB1">
        <w:rPr>
          <w:rFonts w:eastAsia="Times New Roman"/>
          <w:noProof/>
          <w:color w:val="000000" w:themeColor="text1"/>
          <w:lang w:val="en-US"/>
        </w:rPr>
        <w:t>has not been identified</w:t>
      </w:r>
      <w:r w:rsidR="18242253" w:rsidRPr="384F7AB1">
        <w:rPr>
          <w:rFonts w:eastAsia="Times New Roman"/>
          <w:noProof/>
          <w:color w:val="000000" w:themeColor="text1"/>
          <w:lang w:val="en-US"/>
        </w:rPr>
        <w:t xml:space="preserve"> </w:t>
      </w:r>
      <w:r w:rsidR="49ABF3DE" w:rsidRPr="384F7AB1">
        <w:rPr>
          <w:rFonts w:eastAsia="Times New Roman"/>
          <w:noProof/>
          <w:color w:val="000000" w:themeColor="text1"/>
          <w:lang w:val="en-US"/>
        </w:rPr>
        <w:t>from an operational perspective</w:t>
      </w:r>
      <w:r w:rsidR="77F69DF8" w:rsidRPr="384F7AB1">
        <w:rPr>
          <w:rFonts w:eastAsia="Times New Roman"/>
          <w:noProof/>
          <w:color w:val="000000" w:themeColor="text1"/>
          <w:lang w:val="en-US"/>
        </w:rPr>
        <w:t>.</w:t>
      </w:r>
      <w:r w:rsidR="50E2F601" w:rsidRPr="384F7AB1">
        <w:rPr>
          <w:rFonts w:eastAsia="Times New Roman"/>
          <w:noProof/>
          <w:color w:val="000000" w:themeColor="text1"/>
          <w:lang w:val="en-US"/>
        </w:rPr>
        <w:t xml:space="preserve"> In addition, </w:t>
      </w:r>
      <w:r w:rsidR="5683747C" w:rsidRPr="384F7AB1">
        <w:rPr>
          <w:rFonts w:eastAsia="Times New Roman"/>
          <w:noProof/>
          <w:color w:val="000000" w:themeColor="text1"/>
          <w:lang w:val="en-US"/>
        </w:rPr>
        <w:t>c</w:t>
      </w:r>
      <w:r w:rsidRPr="384F7AB1">
        <w:rPr>
          <w:rFonts w:eastAsia="Times New Roman"/>
          <w:noProof/>
          <w:color w:val="000000" w:themeColor="text1"/>
          <w:lang w:val="en-US"/>
        </w:rPr>
        <w:t>reating</w:t>
      </w:r>
      <w:r w:rsidR="711A1333" w:rsidRPr="384F7AB1">
        <w:rPr>
          <w:rFonts w:eastAsia="Times New Roman"/>
          <w:noProof/>
          <w:color w:val="000000" w:themeColor="text1"/>
          <w:lang w:val="en-US"/>
        </w:rPr>
        <w:t xml:space="preserve"> a</w:t>
      </w:r>
      <w:r w:rsidRPr="384F7AB1">
        <w:rPr>
          <w:rFonts w:eastAsia="Times New Roman"/>
          <w:noProof/>
          <w:color w:val="000000" w:themeColor="text1"/>
          <w:lang w:val="en-US"/>
        </w:rPr>
        <w:t xml:space="preserve"> “</w:t>
      </w:r>
      <w:r w:rsidR="00E751CD" w:rsidRPr="384F7AB1">
        <w:rPr>
          <w:rFonts w:eastAsia="Times New Roman"/>
          <w:i/>
          <w:iCs/>
          <w:noProof/>
          <w:color w:val="000000" w:themeColor="text1"/>
          <w:lang w:val="en-US"/>
        </w:rPr>
        <w:t>l</w:t>
      </w:r>
      <w:r w:rsidRPr="384F7AB1">
        <w:rPr>
          <w:rFonts w:eastAsia="Times New Roman"/>
          <w:i/>
          <w:iCs/>
          <w:noProof/>
          <w:color w:val="000000" w:themeColor="text1"/>
          <w:lang w:val="en-US"/>
        </w:rPr>
        <w:t xml:space="preserve">ex </w:t>
      </w:r>
      <w:r w:rsidR="00E751CD" w:rsidRPr="384F7AB1">
        <w:rPr>
          <w:rFonts w:eastAsia="Times New Roman"/>
          <w:i/>
          <w:iCs/>
          <w:noProof/>
          <w:color w:val="000000" w:themeColor="text1"/>
          <w:lang w:val="en-US"/>
        </w:rPr>
        <w:t>s</w:t>
      </w:r>
      <w:r w:rsidRPr="384F7AB1">
        <w:rPr>
          <w:rFonts w:eastAsia="Times New Roman"/>
          <w:i/>
          <w:iCs/>
          <w:noProof/>
          <w:color w:val="000000" w:themeColor="text1"/>
          <w:lang w:val="en-US"/>
        </w:rPr>
        <w:t>pecialis</w:t>
      </w:r>
      <w:r w:rsidRPr="384F7AB1">
        <w:rPr>
          <w:rFonts w:eastAsia="Times New Roman"/>
          <w:noProof/>
          <w:color w:val="000000" w:themeColor="text1"/>
          <w:lang w:val="en-US"/>
        </w:rPr>
        <w:t xml:space="preserve">” in the EJR could </w:t>
      </w:r>
      <w:r w:rsidR="6AE09361" w:rsidRPr="384F7AB1">
        <w:rPr>
          <w:rFonts w:eastAsia="Times New Roman"/>
          <w:noProof/>
          <w:color w:val="000000" w:themeColor="text1"/>
          <w:lang w:val="en-US"/>
        </w:rPr>
        <w:t>reinforce</w:t>
      </w:r>
      <w:r w:rsidRPr="384F7AB1">
        <w:rPr>
          <w:rFonts w:eastAsia="Times New Roman"/>
          <w:noProof/>
          <w:color w:val="000000" w:themeColor="text1"/>
          <w:lang w:val="en-US"/>
        </w:rPr>
        <w:t xml:space="preserve"> the fragmentation and the legal </w:t>
      </w:r>
      <w:r w:rsidR="001E4846" w:rsidRPr="384F7AB1">
        <w:rPr>
          <w:rFonts w:eastAsia="Times New Roman"/>
          <w:noProof/>
          <w:color w:val="000000" w:themeColor="text1"/>
          <w:lang w:val="en-US"/>
        </w:rPr>
        <w:t>un</w:t>
      </w:r>
      <w:r w:rsidRPr="384F7AB1">
        <w:rPr>
          <w:rFonts w:eastAsia="Times New Roman"/>
          <w:noProof/>
          <w:color w:val="000000" w:themeColor="text1"/>
          <w:lang w:val="en-US"/>
        </w:rPr>
        <w:t>certainty of data processing and protection rules</w:t>
      </w:r>
      <w:r w:rsidR="735AB61C" w:rsidRPr="384F7AB1">
        <w:rPr>
          <w:rFonts w:eastAsia="Times New Roman"/>
          <w:noProof/>
          <w:color w:val="000000" w:themeColor="text1"/>
          <w:lang w:val="en-US"/>
        </w:rPr>
        <w:t>.</w:t>
      </w:r>
    </w:p>
    <w:p w14:paraId="79EEA430" w14:textId="6B1D63E1" w:rsidR="43878405" w:rsidRPr="00D4396B" w:rsidRDefault="4FAF6E21" w:rsidP="00781830">
      <w:pPr>
        <w:pStyle w:val="Heading1"/>
        <w:rPr>
          <w:noProof/>
        </w:rPr>
      </w:pPr>
      <w:bookmarkStart w:id="163" w:name="_Toc232176424"/>
      <w:r w:rsidRPr="00D4396B">
        <w:rPr>
          <w:noProof/>
        </w:rPr>
        <w:t>6.</w:t>
      </w:r>
      <w:r w:rsidR="00E324A3">
        <w:rPr>
          <w:noProof/>
        </w:rPr>
        <w:tab/>
      </w:r>
      <w:r w:rsidR="4D3E45E7" w:rsidRPr="00D4396B">
        <w:rPr>
          <w:noProof/>
        </w:rPr>
        <w:t xml:space="preserve">What is the impact of </w:t>
      </w:r>
      <w:r w:rsidR="003E283E" w:rsidRPr="00D4396B">
        <w:rPr>
          <w:noProof/>
        </w:rPr>
        <w:t xml:space="preserve">the </w:t>
      </w:r>
      <w:r w:rsidR="4D3E45E7" w:rsidRPr="00D4396B">
        <w:rPr>
          <w:noProof/>
        </w:rPr>
        <w:t>policy options</w:t>
      </w:r>
      <w:r w:rsidR="0999D15D" w:rsidRPr="00D4396B">
        <w:rPr>
          <w:noProof/>
        </w:rPr>
        <w:t>?</w:t>
      </w:r>
      <w:bookmarkEnd w:id="163"/>
    </w:p>
    <w:p w14:paraId="1DA462B8" w14:textId="03586C89" w:rsidR="43878405" w:rsidRPr="00D4396B" w:rsidRDefault="1D889FD1" w:rsidP="003B0D3B">
      <w:pPr>
        <w:spacing w:after="120"/>
        <w:rPr>
          <w:rFonts w:eastAsia="Times New Roman"/>
          <w:noProof/>
        </w:rPr>
      </w:pPr>
      <w:r w:rsidRPr="00D4396B">
        <w:rPr>
          <w:rFonts w:eastAsia="Times New Roman"/>
          <w:noProof/>
        </w:rPr>
        <w:t xml:space="preserve">This chapter assesses all policy options identified in </w:t>
      </w:r>
      <w:r w:rsidR="00B1372E">
        <w:rPr>
          <w:rFonts w:eastAsia="Times New Roman"/>
          <w:noProof/>
        </w:rPr>
        <w:t>chapter</w:t>
      </w:r>
      <w:r w:rsidRPr="00D4396B">
        <w:rPr>
          <w:rFonts w:eastAsia="Times New Roman"/>
          <w:noProof/>
        </w:rPr>
        <w:t xml:space="preserve"> 5.2</w:t>
      </w:r>
      <w:r w:rsidR="000D6B91">
        <w:rPr>
          <w:rFonts w:eastAsia="Times New Roman"/>
          <w:noProof/>
        </w:rPr>
        <w:t>.</w:t>
      </w:r>
      <w:r w:rsidR="61317665" w:rsidRPr="00D4396B">
        <w:rPr>
          <w:rFonts w:eastAsia="Times New Roman"/>
          <w:noProof/>
        </w:rPr>
        <w:t xml:space="preserve"> </w:t>
      </w:r>
      <w:r w:rsidRPr="00D4396B">
        <w:rPr>
          <w:rFonts w:eastAsia="Times New Roman"/>
          <w:noProof/>
        </w:rPr>
        <w:t>against the baseline</w:t>
      </w:r>
      <w:r w:rsidR="7C72E2D6" w:rsidRPr="00D4396B">
        <w:rPr>
          <w:rFonts w:eastAsia="Times New Roman"/>
          <w:noProof/>
        </w:rPr>
        <w:t xml:space="preserve"> presented</w:t>
      </w:r>
      <w:r w:rsidRPr="00D4396B">
        <w:rPr>
          <w:rFonts w:eastAsia="Times New Roman"/>
          <w:noProof/>
        </w:rPr>
        <w:t xml:space="preserve"> in </w:t>
      </w:r>
      <w:r w:rsidR="00B1372E">
        <w:rPr>
          <w:rFonts w:eastAsia="Times New Roman"/>
          <w:noProof/>
        </w:rPr>
        <w:t>chapter</w:t>
      </w:r>
      <w:r w:rsidRPr="00D4396B">
        <w:rPr>
          <w:rFonts w:eastAsia="Times New Roman"/>
          <w:noProof/>
        </w:rPr>
        <w:t xml:space="preserve"> 5.1. Given that the baseline scenario is unsuited to address the problems identified, this impact assessment will not assess the baseline scenario any further. </w:t>
      </w:r>
    </w:p>
    <w:p w14:paraId="61BB71B7" w14:textId="4D265605" w:rsidR="43878405" w:rsidRPr="00D4396B" w:rsidRDefault="1D889FD1" w:rsidP="003B0D3B">
      <w:pPr>
        <w:spacing w:after="120"/>
        <w:rPr>
          <w:rFonts w:eastAsia="Times New Roman"/>
          <w:noProof/>
        </w:rPr>
      </w:pPr>
      <w:r w:rsidRPr="00D4396B">
        <w:rPr>
          <w:rFonts w:eastAsia="Times New Roman"/>
          <w:noProof/>
        </w:rPr>
        <w:t xml:space="preserve">Given Eurojust’s mission </w:t>
      </w:r>
      <w:r w:rsidR="0005073B">
        <w:rPr>
          <w:rFonts w:eastAsia="Times New Roman"/>
          <w:noProof/>
        </w:rPr>
        <w:t xml:space="preserve">is </w:t>
      </w:r>
      <w:r w:rsidRPr="00D4396B">
        <w:rPr>
          <w:rFonts w:eastAsia="Times New Roman"/>
          <w:noProof/>
        </w:rPr>
        <w:t>to suppor</w:t>
      </w:r>
      <w:r w:rsidR="003B303C">
        <w:rPr>
          <w:rFonts w:eastAsia="Times New Roman"/>
          <w:noProof/>
        </w:rPr>
        <w:t>t</w:t>
      </w:r>
      <w:r w:rsidRPr="00D4396B">
        <w:rPr>
          <w:rFonts w:eastAsia="Times New Roman"/>
          <w:noProof/>
        </w:rPr>
        <w:t xml:space="preserve"> national authorities </w:t>
      </w:r>
      <w:r w:rsidR="006276B4" w:rsidRPr="00D4396B">
        <w:rPr>
          <w:rFonts w:eastAsia="Times New Roman"/>
          <w:noProof/>
        </w:rPr>
        <w:t xml:space="preserve">in the </w:t>
      </w:r>
      <w:r w:rsidRPr="00D4396B">
        <w:rPr>
          <w:rFonts w:eastAsia="Times New Roman"/>
          <w:noProof/>
        </w:rPr>
        <w:t>fight against serious and organised crime</w:t>
      </w:r>
      <w:r w:rsidR="0005073B">
        <w:rPr>
          <w:rFonts w:eastAsia="Times New Roman"/>
          <w:noProof/>
        </w:rPr>
        <w:t>,</w:t>
      </w:r>
      <w:r w:rsidRPr="00D4396B">
        <w:rPr>
          <w:rFonts w:eastAsia="Times New Roman"/>
          <w:noProof/>
        </w:rPr>
        <w:t xml:space="preserve"> the </w:t>
      </w:r>
      <w:r w:rsidR="00E51731">
        <w:rPr>
          <w:rFonts w:eastAsia="Times New Roman"/>
          <w:noProof/>
        </w:rPr>
        <w:t>(</w:t>
      </w:r>
      <w:r w:rsidR="00EA6A92">
        <w:rPr>
          <w:rFonts w:eastAsia="Times New Roman"/>
          <w:noProof/>
        </w:rPr>
        <w:t>general</w:t>
      </w:r>
      <w:r w:rsidR="00E51731">
        <w:rPr>
          <w:rFonts w:eastAsia="Times New Roman"/>
          <w:noProof/>
        </w:rPr>
        <w:t>)</w:t>
      </w:r>
      <w:r w:rsidR="00EA6A92">
        <w:rPr>
          <w:rFonts w:eastAsia="Times New Roman"/>
          <w:noProof/>
        </w:rPr>
        <w:t xml:space="preserve"> </w:t>
      </w:r>
      <w:r w:rsidR="0005073B">
        <w:rPr>
          <w:rFonts w:eastAsia="Times New Roman"/>
          <w:noProof/>
        </w:rPr>
        <w:t xml:space="preserve">effectiveness </w:t>
      </w:r>
      <w:r w:rsidRPr="00D4396B">
        <w:rPr>
          <w:rFonts w:eastAsia="Times New Roman"/>
          <w:noProof/>
        </w:rPr>
        <w:t xml:space="preserve">of the policy options assessed in this chapter </w:t>
      </w:r>
      <w:r w:rsidR="0005073B">
        <w:rPr>
          <w:rFonts w:eastAsia="Times New Roman"/>
          <w:noProof/>
        </w:rPr>
        <w:t xml:space="preserve">is assessed </w:t>
      </w:r>
      <w:r w:rsidR="00366DF0">
        <w:rPr>
          <w:rFonts w:eastAsia="Times New Roman"/>
          <w:noProof/>
        </w:rPr>
        <w:t xml:space="preserve">by their expected </w:t>
      </w:r>
      <w:r w:rsidRPr="00D4396B">
        <w:rPr>
          <w:rFonts w:eastAsia="Times New Roman"/>
          <w:noProof/>
        </w:rPr>
        <w:t xml:space="preserve">impact on </w:t>
      </w:r>
      <w:r w:rsidR="006276B4" w:rsidRPr="00D4396B">
        <w:rPr>
          <w:rFonts w:eastAsia="Times New Roman"/>
          <w:noProof/>
        </w:rPr>
        <w:t xml:space="preserve">the </w:t>
      </w:r>
      <w:r w:rsidR="7241FFA5" w:rsidRPr="00D4396B">
        <w:rPr>
          <w:rFonts w:eastAsia="Times New Roman"/>
          <w:noProof/>
        </w:rPr>
        <w:t xml:space="preserve">fight against </w:t>
      </w:r>
      <w:r w:rsidRPr="00D4396B">
        <w:rPr>
          <w:rFonts w:eastAsia="Times New Roman"/>
          <w:noProof/>
        </w:rPr>
        <w:t>crime and the wider implications for EU citizens’ security and well-being</w:t>
      </w:r>
      <w:r w:rsidR="00E51731">
        <w:rPr>
          <w:rFonts w:eastAsia="Times New Roman"/>
          <w:noProof/>
        </w:rPr>
        <w:t xml:space="preserve"> as well as against </w:t>
      </w:r>
      <w:r w:rsidR="53CD3263" w:rsidRPr="33BA6E4E">
        <w:rPr>
          <w:rFonts w:eastAsia="Times New Roman"/>
          <w:noProof/>
        </w:rPr>
        <w:t>the</w:t>
      </w:r>
      <w:r w:rsidR="00E51731">
        <w:rPr>
          <w:rFonts w:eastAsia="Times New Roman"/>
          <w:noProof/>
        </w:rPr>
        <w:t xml:space="preserve"> specific objectives</w:t>
      </w:r>
      <w:r w:rsidRPr="33BA6E4E">
        <w:rPr>
          <w:rFonts w:eastAsia="Times New Roman"/>
          <w:noProof/>
        </w:rPr>
        <w:t>.</w:t>
      </w:r>
    </w:p>
    <w:p w14:paraId="609B72DC" w14:textId="073930FF" w:rsidR="00084C1F" w:rsidRPr="00D4396B" w:rsidRDefault="021DECE5" w:rsidP="000C3545">
      <w:pPr>
        <w:pStyle w:val="Heading2"/>
        <w:rPr>
          <w:noProof/>
        </w:rPr>
      </w:pPr>
      <w:bookmarkStart w:id="164" w:name="_Toc232176425"/>
      <w:r w:rsidRPr="00D4396B">
        <w:rPr>
          <w:noProof/>
        </w:rPr>
        <w:t>6.1</w:t>
      </w:r>
      <w:r w:rsidR="00EE4278" w:rsidRPr="00D4396B">
        <w:rPr>
          <w:noProof/>
        </w:rPr>
        <w:t>.</w:t>
      </w:r>
      <w:r w:rsidR="00E324A3">
        <w:rPr>
          <w:noProof/>
        </w:rPr>
        <w:tab/>
      </w:r>
      <w:r w:rsidR="48DF6A82" w:rsidRPr="00D4396B">
        <w:rPr>
          <w:noProof/>
        </w:rPr>
        <w:t xml:space="preserve">Specific </w:t>
      </w:r>
      <w:r w:rsidR="005A1006">
        <w:rPr>
          <w:noProof/>
        </w:rPr>
        <w:t>O</w:t>
      </w:r>
      <w:r w:rsidR="005A1006" w:rsidRPr="00D4396B">
        <w:rPr>
          <w:noProof/>
        </w:rPr>
        <w:t xml:space="preserve">bjective </w:t>
      </w:r>
      <w:r w:rsidR="48DF6A82" w:rsidRPr="00D4396B">
        <w:rPr>
          <w:noProof/>
        </w:rPr>
        <w:t>1</w:t>
      </w:r>
      <w:bookmarkEnd w:id="164"/>
    </w:p>
    <w:p w14:paraId="1BB3A51B" w14:textId="5B56FB91" w:rsidR="2609121C" w:rsidRPr="00D4396B" w:rsidRDefault="2F651F5B" w:rsidP="003B0D3B">
      <w:pPr>
        <w:spacing w:after="120"/>
        <w:rPr>
          <w:noProof/>
        </w:rPr>
      </w:pPr>
      <w:r w:rsidRPr="00D4396B">
        <w:rPr>
          <w:noProof/>
        </w:rPr>
        <w:t xml:space="preserve">The following policy options would contribute to </w:t>
      </w:r>
      <w:r w:rsidR="00240EFC">
        <w:rPr>
          <w:noProof/>
        </w:rPr>
        <w:t xml:space="preserve">delivering </w:t>
      </w:r>
      <w:r w:rsidR="00B2155C" w:rsidRPr="00D4396B">
        <w:rPr>
          <w:noProof/>
        </w:rPr>
        <w:t>S</w:t>
      </w:r>
      <w:r w:rsidRPr="00D4396B">
        <w:rPr>
          <w:noProof/>
        </w:rPr>
        <w:t xml:space="preserve">pecific </w:t>
      </w:r>
      <w:r w:rsidR="00B2155C" w:rsidRPr="00D4396B">
        <w:rPr>
          <w:noProof/>
        </w:rPr>
        <w:t>O</w:t>
      </w:r>
      <w:r w:rsidRPr="00D4396B">
        <w:rPr>
          <w:noProof/>
        </w:rPr>
        <w:t>bjective 1</w:t>
      </w:r>
      <w:r w:rsidR="0095573B">
        <w:rPr>
          <w:noProof/>
        </w:rPr>
        <w:t>,</w:t>
      </w:r>
      <w:r w:rsidRPr="00D4396B">
        <w:rPr>
          <w:noProof/>
        </w:rPr>
        <w:t xml:space="preserve"> which aims to </w:t>
      </w:r>
      <w:r w:rsidR="16CFE1E7" w:rsidRPr="00D4396B">
        <w:rPr>
          <w:noProof/>
        </w:rPr>
        <w:t>strengthen</w:t>
      </w:r>
      <w:r w:rsidRPr="00D4396B">
        <w:rPr>
          <w:noProof/>
        </w:rPr>
        <w:t xml:space="preserve"> the internal functioning and the operational </w:t>
      </w:r>
      <w:r w:rsidR="675908BB" w:rsidRPr="00D4396B">
        <w:rPr>
          <w:noProof/>
        </w:rPr>
        <w:t>performance of the agency.</w:t>
      </w:r>
      <w:r w:rsidRPr="00D4396B">
        <w:rPr>
          <w:noProof/>
        </w:rPr>
        <w:t xml:space="preserve"> </w:t>
      </w:r>
      <w:r w:rsidR="005F7833">
        <w:rPr>
          <w:noProof/>
        </w:rPr>
        <w:t xml:space="preserve">They </w:t>
      </w:r>
      <w:r w:rsidR="004F7B36">
        <w:rPr>
          <w:noProof/>
        </w:rPr>
        <w:t>sh</w:t>
      </w:r>
      <w:r>
        <w:rPr>
          <w:noProof/>
        </w:rPr>
        <w:t>ould</w:t>
      </w:r>
      <w:r w:rsidRPr="00D4396B">
        <w:rPr>
          <w:noProof/>
        </w:rPr>
        <w:t xml:space="preserve"> address problem drivers #</w:t>
      </w:r>
      <w:r w:rsidR="525340E5" w:rsidRPr="00D4396B">
        <w:rPr>
          <w:noProof/>
        </w:rPr>
        <w:t xml:space="preserve">1 </w:t>
      </w:r>
      <w:r w:rsidR="009AF511" w:rsidRPr="00D4396B">
        <w:rPr>
          <w:noProof/>
        </w:rPr>
        <w:t xml:space="preserve">to </w:t>
      </w:r>
      <w:r w:rsidRPr="00D4396B">
        <w:rPr>
          <w:noProof/>
        </w:rPr>
        <w:t>#</w:t>
      </w:r>
      <w:r w:rsidR="72DDEF61" w:rsidRPr="00D4396B">
        <w:rPr>
          <w:noProof/>
        </w:rPr>
        <w:t>5</w:t>
      </w:r>
      <w:r w:rsidRPr="00D4396B">
        <w:rPr>
          <w:noProof/>
        </w:rPr>
        <w:t>.</w:t>
      </w:r>
    </w:p>
    <w:p w14:paraId="6F1A9DE7" w14:textId="52EC7F43" w:rsidR="48DF6A82" w:rsidRPr="00D4396B" w:rsidRDefault="48DF6A82" w:rsidP="00E324A3">
      <w:pPr>
        <w:pStyle w:val="ListParagraph"/>
        <w:numPr>
          <w:ilvl w:val="0"/>
          <w:numId w:val="2"/>
        </w:numPr>
        <w:spacing w:after="120"/>
        <w:ind w:left="567" w:hanging="567"/>
        <w:contextualSpacing w:val="0"/>
        <w:rPr>
          <w:rFonts w:eastAsia="Times New Roman"/>
          <w:b/>
          <w:bCs/>
          <w:i/>
          <w:iCs/>
          <w:noProof/>
          <w:u w:val="single"/>
        </w:rPr>
      </w:pPr>
      <w:r w:rsidRPr="00D4396B">
        <w:rPr>
          <w:rFonts w:eastAsia="Times New Roman"/>
          <w:b/>
          <w:bCs/>
          <w:i/>
          <w:iCs/>
          <w:noProof/>
          <w:u w:val="single"/>
        </w:rPr>
        <w:t>Options in intervention area A</w:t>
      </w:r>
    </w:p>
    <w:p w14:paraId="345593EF" w14:textId="4803B0F9" w:rsidR="48DF6A82" w:rsidRPr="00D4396B" w:rsidRDefault="00680BFB" w:rsidP="003B0D3B">
      <w:pPr>
        <w:spacing w:after="120"/>
        <w:rPr>
          <w:rFonts w:eastAsia="Times New Roman"/>
          <w:noProof/>
        </w:rPr>
      </w:pPr>
      <w:r w:rsidRPr="00D4396B">
        <w:rPr>
          <w:rFonts w:eastAsia="Times New Roman"/>
          <w:b/>
          <w:bCs/>
          <w:noProof/>
          <w:u w:val="single"/>
        </w:rPr>
        <w:t>A.</w:t>
      </w:r>
      <w:r w:rsidR="01D0EE0F" w:rsidRPr="00D4396B">
        <w:rPr>
          <w:rFonts w:eastAsia="Times New Roman"/>
          <w:b/>
          <w:bCs/>
          <w:noProof/>
          <w:u w:val="single"/>
        </w:rPr>
        <w:t>PO1:</w:t>
      </w:r>
      <w:r w:rsidR="01D0EE0F" w:rsidRPr="00D4396B">
        <w:rPr>
          <w:rFonts w:eastAsia="Times New Roman"/>
          <w:noProof/>
        </w:rPr>
        <w:t xml:space="preserve"> This bundle of non-legislative measures would have </w:t>
      </w:r>
      <w:r w:rsidR="007423D8">
        <w:rPr>
          <w:rFonts w:eastAsia="Times New Roman"/>
          <w:noProof/>
        </w:rPr>
        <w:t xml:space="preserve">only </w:t>
      </w:r>
      <w:r w:rsidR="01D0EE0F" w:rsidRPr="00D4396B">
        <w:rPr>
          <w:rFonts w:eastAsia="Times New Roman"/>
          <w:noProof/>
        </w:rPr>
        <w:t xml:space="preserve">a limited impact to </w:t>
      </w:r>
      <w:r w:rsidR="007423D8">
        <w:rPr>
          <w:rFonts w:eastAsia="Times New Roman"/>
          <w:noProof/>
        </w:rPr>
        <w:t>Eurojust’s overall</w:t>
      </w:r>
      <w:r w:rsidR="01D0EE0F" w:rsidRPr="00D4396B">
        <w:rPr>
          <w:rFonts w:eastAsia="Times New Roman"/>
          <w:noProof/>
        </w:rPr>
        <w:t xml:space="preserve"> effectiveness and coherence. </w:t>
      </w:r>
      <w:r w:rsidR="0061080E">
        <w:rPr>
          <w:rFonts w:eastAsia="Times New Roman"/>
          <w:noProof/>
        </w:rPr>
        <w:t xml:space="preserve">Although the </w:t>
      </w:r>
      <w:r w:rsidR="0072178C" w:rsidRPr="2B57F4FE">
        <w:rPr>
          <w:rFonts w:eastAsia="Times New Roman"/>
          <w:noProof/>
        </w:rPr>
        <w:t>A</w:t>
      </w:r>
      <w:r w:rsidR="50B2F547" w:rsidRPr="2B57F4FE">
        <w:rPr>
          <w:rFonts w:eastAsia="Times New Roman"/>
          <w:noProof/>
        </w:rPr>
        <w:t>g</w:t>
      </w:r>
      <w:r w:rsidR="0072178C" w:rsidRPr="2B57F4FE">
        <w:rPr>
          <w:rFonts w:eastAsia="Times New Roman"/>
          <w:noProof/>
        </w:rPr>
        <w:t>ency’s</w:t>
      </w:r>
      <w:r w:rsidR="01D0EE0F" w:rsidRPr="00D4396B">
        <w:rPr>
          <w:rFonts w:eastAsia="Times New Roman"/>
          <w:noProof/>
        </w:rPr>
        <w:t xml:space="preserve"> mandate would </w:t>
      </w:r>
      <w:r w:rsidR="0061080E">
        <w:rPr>
          <w:rFonts w:eastAsia="Times New Roman"/>
          <w:noProof/>
        </w:rPr>
        <w:t>remain unchanged, certain</w:t>
      </w:r>
      <w:r w:rsidR="01D0EE0F" w:rsidRPr="00D4396B">
        <w:rPr>
          <w:rFonts w:eastAsia="Times New Roman"/>
          <w:noProof/>
        </w:rPr>
        <w:t xml:space="preserve"> tasks and tools</w:t>
      </w:r>
      <w:r w:rsidR="0061080E">
        <w:rPr>
          <w:rFonts w:eastAsia="Times New Roman"/>
          <w:noProof/>
        </w:rPr>
        <w:t xml:space="preserve"> would be reinforced</w:t>
      </w:r>
      <w:r w:rsidR="01D0EE0F" w:rsidRPr="00D4396B">
        <w:rPr>
          <w:rFonts w:eastAsia="Times New Roman"/>
          <w:noProof/>
        </w:rPr>
        <w:t xml:space="preserve">. </w:t>
      </w:r>
      <w:r w:rsidR="00357C87">
        <w:rPr>
          <w:rFonts w:eastAsia="Times New Roman"/>
          <w:noProof/>
        </w:rPr>
        <w:t>In</w:t>
      </w:r>
      <w:r w:rsidR="00FC459E">
        <w:rPr>
          <w:rFonts w:eastAsia="Times New Roman"/>
          <w:noProof/>
        </w:rPr>
        <w:t xml:space="preserve"> terms of </w:t>
      </w:r>
      <w:r w:rsidR="01D0EE0F" w:rsidRPr="00D4396B">
        <w:rPr>
          <w:rFonts w:eastAsia="Times New Roman"/>
          <w:noProof/>
        </w:rPr>
        <w:t>EU policymaking</w:t>
      </w:r>
      <w:r w:rsidR="0D3B5BD9" w:rsidRPr="00D4396B">
        <w:rPr>
          <w:rFonts w:eastAsia="Times New Roman"/>
          <w:noProof/>
        </w:rPr>
        <w:t xml:space="preserve"> </w:t>
      </w:r>
      <w:r w:rsidR="00FC459E">
        <w:rPr>
          <w:rFonts w:eastAsia="Times New Roman"/>
          <w:noProof/>
        </w:rPr>
        <w:t>involvement</w:t>
      </w:r>
      <w:r w:rsidR="0D3B5BD9" w:rsidRPr="00D4396B">
        <w:rPr>
          <w:rFonts w:eastAsia="Times New Roman"/>
          <w:noProof/>
        </w:rPr>
        <w:t xml:space="preserve"> (i.a)</w:t>
      </w:r>
      <w:r w:rsidR="01D0EE0F" w:rsidRPr="00D4396B">
        <w:rPr>
          <w:rFonts w:eastAsia="Times New Roman"/>
          <w:noProof/>
        </w:rPr>
        <w:t>,</w:t>
      </w:r>
      <w:r w:rsidR="004A5FBE">
        <w:rPr>
          <w:rFonts w:eastAsia="Times New Roman"/>
          <w:noProof/>
        </w:rPr>
        <w:t xml:space="preserve"> the policy option would build on </w:t>
      </w:r>
      <w:r w:rsidR="65014EDE" w:rsidRPr="00D4396B">
        <w:rPr>
          <w:rFonts w:eastAsia="Times New Roman"/>
          <w:noProof/>
        </w:rPr>
        <w:t xml:space="preserve">Eurojust’s </w:t>
      </w:r>
      <w:r w:rsidR="00925225">
        <w:rPr>
          <w:rFonts w:eastAsia="Times New Roman"/>
          <w:noProof/>
        </w:rPr>
        <w:t xml:space="preserve">existing </w:t>
      </w:r>
      <w:r w:rsidR="65014EDE" w:rsidRPr="00D4396B">
        <w:rPr>
          <w:rFonts w:eastAsia="Times New Roman"/>
          <w:noProof/>
        </w:rPr>
        <w:t>contribution</w:t>
      </w:r>
      <w:r w:rsidR="001D53AE">
        <w:rPr>
          <w:rFonts w:eastAsia="Times New Roman"/>
          <w:noProof/>
        </w:rPr>
        <w:t>s</w:t>
      </w:r>
      <w:r w:rsidR="65014EDE" w:rsidRPr="00D4396B">
        <w:rPr>
          <w:rFonts w:eastAsia="Times New Roman"/>
          <w:noProof/>
        </w:rPr>
        <w:t xml:space="preserve"> to</w:t>
      </w:r>
      <w:r w:rsidR="01D0EE0F" w:rsidRPr="00D4396B">
        <w:rPr>
          <w:rFonts w:eastAsia="Times New Roman"/>
          <w:noProof/>
        </w:rPr>
        <w:t xml:space="preserve"> various studies and reports. </w:t>
      </w:r>
      <w:r w:rsidR="37E9BEAD" w:rsidRPr="00D4396B">
        <w:rPr>
          <w:rFonts w:eastAsia="Times New Roman"/>
          <w:noProof/>
        </w:rPr>
        <w:t>Regarding</w:t>
      </w:r>
      <w:r w:rsidR="01D0EE0F" w:rsidRPr="00D4396B">
        <w:rPr>
          <w:rFonts w:eastAsia="Times New Roman"/>
          <w:noProof/>
        </w:rPr>
        <w:t xml:space="preserve"> new operational functions</w:t>
      </w:r>
      <w:r w:rsidR="1149734C" w:rsidRPr="00D4396B">
        <w:rPr>
          <w:rFonts w:eastAsia="Times New Roman"/>
          <w:noProof/>
        </w:rPr>
        <w:t xml:space="preserve"> (ii.a)</w:t>
      </w:r>
      <w:r w:rsidR="2A220AE9" w:rsidRPr="00D4396B">
        <w:rPr>
          <w:rFonts w:eastAsia="Times New Roman"/>
          <w:noProof/>
        </w:rPr>
        <w:t>,</w:t>
      </w:r>
      <w:r w:rsidR="01D0EE0F" w:rsidRPr="00D4396B">
        <w:rPr>
          <w:rFonts w:eastAsia="Times New Roman"/>
          <w:noProof/>
        </w:rPr>
        <w:t xml:space="preserve"> the limits would be the clear mandate of the College and national desks: working groups already deal with some of these issues but without any truly effective legal levers. Lastly, a push to create a semi-permanent operational platform to support JITs</w:t>
      </w:r>
      <w:r w:rsidR="30FE83EC" w:rsidRPr="00D4396B">
        <w:rPr>
          <w:rFonts w:eastAsia="Times New Roman"/>
          <w:noProof/>
        </w:rPr>
        <w:t xml:space="preserve"> (iii.a)</w:t>
      </w:r>
      <w:r w:rsidR="01D0EE0F" w:rsidRPr="00D4396B">
        <w:rPr>
          <w:rFonts w:eastAsia="Times New Roman"/>
          <w:noProof/>
        </w:rPr>
        <w:t xml:space="preserve">, based on the ICPA model, would </w:t>
      </w:r>
      <w:r w:rsidR="00D75FB5">
        <w:rPr>
          <w:rFonts w:eastAsia="Times New Roman"/>
          <w:noProof/>
        </w:rPr>
        <w:t xml:space="preserve">only </w:t>
      </w:r>
      <w:r w:rsidR="01D0EE0F" w:rsidRPr="00D4396B">
        <w:rPr>
          <w:rFonts w:eastAsia="Times New Roman"/>
          <w:noProof/>
        </w:rPr>
        <w:t xml:space="preserve">have a </w:t>
      </w:r>
      <w:r w:rsidR="00D75FB5">
        <w:rPr>
          <w:rFonts w:eastAsia="Times New Roman"/>
          <w:noProof/>
        </w:rPr>
        <w:t>moderate</w:t>
      </w:r>
      <w:r w:rsidR="01D0EE0F" w:rsidRPr="00D4396B">
        <w:rPr>
          <w:rFonts w:eastAsia="Times New Roman"/>
          <w:noProof/>
        </w:rPr>
        <w:t xml:space="preserve"> positive impact due to the lack of a legal basis and would be subject to the prioritisation of other projects.</w:t>
      </w:r>
      <w:r w:rsidR="0AF2DC19" w:rsidRPr="00D4396B">
        <w:rPr>
          <w:rFonts w:eastAsia="Times New Roman"/>
          <w:noProof/>
        </w:rPr>
        <w:t xml:space="preserve"> </w:t>
      </w:r>
      <w:r w:rsidR="00610E14">
        <w:rPr>
          <w:rFonts w:eastAsia="Times New Roman"/>
          <w:noProof/>
        </w:rPr>
        <w:t>Overall</w:t>
      </w:r>
      <w:r w:rsidR="0AF2DC19" w:rsidRPr="00D4396B">
        <w:rPr>
          <w:rFonts w:eastAsia="Times New Roman"/>
          <w:noProof/>
        </w:rPr>
        <w:t xml:space="preserve">, the effectiveness of this option to improve the support to national authorities </w:t>
      </w:r>
      <w:r w:rsidR="3E541978" w:rsidRPr="00D4396B">
        <w:rPr>
          <w:rFonts w:eastAsia="Times New Roman"/>
          <w:noProof/>
        </w:rPr>
        <w:t xml:space="preserve">will </w:t>
      </w:r>
      <w:r w:rsidR="00831F87">
        <w:rPr>
          <w:rFonts w:eastAsia="Times New Roman"/>
          <w:noProof/>
        </w:rPr>
        <w:t>deliver small benefits</w:t>
      </w:r>
      <w:r w:rsidR="00C36EF2">
        <w:rPr>
          <w:rFonts w:eastAsia="Times New Roman"/>
          <w:noProof/>
        </w:rPr>
        <w:t xml:space="preserve">, with </w:t>
      </w:r>
      <w:r w:rsidR="00831F87">
        <w:rPr>
          <w:rFonts w:eastAsia="Times New Roman"/>
          <w:noProof/>
        </w:rPr>
        <w:t xml:space="preserve">associated </w:t>
      </w:r>
      <w:r w:rsidR="00DF4D07">
        <w:rPr>
          <w:rFonts w:eastAsia="Times New Roman"/>
          <w:noProof/>
        </w:rPr>
        <w:t>small c</w:t>
      </w:r>
      <w:r w:rsidR="00831F87">
        <w:rPr>
          <w:rFonts w:eastAsia="Times New Roman"/>
          <w:noProof/>
        </w:rPr>
        <w:t>osts</w:t>
      </w:r>
      <w:r w:rsidR="00DF4D07">
        <w:rPr>
          <w:rFonts w:eastAsia="Times New Roman"/>
          <w:noProof/>
        </w:rPr>
        <w:t xml:space="preserve"> related to </w:t>
      </w:r>
      <w:r w:rsidR="00525429">
        <w:rPr>
          <w:rFonts w:eastAsia="Times New Roman"/>
          <w:noProof/>
        </w:rPr>
        <w:t>sup</w:t>
      </w:r>
      <w:r w:rsidR="00B32480">
        <w:rPr>
          <w:rFonts w:eastAsia="Times New Roman"/>
          <w:noProof/>
        </w:rPr>
        <w:t>porting actions</w:t>
      </w:r>
      <w:r w:rsidR="00EF45B0">
        <w:rPr>
          <w:rFonts w:eastAsia="Times New Roman"/>
          <w:noProof/>
        </w:rPr>
        <w:t>.</w:t>
      </w:r>
    </w:p>
    <w:p w14:paraId="1E3CCEFD" w14:textId="6C38254B" w:rsidR="48DF6A82" w:rsidRPr="00D4396B" w:rsidRDefault="31BD38E7" w:rsidP="003B0D3B">
      <w:pPr>
        <w:spacing w:after="120"/>
        <w:rPr>
          <w:rFonts w:eastAsia="Times New Roman"/>
          <w:noProof/>
        </w:rPr>
      </w:pPr>
      <w:r w:rsidRPr="00D4396B">
        <w:rPr>
          <w:rFonts w:eastAsia="Times New Roman"/>
          <w:b/>
          <w:bCs/>
          <w:noProof/>
          <w:u w:val="single"/>
        </w:rPr>
        <w:t>A.</w:t>
      </w:r>
      <w:r w:rsidR="0EA5AEC4" w:rsidRPr="00D4396B">
        <w:rPr>
          <w:rFonts w:eastAsia="Times New Roman"/>
          <w:b/>
          <w:bCs/>
          <w:noProof/>
          <w:u w:val="single"/>
        </w:rPr>
        <w:t>PO2:</w:t>
      </w:r>
      <w:r w:rsidR="0EA5AEC4" w:rsidRPr="00D4396B">
        <w:rPr>
          <w:rFonts w:eastAsia="Times New Roman"/>
          <w:i/>
          <w:iCs/>
          <w:noProof/>
        </w:rPr>
        <w:t xml:space="preserve"> </w:t>
      </w:r>
      <w:r w:rsidR="0EA5AEC4" w:rsidRPr="00D4396B">
        <w:rPr>
          <w:rFonts w:eastAsia="Times New Roman"/>
          <w:noProof/>
        </w:rPr>
        <w:t xml:space="preserve">This package </w:t>
      </w:r>
      <w:r w:rsidR="3B95182C" w:rsidRPr="00D4396B">
        <w:rPr>
          <w:rFonts w:eastAsia="Times New Roman"/>
          <w:noProof/>
        </w:rPr>
        <w:t>entails</w:t>
      </w:r>
      <w:r w:rsidR="0EA5AEC4" w:rsidRPr="00D4396B">
        <w:rPr>
          <w:rFonts w:eastAsia="Times New Roman"/>
          <w:noProof/>
        </w:rPr>
        <w:t xml:space="preserve"> the adoption of legislative amendments to clearly set the competence for Eurojust to contribute to EU policy and legislation</w:t>
      </w:r>
      <w:r w:rsidR="103EA20F" w:rsidRPr="00D4396B">
        <w:rPr>
          <w:rFonts w:eastAsia="Times New Roman"/>
          <w:noProof/>
        </w:rPr>
        <w:t xml:space="preserve"> (i.b)</w:t>
      </w:r>
      <w:r w:rsidR="0EA5AEC4" w:rsidRPr="00D4396B">
        <w:rPr>
          <w:rFonts w:eastAsia="Times New Roman"/>
          <w:noProof/>
        </w:rPr>
        <w:t xml:space="preserve">. In practice, </w:t>
      </w:r>
      <w:r w:rsidR="00472969">
        <w:rPr>
          <w:rFonts w:eastAsia="Times New Roman"/>
          <w:noProof/>
        </w:rPr>
        <w:t>its</w:t>
      </w:r>
      <w:r w:rsidR="0EA5AEC4" w:rsidRPr="00D4396B">
        <w:rPr>
          <w:rFonts w:eastAsia="Times New Roman"/>
          <w:noProof/>
        </w:rPr>
        <w:t xml:space="preserve"> impacts would depend on the evolution of the number of requests for Eurojust’s input, </w:t>
      </w:r>
      <w:r w:rsidR="00393EA2">
        <w:rPr>
          <w:rFonts w:eastAsia="Times New Roman"/>
          <w:noProof/>
        </w:rPr>
        <w:t>with</w:t>
      </w:r>
      <w:r w:rsidR="00862FE9">
        <w:rPr>
          <w:rFonts w:eastAsia="Times New Roman"/>
          <w:noProof/>
        </w:rPr>
        <w:t xml:space="preserve"> </w:t>
      </w:r>
      <w:r w:rsidR="00393EA2">
        <w:rPr>
          <w:rFonts w:eastAsia="Times New Roman"/>
          <w:noProof/>
        </w:rPr>
        <w:t xml:space="preserve">the expectation that </w:t>
      </w:r>
      <w:r w:rsidR="00862FE9">
        <w:rPr>
          <w:rFonts w:eastAsia="Times New Roman"/>
          <w:noProof/>
        </w:rPr>
        <w:t xml:space="preserve">increased contributions </w:t>
      </w:r>
      <w:r w:rsidR="0EA5AEC4" w:rsidRPr="00D4396B">
        <w:rPr>
          <w:rFonts w:eastAsia="Times New Roman"/>
          <w:noProof/>
        </w:rPr>
        <w:t>increase stakeholders’ awareness of the agency’s role and</w:t>
      </w:r>
      <w:r w:rsidR="00862FE9">
        <w:rPr>
          <w:rFonts w:eastAsia="Times New Roman"/>
          <w:noProof/>
        </w:rPr>
        <w:t xml:space="preserve"> expertise, </w:t>
      </w:r>
      <w:r w:rsidR="00FF7B71">
        <w:rPr>
          <w:rFonts w:eastAsia="Times New Roman"/>
          <w:noProof/>
        </w:rPr>
        <w:t xml:space="preserve">and a subsequent </w:t>
      </w:r>
      <w:r w:rsidR="0EA5AEC4" w:rsidRPr="00D4396B">
        <w:rPr>
          <w:rFonts w:eastAsia="Times New Roman"/>
          <w:noProof/>
        </w:rPr>
        <w:t xml:space="preserve">increase </w:t>
      </w:r>
      <w:r w:rsidR="00FF7B71">
        <w:rPr>
          <w:rFonts w:eastAsia="Times New Roman"/>
          <w:noProof/>
        </w:rPr>
        <w:t xml:space="preserve">in </w:t>
      </w:r>
      <w:r w:rsidR="0EA5AEC4" w:rsidRPr="00D4396B">
        <w:rPr>
          <w:rFonts w:eastAsia="Times New Roman"/>
          <w:noProof/>
        </w:rPr>
        <w:t>requests</w:t>
      </w:r>
      <w:r w:rsidR="00FF7B71">
        <w:rPr>
          <w:rFonts w:eastAsia="Times New Roman"/>
          <w:noProof/>
        </w:rPr>
        <w:t xml:space="preserve"> (a virtuous circle)</w:t>
      </w:r>
      <w:r w:rsidR="00F602DF">
        <w:rPr>
          <w:rFonts w:eastAsia="Times New Roman"/>
          <w:noProof/>
        </w:rPr>
        <w:t xml:space="preserve">. </w:t>
      </w:r>
      <w:r w:rsidR="00C912FA">
        <w:rPr>
          <w:rFonts w:eastAsia="Times New Roman"/>
          <w:noProof/>
        </w:rPr>
        <w:t>To</w:t>
      </w:r>
      <w:r w:rsidR="0EA5AEC4" w:rsidRPr="00D4396B">
        <w:rPr>
          <w:rFonts w:eastAsia="Times New Roman"/>
          <w:noProof/>
        </w:rPr>
        <w:t xml:space="preserve"> deliver more evidence-based strategic contributions, additional resources</w:t>
      </w:r>
      <w:r w:rsidR="00DE76C9">
        <w:rPr>
          <w:rFonts w:eastAsia="Times New Roman"/>
          <w:noProof/>
        </w:rPr>
        <w:t xml:space="preserve"> would be required</w:t>
      </w:r>
      <w:r w:rsidR="00070586">
        <w:rPr>
          <w:rFonts w:eastAsia="Times New Roman"/>
          <w:noProof/>
        </w:rPr>
        <w:t xml:space="preserve"> for </w:t>
      </w:r>
      <w:r w:rsidR="0EA5AEC4" w:rsidRPr="00D4396B">
        <w:rPr>
          <w:rFonts w:eastAsia="Times New Roman"/>
          <w:noProof/>
        </w:rPr>
        <w:t>tools (including AI-based) and staff to select, analyse and compare large amounts of information</w:t>
      </w:r>
      <w:r w:rsidR="059993FE" w:rsidRPr="00D4396B">
        <w:rPr>
          <w:rFonts w:eastAsia="Times New Roman"/>
          <w:noProof/>
        </w:rPr>
        <w:t>.</w:t>
      </w:r>
      <w:r w:rsidR="00EE6A46" w:rsidRPr="00D4396B">
        <w:rPr>
          <w:rStyle w:val="FootnoteReference"/>
          <w:rFonts w:eastAsia="Times New Roman"/>
          <w:noProof/>
        </w:rPr>
        <w:footnoteReference w:id="115"/>
      </w:r>
    </w:p>
    <w:p w14:paraId="7B90C7CF" w14:textId="3A1B8C07" w:rsidR="48DF6A82" w:rsidRPr="00D4396B" w:rsidRDefault="0EA5AEC4" w:rsidP="003B0D3B">
      <w:pPr>
        <w:spacing w:after="120"/>
        <w:rPr>
          <w:rFonts w:eastAsia="Times New Roman"/>
          <w:noProof/>
        </w:rPr>
      </w:pPr>
      <w:r w:rsidRPr="00D4396B">
        <w:rPr>
          <w:rFonts w:eastAsia="Times New Roman"/>
          <w:noProof/>
        </w:rPr>
        <w:t xml:space="preserve">The </w:t>
      </w:r>
      <w:r w:rsidR="00041C0F">
        <w:rPr>
          <w:rFonts w:eastAsia="Times New Roman"/>
          <w:noProof/>
        </w:rPr>
        <w:t>exact</w:t>
      </w:r>
      <w:r w:rsidRPr="00D4396B">
        <w:rPr>
          <w:rFonts w:eastAsia="Times New Roman"/>
          <w:noProof/>
        </w:rPr>
        <w:t xml:space="preserve"> impact of adding new material competences (</w:t>
      </w:r>
      <w:r w:rsidR="738D85E7" w:rsidRPr="00D4396B">
        <w:rPr>
          <w:rFonts w:eastAsia="Times New Roman"/>
          <w:noProof/>
        </w:rPr>
        <w:t xml:space="preserve">Annex </w:t>
      </w:r>
      <w:r w:rsidRPr="00D4396B">
        <w:rPr>
          <w:rFonts w:eastAsia="Times New Roman"/>
          <w:noProof/>
        </w:rPr>
        <w:t>I) on violation of restrictive measures, cybercrime related to cryptocurrencies and artificial intelligence, and finally, gender-based violence, particularly online</w:t>
      </w:r>
      <w:r w:rsidR="1EBC2207" w:rsidRPr="00D4396B">
        <w:rPr>
          <w:rFonts w:eastAsia="Times New Roman"/>
          <w:noProof/>
        </w:rPr>
        <w:t xml:space="preserve"> (iv)</w:t>
      </w:r>
      <w:r w:rsidRPr="00D4396B">
        <w:rPr>
          <w:rFonts w:eastAsia="Times New Roman"/>
          <w:noProof/>
        </w:rPr>
        <w:t>, depends on the future development of these crime types</w:t>
      </w:r>
      <w:r w:rsidR="00C25FD4">
        <w:rPr>
          <w:rFonts w:eastAsia="Times New Roman"/>
          <w:noProof/>
        </w:rPr>
        <w:t xml:space="preserve"> </w:t>
      </w:r>
      <w:r w:rsidR="00564428">
        <w:rPr>
          <w:rFonts w:eastAsia="Times New Roman"/>
          <w:noProof/>
        </w:rPr>
        <w:t>and also varies according t</w:t>
      </w:r>
      <w:r w:rsidRPr="00D4396B">
        <w:rPr>
          <w:rFonts w:eastAsia="Times New Roman"/>
          <w:noProof/>
        </w:rPr>
        <w:t xml:space="preserve">o the nature of each area of crime (seriousness and volume of committed offences). </w:t>
      </w:r>
      <w:r w:rsidR="00021A00">
        <w:rPr>
          <w:rFonts w:eastAsia="Times New Roman"/>
          <w:noProof/>
        </w:rPr>
        <w:t xml:space="preserve">For example, </w:t>
      </w:r>
      <w:r w:rsidR="00E43CEE">
        <w:rPr>
          <w:rFonts w:eastAsia="Times New Roman"/>
          <w:noProof/>
        </w:rPr>
        <w:t>a</w:t>
      </w:r>
      <w:r w:rsidRPr="00D4396B">
        <w:rPr>
          <w:rFonts w:eastAsia="Times New Roman"/>
          <w:noProof/>
        </w:rPr>
        <w:t xml:space="preserve">n explicit competence for victims’ rights in the EJR may help </w:t>
      </w:r>
      <w:r w:rsidR="76793219" w:rsidRPr="00D4396B">
        <w:rPr>
          <w:rFonts w:eastAsia="Times New Roman"/>
          <w:noProof/>
        </w:rPr>
        <w:t xml:space="preserve">better define </w:t>
      </w:r>
      <w:r w:rsidRPr="00D4396B">
        <w:rPr>
          <w:rFonts w:eastAsia="Times New Roman"/>
          <w:noProof/>
        </w:rPr>
        <w:t>Eurojust’s role</w:t>
      </w:r>
      <w:r w:rsidR="1B81E2C3" w:rsidRPr="00D4396B">
        <w:rPr>
          <w:rFonts w:eastAsia="Times New Roman"/>
          <w:noProof/>
        </w:rPr>
        <w:t xml:space="preserve"> </w:t>
      </w:r>
      <w:r w:rsidRPr="00D4396B">
        <w:rPr>
          <w:rFonts w:eastAsia="Times New Roman"/>
          <w:noProof/>
        </w:rPr>
        <w:t>in exceptional cases of mass crime or disasters involving multiple casualties of different nationalities (e.g., terrorist attacks, online fraud)</w:t>
      </w:r>
      <w:r w:rsidR="059993FE" w:rsidRPr="00D4396B">
        <w:rPr>
          <w:rFonts w:eastAsia="Times New Roman"/>
          <w:noProof/>
        </w:rPr>
        <w:t>.</w:t>
      </w:r>
      <w:r w:rsidR="002F70C0" w:rsidRPr="00D4396B">
        <w:rPr>
          <w:rStyle w:val="FootnoteReference"/>
          <w:rFonts w:eastAsia="Times New Roman"/>
          <w:noProof/>
        </w:rPr>
        <w:footnoteReference w:id="116"/>
      </w:r>
      <w:r w:rsidR="36AC498E" w:rsidRPr="00D4396B">
        <w:rPr>
          <w:rFonts w:eastAsia="Times New Roman"/>
          <w:noProof/>
        </w:rPr>
        <w:t xml:space="preserve"> </w:t>
      </w:r>
      <w:r w:rsidR="7B8ABF50" w:rsidRPr="00D4396B">
        <w:rPr>
          <w:rFonts w:eastAsia="Times New Roman"/>
          <w:noProof/>
        </w:rPr>
        <w:t>Coordinated support to victims</w:t>
      </w:r>
      <w:r w:rsidRPr="00D4396B">
        <w:rPr>
          <w:rFonts w:eastAsia="Times New Roman"/>
          <w:noProof/>
        </w:rPr>
        <w:t xml:space="preserve"> </w:t>
      </w:r>
      <w:r w:rsidR="3DC9B127" w:rsidRPr="00D4396B">
        <w:rPr>
          <w:rFonts w:eastAsia="Times New Roman"/>
          <w:noProof/>
        </w:rPr>
        <w:t xml:space="preserve">would </w:t>
      </w:r>
      <w:r w:rsidR="00C909EA">
        <w:rPr>
          <w:rFonts w:eastAsia="Times New Roman"/>
          <w:noProof/>
        </w:rPr>
        <w:t xml:space="preserve">also </w:t>
      </w:r>
      <w:r w:rsidR="3DC9B127" w:rsidRPr="00D4396B">
        <w:rPr>
          <w:rFonts w:eastAsia="Times New Roman"/>
          <w:noProof/>
        </w:rPr>
        <w:t xml:space="preserve">be </w:t>
      </w:r>
      <w:r w:rsidRPr="00D4396B">
        <w:rPr>
          <w:rFonts w:eastAsia="Times New Roman"/>
          <w:noProof/>
        </w:rPr>
        <w:t>coheren</w:t>
      </w:r>
      <w:r w:rsidR="00E43CEE">
        <w:rPr>
          <w:rFonts w:eastAsia="Times New Roman"/>
          <w:noProof/>
        </w:rPr>
        <w:t>t</w:t>
      </w:r>
      <w:r w:rsidRPr="00D4396B">
        <w:rPr>
          <w:rFonts w:eastAsia="Times New Roman"/>
          <w:noProof/>
        </w:rPr>
        <w:t xml:space="preserve"> with the new EU strategy (and </w:t>
      </w:r>
      <w:r w:rsidR="7AA00F67" w:rsidRPr="00D4396B">
        <w:rPr>
          <w:rFonts w:eastAsia="Times New Roman"/>
          <w:noProof/>
        </w:rPr>
        <w:t>the recently</w:t>
      </w:r>
      <w:r w:rsidR="3FF93D36" w:rsidRPr="00D4396B">
        <w:rPr>
          <w:rFonts w:eastAsia="Times New Roman"/>
          <w:noProof/>
        </w:rPr>
        <w:t xml:space="preserve"> </w:t>
      </w:r>
      <w:r w:rsidR="42663823" w:rsidRPr="00D4396B">
        <w:rPr>
          <w:rFonts w:eastAsia="Times New Roman"/>
          <w:noProof/>
        </w:rPr>
        <w:t xml:space="preserve">provisionally </w:t>
      </w:r>
      <w:r w:rsidR="3FF93D36" w:rsidRPr="00D4396B">
        <w:rPr>
          <w:rFonts w:eastAsia="Times New Roman"/>
          <w:noProof/>
        </w:rPr>
        <w:t xml:space="preserve">agreed </w:t>
      </w:r>
      <w:r w:rsidR="6BF20A9A" w:rsidRPr="00D4396B">
        <w:rPr>
          <w:rFonts w:eastAsia="Times New Roman"/>
          <w:noProof/>
        </w:rPr>
        <w:t>revis</w:t>
      </w:r>
      <w:r w:rsidR="6FF98AB8" w:rsidRPr="00D4396B">
        <w:rPr>
          <w:rFonts w:eastAsia="Times New Roman"/>
          <w:noProof/>
        </w:rPr>
        <w:t xml:space="preserve">ion of the </w:t>
      </w:r>
      <w:r w:rsidR="3FF93D36" w:rsidRPr="00D4396B">
        <w:rPr>
          <w:rFonts w:eastAsia="Times New Roman"/>
          <w:noProof/>
        </w:rPr>
        <w:t>Victims’ Rights Directive</w:t>
      </w:r>
      <w:r w:rsidRPr="00D4396B">
        <w:rPr>
          <w:rFonts w:eastAsia="Times New Roman"/>
          <w:noProof/>
        </w:rPr>
        <w:t>).</w:t>
      </w:r>
      <w:r w:rsidR="006C1B40">
        <w:rPr>
          <w:rFonts w:eastAsia="Times New Roman"/>
          <w:noProof/>
        </w:rPr>
        <w:t xml:space="preserve"> </w:t>
      </w:r>
      <w:r w:rsidR="0017696F">
        <w:rPr>
          <w:rFonts w:eastAsia="Times New Roman"/>
          <w:noProof/>
        </w:rPr>
        <w:t>Additional staff would be needed</w:t>
      </w:r>
      <w:r w:rsidR="00E84D13">
        <w:rPr>
          <w:rFonts w:eastAsia="Times New Roman"/>
          <w:noProof/>
        </w:rPr>
        <w:t xml:space="preserve"> </w:t>
      </w:r>
      <w:r w:rsidR="007B2975">
        <w:rPr>
          <w:rFonts w:eastAsia="Times New Roman"/>
          <w:noProof/>
        </w:rPr>
        <w:t>but their costs should be</w:t>
      </w:r>
      <w:r w:rsidR="006306CE">
        <w:rPr>
          <w:rFonts w:eastAsia="Times New Roman"/>
          <w:noProof/>
        </w:rPr>
        <w:t xml:space="preserve"> minor/moderate compared to the potential positive impact</w:t>
      </w:r>
      <w:r w:rsidR="00786469">
        <w:rPr>
          <w:rFonts w:eastAsia="Times New Roman"/>
          <w:noProof/>
        </w:rPr>
        <w:t xml:space="preserve">. </w:t>
      </w:r>
    </w:p>
    <w:p w14:paraId="4B6A9B28" w14:textId="162B0A53" w:rsidR="00DB6B88" w:rsidRPr="00D4396B" w:rsidRDefault="7F0FF7B9" w:rsidP="003B0D3B">
      <w:pPr>
        <w:spacing w:after="120"/>
        <w:rPr>
          <w:noProof/>
        </w:rPr>
      </w:pPr>
      <w:r w:rsidRPr="00D4396B">
        <w:rPr>
          <w:rFonts w:eastAsia="Times New Roman"/>
          <w:noProof/>
        </w:rPr>
        <w:t xml:space="preserve">The introduction of semi-operational platforms through a legislative measure (iii.b) would </w:t>
      </w:r>
      <w:r w:rsidR="7B719A46" w:rsidRPr="00D4396B">
        <w:rPr>
          <w:rFonts w:eastAsia="Times New Roman"/>
          <w:noProof/>
        </w:rPr>
        <w:t>establishing a clear mandate for Eurojust to support JITs</w:t>
      </w:r>
      <w:r w:rsidR="1676F8F1" w:rsidRPr="00D4396B">
        <w:rPr>
          <w:rFonts w:eastAsia="Times New Roman"/>
          <w:noProof/>
        </w:rPr>
        <w:t xml:space="preserve"> in a structured way</w:t>
      </w:r>
      <w:r w:rsidR="7B719A46" w:rsidRPr="00D4396B">
        <w:rPr>
          <w:rFonts w:eastAsia="Times New Roman"/>
          <w:noProof/>
        </w:rPr>
        <w:t>.</w:t>
      </w:r>
      <w:r w:rsidR="00496B29">
        <w:rPr>
          <w:rFonts w:eastAsia="Times New Roman"/>
          <w:noProof/>
        </w:rPr>
        <w:t xml:space="preserve"> </w:t>
      </w:r>
      <w:r w:rsidR="00962E49">
        <w:rPr>
          <w:rFonts w:eastAsia="Times New Roman"/>
          <w:noProof/>
        </w:rPr>
        <w:t>JITS are already one of the Agency’s most effective tools</w:t>
      </w:r>
      <w:r w:rsidR="00CB7816">
        <w:rPr>
          <w:rFonts w:eastAsia="Times New Roman"/>
          <w:noProof/>
        </w:rPr>
        <w:t>,</w:t>
      </w:r>
      <w:r w:rsidR="0072178C">
        <w:rPr>
          <w:rStyle w:val="FootnoteReference"/>
          <w:rFonts w:eastAsia="Times New Roman"/>
          <w:noProof/>
        </w:rPr>
        <w:footnoteReference w:id="117"/>
      </w:r>
      <w:r w:rsidR="00CB7816">
        <w:rPr>
          <w:rFonts w:eastAsia="Times New Roman"/>
          <w:noProof/>
        </w:rPr>
        <w:t xml:space="preserve"> </w:t>
      </w:r>
      <w:r w:rsidR="0014576B">
        <w:rPr>
          <w:rFonts w:eastAsia="Times New Roman"/>
          <w:noProof/>
        </w:rPr>
        <w:t xml:space="preserve">so further improvements </w:t>
      </w:r>
      <w:r w:rsidR="00FE2686">
        <w:rPr>
          <w:rFonts w:eastAsia="Times New Roman"/>
          <w:noProof/>
        </w:rPr>
        <w:t xml:space="preserve">are expected to have a positive impact firstly on operations, and hence on the overall fight against crime. </w:t>
      </w:r>
      <w:r w:rsidR="00F57D47">
        <w:rPr>
          <w:rFonts w:eastAsia="Times New Roman"/>
          <w:noProof/>
        </w:rPr>
        <w:t>The</w:t>
      </w:r>
      <w:r w:rsidR="000B3870">
        <w:rPr>
          <w:rFonts w:eastAsia="Times New Roman"/>
          <w:noProof/>
        </w:rPr>
        <w:t xml:space="preserve"> </w:t>
      </w:r>
      <w:r w:rsidR="00660A6F">
        <w:rPr>
          <w:rFonts w:eastAsia="Times New Roman"/>
          <w:noProof/>
        </w:rPr>
        <w:t xml:space="preserve">expected benefits are expected to at least cover the </w:t>
      </w:r>
      <w:r w:rsidR="00CA3360">
        <w:rPr>
          <w:rFonts w:eastAsia="Times New Roman"/>
          <w:noProof/>
        </w:rPr>
        <w:t>associated staff and IT costs</w:t>
      </w:r>
      <w:r w:rsidR="000732A4">
        <w:rPr>
          <w:rFonts w:eastAsia="Times New Roman"/>
          <w:noProof/>
        </w:rPr>
        <w:t>.</w:t>
      </w:r>
      <w:r w:rsidR="00CA3360">
        <w:rPr>
          <w:rFonts w:eastAsia="Times New Roman"/>
          <w:noProof/>
        </w:rPr>
        <w:t xml:space="preserve"> </w:t>
      </w:r>
    </w:p>
    <w:p w14:paraId="5A9A2343" w14:textId="6FDD41D0" w:rsidR="48DF6A82" w:rsidRPr="00D4396B" w:rsidRDefault="1D725BB1" w:rsidP="522EFC56">
      <w:pPr>
        <w:spacing w:after="120"/>
        <w:rPr>
          <w:rFonts w:eastAsia="Times New Roman"/>
          <w:noProof/>
        </w:rPr>
      </w:pPr>
      <w:r w:rsidRPr="522EFC56">
        <w:rPr>
          <w:rFonts w:eastAsia="Times New Roman"/>
          <w:noProof/>
        </w:rPr>
        <w:t xml:space="preserve">Lastly, </w:t>
      </w:r>
      <w:r w:rsidR="5CA09444" w:rsidRPr="522EFC56">
        <w:rPr>
          <w:rFonts w:eastAsia="Times New Roman"/>
          <w:noProof/>
        </w:rPr>
        <w:t>the</w:t>
      </w:r>
      <w:r w:rsidR="287E5629" w:rsidRPr="522EFC56">
        <w:rPr>
          <w:rFonts w:eastAsia="Times New Roman"/>
          <w:noProof/>
        </w:rPr>
        <w:t xml:space="preserve"> uni</w:t>
      </w:r>
      <w:r w:rsidR="785126A1" w:rsidRPr="522EFC56">
        <w:rPr>
          <w:rFonts w:eastAsia="Times New Roman"/>
          <w:noProof/>
        </w:rPr>
        <w:t>form</w:t>
      </w:r>
      <w:r w:rsidR="7D513C93" w:rsidRPr="522EFC56">
        <w:rPr>
          <w:rFonts w:eastAsia="Times New Roman"/>
          <w:noProof/>
        </w:rPr>
        <w:t xml:space="preserve"> conferral by Member States, under national law, </w:t>
      </w:r>
      <w:r w:rsidR="6ADB6439" w:rsidRPr="522EFC56">
        <w:rPr>
          <w:rFonts w:eastAsia="Times New Roman"/>
          <w:noProof/>
        </w:rPr>
        <w:t xml:space="preserve">of powers relating to the issuance </w:t>
      </w:r>
      <w:r w:rsidR="5DCCBB08" w:rsidRPr="522EFC56">
        <w:rPr>
          <w:rFonts w:eastAsia="Times New Roman"/>
          <w:noProof/>
        </w:rPr>
        <w:t xml:space="preserve">of </w:t>
      </w:r>
      <w:r w:rsidR="0122118A" w:rsidRPr="522EFC56">
        <w:rPr>
          <w:rFonts w:eastAsia="Times New Roman"/>
          <w:noProof/>
        </w:rPr>
        <w:t>European Orders</w:t>
      </w:r>
      <w:r w:rsidRPr="522EFC56">
        <w:rPr>
          <w:rFonts w:eastAsia="Times New Roman"/>
          <w:noProof/>
        </w:rPr>
        <w:t xml:space="preserve"> </w:t>
      </w:r>
      <w:r w:rsidR="2CE5799A" w:rsidRPr="522EFC56">
        <w:rPr>
          <w:rFonts w:eastAsia="Times New Roman"/>
          <w:noProof/>
        </w:rPr>
        <w:t>addressed to</w:t>
      </w:r>
      <w:r w:rsidRPr="522EFC56">
        <w:rPr>
          <w:rFonts w:eastAsia="Times New Roman"/>
          <w:noProof/>
        </w:rPr>
        <w:t xml:space="preserve"> service providers </w:t>
      </w:r>
      <w:r w:rsidR="5CB9311E" w:rsidRPr="522EFC56">
        <w:rPr>
          <w:rFonts w:eastAsia="Times New Roman"/>
          <w:noProof/>
        </w:rPr>
        <w:t>in accordance with</w:t>
      </w:r>
      <w:r w:rsidR="0122118A" w:rsidRPr="522EFC56">
        <w:rPr>
          <w:rFonts w:eastAsia="Times New Roman"/>
          <w:noProof/>
        </w:rPr>
        <w:t xml:space="preserve"> </w:t>
      </w:r>
      <w:r w:rsidR="5DCCBB08" w:rsidRPr="522EFC56">
        <w:rPr>
          <w:rFonts w:eastAsia="Times New Roman"/>
          <w:noProof/>
        </w:rPr>
        <w:t xml:space="preserve">the e-evidence framework, </w:t>
      </w:r>
      <w:r w:rsidRPr="522EFC56">
        <w:rPr>
          <w:rFonts w:eastAsia="Times New Roman"/>
          <w:noProof/>
        </w:rPr>
        <w:t xml:space="preserve">is likely to </w:t>
      </w:r>
      <w:r w:rsidR="50F698FF" w:rsidRPr="522EFC56">
        <w:rPr>
          <w:rFonts w:eastAsia="Times New Roman"/>
          <w:noProof/>
        </w:rPr>
        <w:t xml:space="preserve">generate </w:t>
      </w:r>
      <w:r w:rsidR="6655443D" w:rsidRPr="522EFC56">
        <w:rPr>
          <w:rFonts w:eastAsia="Times New Roman"/>
          <w:noProof/>
        </w:rPr>
        <w:t xml:space="preserve">operational </w:t>
      </w:r>
      <w:r w:rsidR="4DD4B836" w:rsidRPr="522EFC56">
        <w:rPr>
          <w:rFonts w:eastAsia="Times New Roman"/>
          <w:noProof/>
        </w:rPr>
        <w:t>added value</w:t>
      </w:r>
      <w:r w:rsidR="0B178D7C" w:rsidRPr="522EFC56">
        <w:rPr>
          <w:rFonts w:eastAsia="Times New Roman"/>
          <w:noProof/>
        </w:rPr>
        <w:t xml:space="preserve">. Ensuring that </w:t>
      </w:r>
      <w:r w:rsidR="66C232E3" w:rsidRPr="522EFC56">
        <w:rPr>
          <w:rFonts w:eastAsia="Times New Roman"/>
          <w:noProof/>
        </w:rPr>
        <w:t>N</w:t>
      </w:r>
      <w:r w:rsidR="105D0380" w:rsidRPr="522EFC56">
        <w:rPr>
          <w:rFonts w:eastAsia="Times New Roman"/>
          <w:noProof/>
        </w:rPr>
        <w:t>M</w:t>
      </w:r>
      <w:r w:rsidR="66C232E3" w:rsidRPr="522EFC56">
        <w:rPr>
          <w:rFonts w:eastAsia="Times New Roman"/>
          <w:noProof/>
        </w:rPr>
        <w:t>s are empowered to act as issuing or executing authorities for freezing orders</w:t>
      </w:r>
      <w:r w:rsidR="21065A02" w:rsidRPr="522EFC56">
        <w:rPr>
          <w:rFonts w:eastAsia="Times New Roman"/>
          <w:noProof/>
        </w:rPr>
        <w:t xml:space="preserve"> </w:t>
      </w:r>
      <w:r w:rsidR="15592FED" w:rsidRPr="522EFC56">
        <w:rPr>
          <w:rFonts w:eastAsia="Times New Roman"/>
          <w:noProof/>
        </w:rPr>
        <w:t xml:space="preserve">(or immediate action </w:t>
      </w:r>
      <w:r w:rsidR="15592FED" w:rsidRPr="522EFC56">
        <w:rPr>
          <w:rFonts w:eastAsia="Times New Roman"/>
          <w:noProof/>
          <w:color w:val="000000" w:themeColor="text1"/>
        </w:rPr>
        <w:t>preserving the property until a freezing order has been issued)</w:t>
      </w:r>
      <w:r w:rsidR="15592FED" w:rsidRPr="522EFC56">
        <w:rPr>
          <w:rFonts w:eastAsia="Times New Roman"/>
          <w:noProof/>
        </w:rPr>
        <w:t xml:space="preserve"> </w:t>
      </w:r>
      <w:r w:rsidR="4F0C030C" w:rsidRPr="522EFC56">
        <w:rPr>
          <w:rFonts w:eastAsia="Times New Roman"/>
          <w:noProof/>
        </w:rPr>
        <w:t>could</w:t>
      </w:r>
      <w:r w:rsidR="21065A02" w:rsidRPr="522EFC56">
        <w:rPr>
          <w:rFonts w:eastAsia="Times New Roman"/>
          <w:noProof/>
        </w:rPr>
        <w:t xml:space="preserve"> be of added value</w:t>
      </w:r>
      <w:r w:rsidR="4DD4B836" w:rsidRPr="522EFC56">
        <w:rPr>
          <w:rFonts w:eastAsia="Times New Roman"/>
          <w:noProof/>
        </w:rPr>
        <w:t xml:space="preserve"> </w:t>
      </w:r>
      <w:r w:rsidRPr="522EFC56">
        <w:rPr>
          <w:rFonts w:eastAsia="Times New Roman"/>
          <w:noProof/>
        </w:rPr>
        <w:t xml:space="preserve">in time-critical and high-value cases, where swift cross-border coordination and action is paramount. Further impacts of this measure would depend on whether such role would entail any other supporting duties of NMs, as it is likely to increase the workload of national desks in issuing the orders. </w:t>
      </w:r>
      <w:r w:rsidR="2AA02A8C" w:rsidRPr="522EFC56">
        <w:rPr>
          <w:rFonts w:eastAsia="Times New Roman"/>
          <w:noProof/>
        </w:rPr>
        <w:t xml:space="preserve">The </w:t>
      </w:r>
      <w:r w:rsidRPr="522EFC56">
        <w:rPr>
          <w:rFonts w:eastAsia="Times New Roman"/>
          <w:noProof/>
        </w:rPr>
        <w:t xml:space="preserve">positive </w:t>
      </w:r>
      <w:r w:rsidR="48B6F64D" w:rsidRPr="522EFC56">
        <w:rPr>
          <w:rFonts w:eastAsia="Times New Roman"/>
          <w:noProof/>
        </w:rPr>
        <w:t>reduc</w:t>
      </w:r>
      <w:r w:rsidR="2AA02A8C" w:rsidRPr="522EFC56">
        <w:rPr>
          <w:rFonts w:eastAsia="Times New Roman"/>
          <w:noProof/>
        </w:rPr>
        <w:t>tion</w:t>
      </w:r>
      <w:r w:rsidR="48B6F64D" w:rsidRPr="522EFC56">
        <w:rPr>
          <w:rFonts w:eastAsia="Times New Roman"/>
          <w:noProof/>
        </w:rPr>
        <w:t xml:space="preserve"> </w:t>
      </w:r>
      <w:r w:rsidR="2AA02A8C" w:rsidRPr="522EFC56">
        <w:rPr>
          <w:rFonts w:eastAsia="Times New Roman"/>
          <w:noProof/>
        </w:rPr>
        <w:t xml:space="preserve">of </w:t>
      </w:r>
      <w:r w:rsidRPr="522EFC56">
        <w:rPr>
          <w:rFonts w:eastAsia="Times New Roman"/>
          <w:noProof/>
        </w:rPr>
        <w:t xml:space="preserve">fragmentation of competences, </w:t>
      </w:r>
      <w:r w:rsidR="2AA02A8C" w:rsidRPr="522EFC56">
        <w:rPr>
          <w:rFonts w:eastAsia="Times New Roman"/>
          <w:noProof/>
        </w:rPr>
        <w:t xml:space="preserve">would also help </w:t>
      </w:r>
      <w:r w:rsidRPr="522EFC56">
        <w:rPr>
          <w:rFonts w:eastAsia="Times New Roman"/>
          <w:noProof/>
        </w:rPr>
        <w:t xml:space="preserve">reducing </w:t>
      </w:r>
      <w:r w:rsidR="73B730F4" w:rsidRPr="522EFC56">
        <w:rPr>
          <w:rFonts w:eastAsia="Times New Roman"/>
          <w:noProof/>
        </w:rPr>
        <w:t>reliance</w:t>
      </w:r>
      <w:r w:rsidRPr="522EFC56">
        <w:rPr>
          <w:rFonts w:eastAsia="Times New Roman"/>
          <w:noProof/>
        </w:rPr>
        <w:t xml:space="preserve"> on bilateral follow-up.</w:t>
      </w:r>
    </w:p>
    <w:p w14:paraId="38350D25" w14:textId="145F1E6D" w:rsidR="48DF6A82" w:rsidRPr="00D4396B" w:rsidRDefault="008027A4" w:rsidP="003B0D3B">
      <w:pPr>
        <w:spacing w:after="120"/>
        <w:rPr>
          <w:rFonts w:eastAsia="Times New Roman"/>
          <w:noProof/>
        </w:rPr>
      </w:pPr>
      <w:r w:rsidRPr="00D4396B">
        <w:rPr>
          <w:rFonts w:eastAsia="Times New Roman"/>
          <w:b/>
          <w:bCs/>
          <w:noProof/>
          <w:u w:val="single"/>
        </w:rPr>
        <w:t>A.</w:t>
      </w:r>
      <w:r w:rsidR="01D0EE0F" w:rsidRPr="00D4396B">
        <w:rPr>
          <w:rFonts w:eastAsia="Times New Roman"/>
          <w:b/>
          <w:bCs/>
          <w:noProof/>
          <w:u w:val="single"/>
        </w:rPr>
        <w:t>PO3:</w:t>
      </w:r>
      <w:r w:rsidR="01D0EE0F" w:rsidRPr="00D4396B">
        <w:rPr>
          <w:rFonts w:eastAsia="Times New Roman"/>
          <w:noProof/>
        </w:rPr>
        <w:t xml:space="preserve"> The most far-reaching option builds on </w:t>
      </w:r>
      <w:r w:rsidRPr="00D4396B">
        <w:rPr>
          <w:rFonts w:eastAsia="Times New Roman"/>
          <w:noProof/>
        </w:rPr>
        <w:t>A.</w:t>
      </w:r>
      <w:r w:rsidR="01D0EE0F" w:rsidRPr="00D4396B">
        <w:rPr>
          <w:rFonts w:eastAsia="Times New Roman"/>
          <w:noProof/>
        </w:rPr>
        <w:t>PO2</w:t>
      </w:r>
      <w:r w:rsidR="006B4B84">
        <w:rPr>
          <w:rFonts w:eastAsia="Times New Roman"/>
          <w:noProof/>
        </w:rPr>
        <w:t>. It includes an additional measure (iv) to</w:t>
      </w:r>
      <w:r w:rsidR="2018FC67" w:rsidRPr="00D4396B">
        <w:rPr>
          <w:rFonts w:eastAsia="Times New Roman"/>
          <w:noProof/>
        </w:rPr>
        <w:t xml:space="preserve"> transform Eurojust into a fully-fledged</w:t>
      </w:r>
      <w:r w:rsidR="01D0EE0F" w:rsidRPr="00D4396B">
        <w:rPr>
          <w:rFonts w:eastAsia="Times New Roman"/>
          <w:noProof/>
        </w:rPr>
        <w:t xml:space="preserve"> analytical hub</w:t>
      </w:r>
      <w:r w:rsidR="2676024A" w:rsidRPr="00D4396B">
        <w:rPr>
          <w:rFonts w:eastAsia="Times New Roman"/>
          <w:noProof/>
        </w:rPr>
        <w:t xml:space="preserve"> for </w:t>
      </w:r>
      <w:r w:rsidR="23FF667E" w:rsidRPr="0F4473D1">
        <w:rPr>
          <w:rFonts w:eastAsia="Times New Roman"/>
          <w:noProof/>
        </w:rPr>
        <w:t xml:space="preserve">judicial </w:t>
      </w:r>
      <w:r w:rsidR="64242FC8" w:rsidRPr="0F4473D1">
        <w:rPr>
          <w:rFonts w:eastAsia="Times New Roman"/>
          <w:noProof/>
        </w:rPr>
        <w:t>case</w:t>
      </w:r>
      <w:r w:rsidR="64242FC8" w:rsidRPr="00D4396B">
        <w:rPr>
          <w:rFonts w:eastAsia="Times New Roman"/>
          <w:noProof/>
        </w:rPr>
        <w:t>-building</w:t>
      </w:r>
      <w:r w:rsidR="01D0EE0F" w:rsidRPr="00D4396B">
        <w:rPr>
          <w:rFonts w:eastAsia="Times New Roman"/>
          <w:noProof/>
        </w:rPr>
        <w:t xml:space="preserve">. </w:t>
      </w:r>
      <w:r w:rsidR="286E2C1E" w:rsidRPr="00D4396B">
        <w:rPr>
          <w:rFonts w:eastAsia="Times New Roman"/>
          <w:noProof/>
        </w:rPr>
        <w:t>T</w:t>
      </w:r>
      <w:r w:rsidR="01D0EE0F" w:rsidRPr="00D4396B">
        <w:rPr>
          <w:rFonts w:eastAsia="Times New Roman"/>
          <w:noProof/>
        </w:rPr>
        <w:t xml:space="preserve">he extension </w:t>
      </w:r>
      <w:r w:rsidR="3C24624C" w:rsidRPr="00D4396B">
        <w:rPr>
          <w:rFonts w:eastAsia="Times New Roman"/>
          <w:noProof/>
        </w:rPr>
        <w:t>the</w:t>
      </w:r>
      <w:r w:rsidR="01D0EE0F" w:rsidRPr="00D4396B">
        <w:rPr>
          <w:rFonts w:eastAsia="Times New Roman"/>
          <w:noProof/>
        </w:rPr>
        <w:t xml:space="preserve"> CICED and CTR</w:t>
      </w:r>
      <w:r w:rsidR="3C24624C" w:rsidRPr="00D4396B">
        <w:rPr>
          <w:rFonts w:eastAsia="Times New Roman"/>
          <w:noProof/>
        </w:rPr>
        <w:t xml:space="preserve"> models</w:t>
      </w:r>
      <w:r w:rsidR="01D0EE0F" w:rsidRPr="00D4396B">
        <w:rPr>
          <w:rFonts w:eastAsia="Times New Roman"/>
          <w:noProof/>
        </w:rPr>
        <w:t xml:space="preserve"> to</w:t>
      </w:r>
      <w:r w:rsidR="3C24624C" w:rsidRPr="00D4396B">
        <w:rPr>
          <w:rFonts w:eastAsia="Times New Roman"/>
          <w:noProof/>
        </w:rPr>
        <w:t xml:space="preserve"> cover</w:t>
      </w:r>
      <w:r w:rsidR="64AE78A2" w:rsidRPr="00D4396B">
        <w:rPr>
          <w:rFonts w:eastAsia="Times New Roman"/>
          <w:noProof/>
        </w:rPr>
        <w:t xml:space="preserve"> </w:t>
      </w:r>
      <w:r w:rsidR="059320D3" w:rsidRPr="00D4396B">
        <w:rPr>
          <w:rFonts w:eastAsia="Times New Roman"/>
          <w:noProof/>
        </w:rPr>
        <w:t>information and evidence related to</w:t>
      </w:r>
      <w:r w:rsidR="01D0EE0F" w:rsidRPr="00D4396B">
        <w:rPr>
          <w:rFonts w:eastAsia="Times New Roman"/>
          <w:noProof/>
        </w:rPr>
        <w:t xml:space="preserve"> organised crime would require the addition of a new competence under Article 21 of the EJR. This new role would be consistent with the current trends of EU public policies in this area (e.g. SOCTA, road map </w:t>
      </w:r>
      <w:r w:rsidR="00046AEA">
        <w:rPr>
          <w:rFonts w:eastAsia="Times New Roman"/>
          <w:noProof/>
        </w:rPr>
        <w:t xml:space="preserve">on organised crime </w:t>
      </w:r>
      <w:r w:rsidR="01D0EE0F" w:rsidRPr="00D4396B">
        <w:rPr>
          <w:rFonts w:eastAsia="Times New Roman"/>
          <w:noProof/>
        </w:rPr>
        <w:t>etc.). With regard to Eurojust’s material competence</w:t>
      </w:r>
      <w:r w:rsidR="00D72A95">
        <w:rPr>
          <w:rStyle w:val="FootnoteReference"/>
          <w:rFonts w:eastAsia="Times New Roman"/>
          <w:noProof/>
        </w:rPr>
        <w:footnoteReference w:id="118"/>
      </w:r>
      <w:r w:rsidR="01D0EE0F" w:rsidRPr="00D4396B">
        <w:rPr>
          <w:rFonts w:eastAsia="Times New Roman"/>
          <w:noProof/>
        </w:rPr>
        <w:t xml:space="preserve"> and considering the evolving nature of cross-border serious and organised crime</w:t>
      </w:r>
      <w:r w:rsidR="009F0E1D">
        <w:rPr>
          <w:rFonts w:eastAsia="Times New Roman"/>
          <w:noProof/>
        </w:rPr>
        <w:t>,</w:t>
      </w:r>
      <w:r w:rsidR="01D0EE0F" w:rsidRPr="00D4396B">
        <w:rPr>
          <w:rFonts w:eastAsia="Times New Roman"/>
          <w:noProof/>
        </w:rPr>
        <w:t xml:space="preserve"> the impact would be very high because in practice the main material scope of Eurojust’s mandate would be covered. Nevertheless, the efficiency could be </w:t>
      </w:r>
      <w:r w:rsidR="4738E088" w:rsidRPr="00D4396B">
        <w:rPr>
          <w:rFonts w:eastAsia="Times New Roman"/>
          <w:noProof/>
        </w:rPr>
        <w:t xml:space="preserve">limited </w:t>
      </w:r>
      <w:r w:rsidR="01D0EE0F" w:rsidRPr="00D4396B">
        <w:rPr>
          <w:rFonts w:eastAsia="Times New Roman"/>
          <w:noProof/>
        </w:rPr>
        <w:t xml:space="preserve">due to </w:t>
      </w:r>
      <w:r w:rsidR="6EA89D9B" w:rsidRPr="00D4396B">
        <w:rPr>
          <w:rFonts w:eastAsia="Times New Roman"/>
          <w:noProof/>
        </w:rPr>
        <w:t>high costs</w:t>
      </w:r>
      <w:r w:rsidR="7249763D" w:rsidRPr="00D4396B">
        <w:rPr>
          <w:rFonts w:eastAsia="Times New Roman"/>
          <w:noProof/>
        </w:rPr>
        <w:t xml:space="preserve">, including to </w:t>
      </w:r>
      <w:r w:rsidR="0AEACAF0" w:rsidRPr="00D4396B">
        <w:rPr>
          <w:rFonts w:eastAsia="Times New Roman"/>
          <w:noProof/>
        </w:rPr>
        <w:t>deal with the increased</w:t>
      </w:r>
      <w:r w:rsidR="01D0EE0F" w:rsidRPr="00D4396B">
        <w:rPr>
          <w:rFonts w:eastAsia="Times New Roman"/>
          <w:noProof/>
        </w:rPr>
        <w:t xml:space="preserve"> volume of operational data</w:t>
      </w:r>
      <w:r w:rsidR="0AEACAF0" w:rsidRPr="00D4396B">
        <w:rPr>
          <w:rFonts w:eastAsia="Times New Roman"/>
          <w:noProof/>
        </w:rPr>
        <w:t xml:space="preserve"> to </w:t>
      </w:r>
      <w:r w:rsidR="5CD93FF6" w:rsidRPr="00D4396B">
        <w:rPr>
          <w:rFonts w:eastAsia="Times New Roman"/>
          <w:noProof/>
        </w:rPr>
        <w:t xml:space="preserve">be </w:t>
      </w:r>
      <w:r w:rsidR="0AEACAF0" w:rsidRPr="00D4396B">
        <w:rPr>
          <w:rFonts w:eastAsia="Times New Roman"/>
          <w:noProof/>
        </w:rPr>
        <w:t>processed</w:t>
      </w:r>
      <w:r w:rsidR="01D0EE0F" w:rsidRPr="00D4396B">
        <w:rPr>
          <w:rFonts w:eastAsia="Times New Roman"/>
          <w:noProof/>
        </w:rPr>
        <w:t>, and constraints related to data</w:t>
      </w:r>
      <w:r w:rsidR="3022528D" w:rsidRPr="00D4396B">
        <w:rPr>
          <w:rFonts w:eastAsia="Times New Roman"/>
          <w:noProof/>
        </w:rPr>
        <w:t xml:space="preserve"> entry capacity</w:t>
      </w:r>
      <w:r w:rsidR="01D0EE0F" w:rsidRPr="00D4396B">
        <w:rPr>
          <w:rFonts w:eastAsia="Times New Roman"/>
          <w:noProof/>
        </w:rPr>
        <w:t xml:space="preserve">. </w:t>
      </w:r>
      <w:r w:rsidR="002A3A41">
        <w:rPr>
          <w:rFonts w:eastAsia="Times New Roman"/>
          <w:noProof/>
        </w:rPr>
        <w:t>T</w:t>
      </w:r>
      <w:r w:rsidR="00390889">
        <w:rPr>
          <w:rFonts w:eastAsia="Times New Roman"/>
          <w:noProof/>
        </w:rPr>
        <w:t xml:space="preserve">his </w:t>
      </w:r>
      <w:r w:rsidR="009C4200">
        <w:rPr>
          <w:rFonts w:eastAsia="Times New Roman"/>
          <w:noProof/>
        </w:rPr>
        <w:t xml:space="preserve">individual measure </w:t>
      </w:r>
      <w:r w:rsidR="00390889">
        <w:rPr>
          <w:rFonts w:eastAsia="Times New Roman"/>
          <w:noProof/>
        </w:rPr>
        <w:t xml:space="preserve">is potentially one of the </w:t>
      </w:r>
      <w:r w:rsidR="002A3A41">
        <w:rPr>
          <w:rFonts w:eastAsia="Times New Roman"/>
          <w:noProof/>
        </w:rPr>
        <w:t>highest</w:t>
      </w:r>
      <w:r w:rsidR="003E44B6">
        <w:rPr>
          <w:rFonts w:eastAsia="Times New Roman"/>
          <w:noProof/>
        </w:rPr>
        <w:t xml:space="preserve"> cost </w:t>
      </w:r>
      <w:r w:rsidR="00390889">
        <w:rPr>
          <w:rFonts w:eastAsia="Times New Roman"/>
          <w:noProof/>
        </w:rPr>
        <w:t>measures</w:t>
      </w:r>
      <w:r w:rsidR="002A3A41">
        <w:rPr>
          <w:rFonts w:eastAsia="Times New Roman"/>
          <w:noProof/>
        </w:rPr>
        <w:t xml:space="preserve"> proposed</w:t>
      </w:r>
      <w:r w:rsidR="003E44B6">
        <w:rPr>
          <w:rFonts w:eastAsia="Times New Roman"/>
          <w:noProof/>
        </w:rPr>
        <w:t>, refle</w:t>
      </w:r>
      <w:r w:rsidR="00E35DD9">
        <w:rPr>
          <w:rFonts w:eastAsia="Times New Roman"/>
          <w:noProof/>
        </w:rPr>
        <w:t xml:space="preserve">cting </w:t>
      </w:r>
      <w:r w:rsidR="00735FCF">
        <w:rPr>
          <w:rFonts w:eastAsia="Times New Roman"/>
          <w:noProof/>
        </w:rPr>
        <w:t>the need for</w:t>
      </w:r>
      <w:r w:rsidR="00F46DCA">
        <w:rPr>
          <w:rFonts w:eastAsia="Times New Roman"/>
          <w:noProof/>
        </w:rPr>
        <w:t xml:space="preserve"> </w:t>
      </w:r>
      <w:r w:rsidR="01D0EE0F" w:rsidRPr="00D4396B">
        <w:rPr>
          <w:rFonts w:eastAsia="Times New Roman"/>
          <w:noProof/>
        </w:rPr>
        <w:t xml:space="preserve">additional resources </w:t>
      </w:r>
      <w:r w:rsidR="008157DF">
        <w:rPr>
          <w:rFonts w:eastAsia="Times New Roman"/>
          <w:noProof/>
        </w:rPr>
        <w:t xml:space="preserve">such as </w:t>
      </w:r>
      <w:r w:rsidR="01D0EE0F" w:rsidRPr="00D4396B">
        <w:rPr>
          <w:rFonts w:eastAsia="Times New Roman"/>
          <w:noProof/>
        </w:rPr>
        <w:t>the recruitment of analysts and lawyers with experience in organised crime</w:t>
      </w:r>
      <w:r w:rsidR="00EC7FDD">
        <w:rPr>
          <w:rFonts w:eastAsia="Times New Roman"/>
          <w:noProof/>
        </w:rPr>
        <w:t>.</w:t>
      </w:r>
      <w:r w:rsidR="00D640BF">
        <w:rPr>
          <w:rStyle w:val="FootnoteReference"/>
          <w:rFonts w:eastAsia="Times New Roman"/>
          <w:noProof/>
        </w:rPr>
        <w:footnoteReference w:id="119"/>
      </w:r>
      <w:r w:rsidR="002A3A41">
        <w:rPr>
          <w:rFonts w:eastAsia="Times New Roman"/>
          <w:noProof/>
        </w:rPr>
        <w:t>. However</w:t>
      </w:r>
      <w:r w:rsidR="006D10B5">
        <w:rPr>
          <w:rFonts w:eastAsia="Times New Roman"/>
          <w:noProof/>
        </w:rPr>
        <w:t>,</w:t>
      </w:r>
      <w:r w:rsidR="002A3A41">
        <w:rPr>
          <w:rFonts w:eastAsia="Times New Roman"/>
          <w:noProof/>
        </w:rPr>
        <w:t xml:space="preserve"> this is more than offset by the expected</w:t>
      </w:r>
      <w:r w:rsidR="00DF2AB1">
        <w:rPr>
          <w:rFonts w:eastAsia="Times New Roman"/>
          <w:noProof/>
        </w:rPr>
        <w:t xml:space="preserve"> high positive </w:t>
      </w:r>
      <w:r w:rsidR="006D10B5">
        <w:rPr>
          <w:rFonts w:eastAsia="Times New Roman"/>
          <w:noProof/>
        </w:rPr>
        <w:t>long-term</w:t>
      </w:r>
      <w:r w:rsidR="00DF2AB1">
        <w:rPr>
          <w:rFonts w:eastAsia="Times New Roman"/>
          <w:noProof/>
        </w:rPr>
        <w:t xml:space="preserve"> impact</w:t>
      </w:r>
      <w:r w:rsidR="002A3A41">
        <w:rPr>
          <w:rFonts w:eastAsia="Times New Roman"/>
          <w:noProof/>
        </w:rPr>
        <w:t>. O</w:t>
      </w:r>
      <w:r w:rsidR="008A6ABB">
        <w:rPr>
          <w:rFonts w:eastAsia="Times New Roman"/>
          <w:noProof/>
        </w:rPr>
        <w:t>verall</w:t>
      </w:r>
      <w:r w:rsidR="006D10B5">
        <w:rPr>
          <w:rFonts w:eastAsia="Times New Roman"/>
          <w:noProof/>
        </w:rPr>
        <w:t>,</w:t>
      </w:r>
      <w:r w:rsidR="008A6ABB">
        <w:rPr>
          <w:rFonts w:eastAsia="Times New Roman"/>
          <w:noProof/>
        </w:rPr>
        <w:t xml:space="preserve"> this measure is judged to be very efficient and </w:t>
      </w:r>
      <w:r w:rsidR="002A3A41">
        <w:rPr>
          <w:rFonts w:eastAsia="Times New Roman"/>
          <w:noProof/>
        </w:rPr>
        <w:t xml:space="preserve">should also </w:t>
      </w:r>
      <w:r w:rsidR="008A6ABB">
        <w:rPr>
          <w:rFonts w:eastAsia="Times New Roman"/>
          <w:noProof/>
        </w:rPr>
        <w:t xml:space="preserve">deliver </w:t>
      </w:r>
      <w:r w:rsidR="00C47916">
        <w:rPr>
          <w:rFonts w:eastAsia="Times New Roman"/>
          <w:noProof/>
        </w:rPr>
        <w:t>moderate internal and high external</w:t>
      </w:r>
      <w:r w:rsidR="008A6ABB">
        <w:rPr>
          <w:rFonts w:eastAsia="Times New Roman"/>
          <w:noProof/>
        </w:rPr>
        <w:t xml:space="preserve"> </w:t>
      </w:r>
      <w:r w:rsidR="00F820EF">
        <w:rPr>
          <w:rFonts w:eastAsia="Times New Roman"/>
          <w:noProof/>
        </w:rPr>
        <w:t>coherence benefits.</w:t>
      </w:r>
      <w:r w:rsidR="002F53D8">
        <w:rPr>
          <w:rFonts w:eastAsia="Times New Roman"/>
          <w:noProof/>
        </w:rPr>
        <w:t xml:space="preserve"> </w:t>
      </w:r>
    </w:p>
    <w:p w14:paraId="5AF6F7B1" w14:textId="73F2EAC1" w:rsidR="48DF6A82" w:rsidRPr="00D4396B" w:rsidRDefault="01D0EE0F" w:rsidP="003B0D3B">
      <w:pPr>
        <w:spacing w:after="120"/>
        <w:rPr>
          <w:rFonts w:eastAsia="Times New Roman"/>
          <w:noProof/>
        </w:rPr>
      </w:pPr>
      <w:r w:rsidRPr="00D4396B">
        <w:rPr>
          <w:rFonts w:eastAsia="Times New Roman"/>
          <w:noProof/>
        </w:rPr>
        <w:t xml:space="preserve">The efficiency could be impacted by the risk of duplication of </w:t>
      </w:r>
      <w:r w:rsidR="194432E5" w:rsidRPr="00D4396B">
        <w:rPr>
          <w:rFonts w:eastAsia="Times New Roman"/>
          <w:noProof/>
        </w:rPr>
        <w:t>work</w:t>
      </w:r>
      <w:r w:rsidRPr="00D4396B">
        <w:rPr>
          <w:rFonts w:eastAsia="Times New Roman"/>
          <w:noProof/>
        </w:rPr>
        <w:t xml:space="preserve"> with Europol,</w:t>
      </w:r>
      <w:r w:rsidR="238AC0C2" w:rsidRPr="00D4396B">
        <w:rPr>
          <w:rFonts w:eastAsia="Times New Roman"/>
          <w:noProof/>
        </w:rPr>
        <w:t xml:space="preserve"> which already </w:t>
      </w:r>
      <w:r w:rsidR="6776E3A8" w:rsidRPr="00D4396B">
        <w:rPr>
          <w:rFonts w:eastAsia="Times New Roman"/>
          <w:noProof/>
        </w:rPr>
        <w:t xml:space="preserve">perform </w:t>
      </w:r>
      <w:r w:rsidR="56D772B5" w:rsidRPr="00D4396B">
        <w:rPr>
          <w:rFonts w:eastAsia="Times New Roman"/>
          <w:noProof/>
        </w:rPr>
        <w:t>analytical tasks</w:t>
      </w:r>
      <w:r w:rsidR="600D32C6" w:rsidRPr="00D4396B">
        <w:rPr>
          <w:rFonts w:eastAsia="Times New Roman"/>
          <w:noProof/>
        </w:rPr>
        <w:t xml:space="preserve">. </w:t>
      </w:r>
      <w:r w:rsidR="00904C6F">
        <w:rPr>
          <w:rFonts w:eastAsia="Times New Roman"/>
          <w:noProof/>
        </w:rPr>
        <w:t>To mitigate this risk, c</w:t>
      </w:r>
      <w:r w:rsidR="043473CF" w:rsidRPr="00D4396B">
        <w:rPr>
          <w:rFonts w:eastAsia="Times New Roman"/>
          <w:noProof/>
        </w:rPr>
        <w:t>lear separation must be established between the analytical work of Eur</w:t>
      </w:r>
      <w:r w:rsidR="076F9986" w:rsidRPr="00D4396B">
        <w:rPr>
          <w:rFonts w:eastAsia="Times New Roman"/>
          <w:noProof/>
        </w:rPr>
        <w:t>opol, which deals with</w:t>
      </w:r>
      <w:r w:rsidRPr="00D4396B">
        <w:rPr>
          <w:rFonts w:eastAsia="Times New Roman"/>
          <w:noProof/>
        </w:rPr>
        <w:t xml:space="preserve"> operational intelligence,</w:t>
      </w:r>
      <w:r w:rsidR="076F9986" w:rsidRPr="00D4396B">
        <w:rPr>
          <w:rFonts w:eastAsia="Times New Roman"/>
          <w:noProof/>
        </w:rPr>
        <w:t xml:space="preserve"> and Eurojust, which works with</w:t>
      </w:r>
      <w:r w:rsidRPr="00D4396B">
        <w:rPr>
          <w:rFonts w:eastAsia="Times New Roman"/>
          <w:noProof/>
        </w:rPr>
        <w:t xml:space="preserve"> judicial evidence. In addition, Member States would </w:t>
      </w:r>
      <w:r w:rsidR="68F5D894" w:rsidRPr="4784B4BD">
        <w:rPr>
          <w:rFonts w:eastAsia="Times New Roman"/>
          <w:noProof/>
        </w:rPr>
        <w:t xml:space="preserve">continue </w:t>
      </w:r>
      <w:r w:rsidRPr="00D4396B">
        <w:rPr>
          <w:rFonts w:eastAsia="Times New Roman"/>
          <w:noProof/>
        </w:rPr>
        <w:t>to submit the data</w:t>
      </w:r>
      <w:r w:rsidR="38241B8F" w:rsidRPr="00D4396B">
        <w:rPr>
          <w:rFonts w:eastAsia="Times New Roman"/>
          <w:noProof/>
        </w:rPr>
        <w:t>. Therefore,</w:t>
      </w:r>
      <w:r w:rsidRPr="00D4396B">
        <w:rPr>
          <w:rFonts w:eastAsia="Times New Roman"/>
          <w:noProof/>
        </w:rPr>
        <w:t xml:space="preserve"> the impact on</w:t>
      </w:r>
      <w:r w:rsidR="38241B8F" w:rsidRPr="00D4396B">
        <w:rPr>
          <w:rFonts w:eastAsia="Times New Roman"/>
          <w:noProof/>
        </w:rPr>
        <w:t xml:space="preserve"> national authorities</w:t>
      </w:r>
      <w:r w:rsidRPr="00D4396B">
        <w:rPr>
          <w:rFonts w:eastAsia="Times New Roman"/>
          <w:noProof/>
        </w:rPr>
        <w:t xml:space="preserve"> </w:t>
      </w:r>
      <w:r w:rsidR="38241B8F" w:rsidRPr="00D4396B">
        <w:rPr>
          <w:rFonts w:eastAsia="Times New Roman"/>
          <w:noProof/>
        </w:rPr>
        <w:t xml:space="preserve">would not </w:t>
      </w:r>
      <w:r w:rsidRPr="00D4396B">
        <w:rPr>
          <w:rFonts w:eastAsia="Times New Roman"/>
          <w:noProof/>
        </w:rPr>
        <w:t>be neutral in terms of administrative burden. Taken together, these constraints suggest that while the option is a promising idea that would positively add value for combatting serious and organised crime, its impact could be limited without substantial investment and careful coordination.</w:t>
      </w:r>
    </w:p>
    <w:p w14:paraId="737BEE25" w14:textId="50F3DD37" w:rsidR="5CF20994" w:rsidRPr="00437964" w:rsidRDefault="5CF20994" w:rsidP="300D80D8">
      <w:pPr>
        <w:spacing w:after="120"/>
        <w:rPr>
          <w:rFonts w:eastAsia="Times New Roman"/>
          <w:noProof/>
          <w:u w:val="single"/>
        </w:rPr>
      </w:pPr>
      <w:r w:rsidRPr="00437964">
        <w:rPr>
          <w:rFonts w:eastAsia="Times New Roman"/>
          <w:noProof/>
          <w:u w:val="single"/>
        </w:rPr>
        <w:t xml:space="preserve">Table </w:t>
      </w:r>
      <w:r w:rsidR="001C2582">
        <w:rPr>
          <w:rFonts w:eastAsia="Times New Roman"/>
          <w:noProof/>
          <w:u w:val="single"/>
        </w:rPr>
        <w:t>5</w:t>
      </w:r>
      <w:r w:rsidRPr="00437964">
        <w:rPr>
          <w:rFonts w:eastAsia="Times New Roman"/>
          <w:noProof/>
          <w:u w:val="single"/>
        </w:rPr>
        <w:t>:</w:t>
      </w:r>
      <w:r w:rsidR="00E324A3">
        <w:rPr>
          <w:rFonts w:eastAsia="Times New Roman"/>
          <w:noProof/>
          <w:u w:val="single"/>
        </w:rPr>
        <w:t xml:space="preserve"> </w:t>
      </w:r>
      <w:r w:rsidR="008909F7" w:rsidRPr="00437964">
        <w:rPr>
          <w:rFonts w:eastAsia="Times New Roman"/>
          <w:noProof/>
          <w:u w:val="single"/>
        </w:rPr>
        <w:t xml:space="preserve">Impacts </w:t>
      </w:r>
      <w:r w:rsidR="002A673D" w:rsidRPr="00437964">
        <w:rPr>
          <w:rFonts w:eastAsia="Times New Roman"/>
          <w:noProof/>
          <w:u w:val="single"/>
        </w:rPr>
        <w:t xml:space="preserve">of policy option </w:t>
      </w:r>
      <w:r w:rsidR="0003691A">
        <w:rPr>
          <w:rFonts w:eastAsia="Times New Roman"/>
          <w:noProof/>
          <w:u w:val="single"/>
        </w:rPr>
        <w:t>in</w:t>
      </w:r>
      <w:r w:rsidR="002A673D" w:rsidRPr="00437964">
        <w:rPr>
          <w:rFonts w:eastAsia="Times New Roman"/>
          <w:noProof/>
          <w:u w:val="single"/>
        </w:rPr>
        <w:t xml:space="preserve"> intervention area A</w:t>
      </w:r>
    </w:p>
    <w:tbl>
      <w:tblPr>
        <w:tblW w:w="5000" w:type="pct"/>
        <w:tblCellMar>
          <w:top w:w="15" w:type="dxa"/>
          <w:left w:w="70" w:type="dxa"/>
          <w:bottom w:w="15" w:type="dxa"/>
          <w:right w:w="70" w:type="dxa"/>
        </w:tblCellMar>
        <w:tblLook w:val="04A0" w:firstRow="1" w:lastRow="0" w:firstColumn="1" w:lastColumn="0" w:noHBand="0" w:noVBand="1"/>
      </w:tblPr>
      <w:tblGrid>
        <w:gridCol w:w="2800"/>
        <w:gridCol w:w="389"/>
        <w:gridCol w:w="488"/>
        <w:gridCol w:w="966"/>
        <w:gridCol w:w="739"/>
        <w:gridCol w:w="576"/>
        <w:gridCol w:w="616"/>
        <w:gridCol w:w="767"/>
        <w:gridCol w:w="1257"/>
      </w:tblGrid>
      <w:tr w:rsidR="0042674E" w:rsidRPr="00D4396B" w14:paraId="75A84B1A" w14:textId="77777777" w:rsidTr="00437964">
        <w:trPr>
          <w:trHeight w:val="675"/>
        </w:trPr>
        <w:tc>
          <w:tcPr>
            <w:tcW w:w="1628" w:type="pct"/>
            <w:tcBorders>
              <w:top w:val="single" w:sz="8" w:space="0" w:color="auto"/>
              <w:left w:val="single" w:sz="8" w:space="0" w:color="auto"/>
              <w:bottom w:val="nil"/>
              <w:right w:val="single" w:sz="8" w:space="0" w:color="auto"/>
            </w:tcBorders>
            <w:shd w:val="clear" w:color="auto" w:fill="DAE9F8"/>
            <w:vAlign w:val="center"/>
            <w:hideMark/>
          </w:tcPr>
          <w:p w14:paraId="607AB014" w14:textId="77777777" w:rsidR="0042674E" w:rsidRPr="00D4396B" w:rsidRDefault="0042674E" w:rsidP="0042674E">
            <w:pPr>
              <w:spacing w:after="0"/>
              <w:rPr>
                <w:rFonts w:eastAsia="Times New Roman"/>
                <w:b/>
                <w:bCs/>
                <w:noProof/>
                <w:color w:val="000000"/>
                <w:sz w:val="14"/>
                <w:szCs w:val="14"/>
                <w:lang w:val="en-US" w:eastAsia="de-DE"/>
              </w:rPr>
            </w:pPr>
            <w:r w:rsidRPr="00D4396B">
              <w:rPr>
                <w:rFonts w:eastAsia="Times New Roman"/>
                <w:b/>
                <w:bCs/>
                <w:noProof/>
                <w:color w:val="000000"/>
                <w:sz w:val="14"/>
                <w:szCs w:val="14"/>
                <w:lang w:val="en-US" w:eastAsia="de-DE"/>
              </w:rPr>
              <w:t>A.     Extending the scope of material competences to face the new judicial landscape</w:t>
            </w:r>
          </w:p>
        </w:tc>
        <w:tc>
          <w:tcPr>
            <w:tcW w:w="1072" w:type="pct"/>
            <w:gridSpan w:val="3"/>
            <w:tcBorders>
              <w:top w:val="single" w:sz="8" w:space="0" w:color="auto"/>
              <w:left w:val="single" w:sz="8" w:space="0" w:color="auto"/>
              <w:bottom w:val="single" w:sz="8" w:space="0" w:color="auto"/>
              <w:right w:val="nil"/>
            </w:tcBorders>
            <w:noWrap/>
            <w:vAlign w:val="center"/>
            <w:hideMark/>
          </w:tcPr>
          <w:p w14:paraId="5DC1D385" w14:textId="77777777" w:rsidR="0042674E" w:rsidRPr="00D4396B" w:rsidRDefault="0042674E" w:rsidP="0042674E">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Effectiveness</w:t>
            </w:r>
          </w:p>
        </w:tc>
        <w:tc>
          <w:tcPr>
            <w:tcW w:w="430" w:type="pct"/>
            <w:tcBorders>
              <w:top w:val="single" w:sz="8" w:space="0" w:color="auto"/>
              <w:left w:val="single" w:sz="8" w:space="0" w:color="auto"/>
              <w:bottom w:val="nil"/>
              <w:right w:val="single" w:sz="8" w:space="0" w:color="auto"/>
            </w:tcBorders>
            <w:noWrap/>
            <w:vAlign w:val="center"/>
            <w:hideMark/>
          </w:tcPr>
          <w:p w14:paraId="6FDC7080" w14:textId="77777777" w:rsidR="0042674E" w:rsidRPr="00D4396B" w:rsidRDefault="0042674E" w:rsidP="0042674E">
            <w:pPr>
              <w:spacing w:after="0"/>
              <w:jc w:val="left"/>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Efficiency</w:t>
            </w:r>
          </w:p>
        </w:tc>
        <w:tc>
          <w:tcPr>
            <w:tcW w:w="1139" w:type="pct"/>
            <w:gridSpan w:val="3"/>
            <w:tcBorders>
              <w:top w:val="single" w:sz="8" w:space="0" w:color="auto"/>
              <w:left w:val="single" w:sz="8" w:space="0" w:color="auto"/>
              <w:bottom w:val="single" w:sz="8" w:space="0" w:color="auto"/>
              <w:right w:val="nil"/>
            </w:tcBorders>
            <w:noWrap/>
            <w:vAlign w:val="center"/>
            <w:hideMark/>
          </w:tcPr>
          <w:p w14:paraId="76D4E0DF" w14:textId="77777777" w:rsidR="0042674E" w:rsidRPr="00D4396B" w:rsidRDefault="0042674E" w:rsidP="0042674E">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Coherence</w:t>
            </w:r>
          </w:p>
        </w:tc>
        <w:tc>
          <w:tcPr>
            <w:tcW w:w="732" w:type="pct"/>
            <w:tcBorders>
              <w:top w:val="single" w:sz="8" w:space="0" w:color="auto"/>
              <w:left w:val="single" w:sz="8" w:space="0" w:color="auto"/>
              <w:bottom w:val="nil"/>
              <w:right w:val="single" w:sz="8" w:space="0" w:color="auto"/>
            </w:tcBorders>
            <w:vAlign w:val="center"/>
            <w:hideMark/>
          </w:tcPr>
          <w:p w14:paraId="5FC3CD4F" w14:textId="77777777" w:rsidR="0042674E" w:rsidRPr="00D4396B" w:rsidRDefault="0042674E" w:rsidP="00696550">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Total criteria score</w:t>
            </w:r>
          </w:p>
        </w:tc>
      </w:tr>
      <w:tr w:rsidR="00CE3B6D" w:rsidRPr="00D4396B" w14:paraId="20F623B2" w14:textId="77777777" w:rsidTr="00437964">
        <w:trPr>
          <w:trHeight w:val="799"/>
        </w:trPr>
        <w:tc>
          <w:tcPr>
            <w:tcW w:w="1628" w:type="pct"/>
            <w:tcBorders>
              <w:top w:val="nil"/>
              <w:left w:val="single" w:sz="8" w:space="0" w:color="auto"/>
              <w:bottom w:val="single" w:sz="8" w:space="0" w:color="auto"/>
              <w:right w:val="single" w:sz="8" w:space="0" w:color="auto"/>
            </w:tcBorders>
            <w:shd w:val="clear" w:color="auto" w:fill="DAE9F8"/>
            <w:vAlign w:val="center"/>
            <w:hideMark/>
          </w:tcPr>
          <w:p w14:paraId="54562ADE" w14:textId="77777777" w:rsidR="0042674E" w:rsidRPr="00D4396B" w:rsidRDefault="0042674E" w:rsidP="0042674E">
            <w:pPr>
              <w:spacing w:after="0"/>
              <w:rPr>
                <w:rFonts w:eastAsia="Times New Roman"/>
                <w:i/>
                <w:noProof/>
                <w:color w:val="000000"/>
                <w:sz w:val="14"/>
                <w:szCs w:val="14"/>
                <w:lang w:eastAsia="de-DE"/>
              </w:rPr>
            </w:pPr>
            <w:r w:rsidRPr="00D4396B">
              <w:rPr>
                <w:rFonts w:eastAsia="Times New Roman"/>
                <w:i/>
                <w:noProof/>
                <w:color w:val="000000" w:themeColor="text1"/>
                <w:sz w:val="14"/>
                <w:szCs w:val="14"/>
                <w:lang w:eastAsia="de-DE"/>
              </w:rPr>
              <w:t>Addresses problem driver(s):#2 Insufficient competences and associated toolset</w:t>
            </w:r>
          </w:p>
        </w:tc>
        <w:tc>
          <w:tcPr>
            <w:tcW w:w="226" w:type="pct"/>
            <w:tcBorders>
              <w:top w:val="single" w:sz="8" w:space="0" w:color="auto"/>
              <w:left w:val="single" w:sz="8" w:space="0" w:color="auto"/>
              <w:bottom w:val="single" w:sz="8" w:space="0" w:color="auto"/>
              <w:right w:val="single" w:sz="8" w:space="0" w:color="auto"/>
            </w:tcBorders>
            <w:noWrap/>
            <w:vAlign w:val="center"/>
            <w:hideMark/>
          </w:tcPr>
          <w:p w14:paraId="08B75B65"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SO1</w:t>
            </w:r>
          </w:p>
        </w:tc>
        <w:tc>
          <w:tcPr>
            <w:tcW w:w="284" w:type="pct"/>
            <w:tcBorders>
              <w:top w:val="single" w:sz="8" w:space="0" w:color="auto"/>
              <w:left w:val="single" w:sz="8" w:space="0" w:color="auto"/>
              <w:bottom w:val="single" w:sz="8" w:space="0" w:color="auto"/>
              <w:right w:val="single" w:sz="8" w:space="0" w:color="auto"/>
            </w:tcBorders>
            <w:noWrap/>
            <w:vAlign w:val="center"/>
            <w:hideMark/>
          </w:tcPr>
          <w:p w14:paraId="7D39F5DF"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GO</w:t>
            </w:r>
          </w:p>
        </w:tc>
        <w:tc>
          <w:tcPr>
            <w:tcW w:w="562" w:type="pct"/>
            <w:tcBorders>
              <w:top w:val="single" w:sz="8" w:space="0" w:color="auto"/>
              <w:left w:val="single" w:sz="8" w:space="0" w:color="auto"/>
              <w:bottom w:val="single" w:sz="8" w:space="0" w:color="auto"/>
              <w:right w:val="single" w:sz="8" w:space="0" w:color="auto"/>
            </w:tcBorders>
            <w:vAlign w:val="center"/>
            <w:hideMark/>
          </w:tcPr>
          <w:p w14:paraId="339A7774" w14:textId="77777777" w:rsidR="0042674E" w:rsidRPr="00D4396B" w:rsidRDefault="0042674E" w:rsidP="0042674E">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Effectiveness score </w:t>
            </w:r>
            <w:r w:rsidRPr="00D4396B">
              <w:rPr>
                <w:rFonts w:eastAsia="Times New Roman"/>
                <w:noProof/>
                <w:color w:val="000000"/>
                <w:sz w:val="14"/>
                <w:szCs w:val="14"/>
                <w:lang w:val="en-US" w:eastAsia="de-DE"/>
              </w:rPr>
              <w:br/>
              <w:t>= average SO1+GO</w:t>
            </w:r>
          </w:p>
        </w:tc>
        <w:tc>
          <w:tcPr>
            <w:tcW w:w="430" w:type="pct"/>
            <w:tcBorders>
              <w:top w:val="single" w:sz="8" w:space="0" w:color="auto"/>
              <w:left w:val="single" w:sz="8" w:space="0" w:color="auto"/>
              <w:bottom w:val="single" w:sz="8" w:space="0" w:color="auto"/>
              <w:right w:val="single" w:sz="8" w:space="0" w:color="auto"/>
            </w:tcBorders>
            <w:noWrap/>
            <w:vAlign w:val="center"/>
            <w:hideMark/>
          </w:tcPr>
          <w:p w14:paraId="47E57854" w14:textId="77777777" w:rsidR="0042674E" w:rsidRPr="00D4396B" w:rsidRDefault="0042674E" w:rsidP="0042674E">
            <w:pPr>
              <w:spacing w:after="0"/>
              <w:jc w:val="center"/>
              <w:rPr>
                <w:rFonts w:eastAsia="Times New Roman"/>
                <w:noProof/>
                <w:color w:val="000000"/>
                <w:sz w:val="14"/>
                <w:szCs w:val="14"/>
                <w:lang w:val="en-US" w:eastAsia="de-DE"/>
              </w:rPr>
            </w:pPr>
          </w:p>
        </w:tc>
        <w:tc>
          <w:tcPr>
            <w:tcW w:w="335" w:type="pct"/>
            <w:tcBorders>
              <w:top w:val="single" w:sz="8" w:space="0" w:color="auto"/>
              <w:left w:val="single" w:sz="8" w:space="0" w:color="auto"/>
              <w:bottom w:val="single" w:sz="8" w:space="0" w:color="auto"/>
              <w:right w:val="single" w:sz="8" w:space="0" w:color="auto"/>
            </w:tcBorders>
            <w:noWrap/>
            <w:vAlign w:val="center"/>
            <w:hideMark/>
          </w:tcPr>
          <w:p w14:paraId="49460A87"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Internal</w:t>
            </w:r>
          </w:p>
        </w:tc>
        <w:tc>
          <w:tcPr>
            <w:tcW w:w="358" w:type="pct"/>
            <w:tcBorders>
              <w:top w:val="single" w:sz="8" w:space="0" w:color="auto"/>
              <w:left w:val="single" w:sz="8" w:space="0" w:color="auto"/>
              <w:bottom w:val="single" w:sz="8" w:space="0" w:color="auto"/>
              <w:right w:val="single" w:sz="8" w:space="0" w:color="auto"/>
            </w:tcBorders>
            <w:noWrap/>
            <w:vAlign w:val="center"/>
            <w:hideMark/>
          </w:tcPr>
          <w:p w14:paraId="1F0EB8FB"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External</w:t>
            </w:r>
          </w:p>
        </w:tc>
        <w:tc>
          <w:tcPr>
            <w:tcW w:w="446" w:type="pct"/>
            <w:tcBorders>
              <w:top w:val="single" w:sz="8" w:space="0" w:color="auto"/>
              <w:left w:val="single" w:sz="8" w:space="0" w:color="auto"/>
              <w:bottom w:val="single" w:sz="8" w:space="0" w:color="auto"/>
              <w:right w:val="single" w:sz="8" w:space="0" w:color="auto"/>
            </w:tcBorders>
            <w:vAlign w:val="center"/>
            <w:hideMark/>
          </w:tcPr>
          <w:p w14:paraId="12DB4A28" w14:textId="77777777" w:rsidR="0042674E" w:rsidRPr="00D4396B" w:rsidRDefault="0042674E" w:rsidP="0042674E">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Coherence score </w:t>
            </w:r>
            <w:r w:rsidRPr="00D4396B">
              <w:rPr>
                <w:rFonts w:eastAsia="Times New Roman"/>
                <w:noProof/>
                <w:color w:val="000000"/>
                <w:sz w:val="14"/>
                <w:szCs w:val="14"/>
                <w:lang w:val="en-US" w:eastAsia="de-DE"/>
              </w:rPr>
              <w:br/>
              <w:t>= average Internal+ External</w:t>
            </w:r>
          </w:p>
        </w:tc>
        <w:tc>
          <w:tcPr>
            <w:tcW w:w="732" w:type="pct"/>
            <w:tcBorders>
              <w:top w:val="single" w:sz="8" w:space="0" w:color="auto"/>
              <w:left w:val="single" w:sz="8" w:space="0" w:color="auto"/>
              <w:bottom w:val="single" w:sz="8" w:space="0" w:color="auto"/>
              <w:right w:val="single" w:sz="8" w:space="0" w:color="auto"/>
            </w:tcBorders>
            <w:vAlign w:val="center"/>
            <w:hideMark/>
          </w:tcPr>
          <w:p w14:paraId="01B89343"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Effectiveness = 0.5</w:t>
            </w:r>
            <w:r w:rsidRPr="00D4396B">
              <w:rPr>
                <w:rFonts w:eastAsia="Times New Roman"/>
                <w:noProof/>
                <w:color w:val="000000"/>
                <w:sz w:val="14"/>
                <w:szCs w:val="14"/>
                <w:lang w:val="de-DE" w:eastAsia="de-DE"/>
              </w:rPr>
              <w:br/>
              <w:t>Efficiency = 0.3</w:t>
            </w:r>
            <w:r w:rsidRPr="00D4396B">
              <w:rPr>
                <w:rFonts w:eastAsia="Times New Roman"/>
                <w:noProof/>
                <w:color w:val="000000"/>
                <w:sz w:val="14"/>
                <w:szCs w:val="14"/>
                <w:lang w:val="de-DE" w:eastAsia="de-DE"/>
              </w:rPr>
              <w:br/>
              <w:t>Coherence = 0.2</w:t>
            </w:r>
          </w:p>
        </w:tc>
      </w:tr>
      <w:tr w:rsidR="00CE3B6D" w:rsidRPr="00D4396B" w14:paraId="3854749B" w14:textId="77777777" w:rsidTr="00437964">
        <w:trPr>
          <w:trHeight w:val="270"/>
        </w:trPr>
        <w:tc>
          <w:tcPr>
            <w:tcW w:w="1628" w:type="pct"/>
            <w:tcBorders>
              <w:top w:val="single" w:sz="8" w:space="0" w:color="auto"/>
              <w:left w:val="single" w:sz="8" w:space="0" w:color="auto"/>
              <w:bottom w:val="single" w:sz="8" w:space="0" w:color="auto"/>
              <w:right w:val="nil"/>
            </w:tcBorders>
            <w:noWrap/>
            <w:vAlign w:val="bottom"/>
            <w:hideMark/>
          </w:tcPr>
          <w:p w14:paraId="1DC4198B" w14:textId="3161E8BB" w:rsidR="0042674E" w:rsidRPr="00D4396B" w:rsidRDefault="0042674E" w:rsidP="0042674E">
            <w:pPr>
              <w:spacing w:after="0"/>
              <w:jc w:val="left"/>
              <w:rPr>
                <w:rFonts w:eastAsia="Times New Roman"/>
                <w:noProof/>
                <w:color w:val="000000"/>
                <w:sz w:val="14"/>
                <w:szCs w:val="14"/>
                <w:lang w:eastAsia="de-DE"/>
              </w:rPr>
            </w:pPr>
            <w:r w:rsidRPr="00D4396B">
              <w:rPr>
                <w:rFonts w:eastAsia="Times New Roman"/>
                <w:noProof/>
                <w:color w:val="000000"/>
                <w:sz w:val="14"/>
                <w:szCs w:val="14"/>
                <w:lang w:eastAsia="de-DE"/>
              </w:rPr>
              <w:t>A</w:t>
            </w:r>
            <w:r w:rsidR="00D61CCD" w:rsidRPr="00D4396B">
              <w:rPr>
                <w:rFonts w:eastAsia="Times New Roman"/>
                <w:noProof/>
                <w:color w:val="000000"/>
                <w:sz w:val="14"/>
                <w:szCs w:val="14"/>
                <w:lang w:eastAsia="de-DE"/>
              </w:rPr>
              <w:t>.</w:t>
            </w:r>
            <w:r w:rsidRPr="00D4396B">
              <w:rPr>
                <w:rFonts w:eastAsia="Times New Roman"/>
                <w:noProof/>
                <w:color w:val="000000"/>
                <w:sz w:val="14"/>
                <w:szCs w:val="14"/>
                <w:lang w:eastAsia="de-DE"/>
              </w:rPr>
              <w:t>PO1 (i.a, ii.a, iii.a)</w:t>
            </w:r>
          </w:p>
        </w:tc>
        <w:tc>
          <w:tcPr>
            <w:tcW w:w="226" w:type="pct"/>
            <w:tcBorders>
              <w:top w:val="single" w:sz="8" w:space="0" w:color="auto"/>
              <w:left w:val="single" w:sz="8" w:space="0" w:color="auto"/>
              <w:bottom w:val="single" w:sz="8" w:space="0" w:color="auto"/>
              <w:right w:val="single" w:sz="8" w:space="0" w:color="auto"/>
            </w:tcBorders>
            <w:noWrap/>
            <w:vAlign w:val="center"/>
            <w:hideMark/>
          </w:tcPr>
          <w:p w14:paraId="0714A49E"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284" w:type="pct"/>
            <w:tcBorders>
              <w:top w:val="single" w:sz="8" w:space="0" w:color="auto"/>
              <w:left w:val="single" w:sz="8" w:space="0" w:color="auto"/>
              <w:bottom w:val="single" w:sz="8" w:space="0" w:color="auto"/>
              <w:right w:val="single" w:sz="8" w:space="0" w:color="auto"/>
            </w:tcBorders>
            <w:noWrap/>
            <w:vAlign w:val="center"/>
            <w:hideMark/>
          </w:tcPr>
          <w:p w14:paraId="3DFC00F0"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0.17</w:t>
            </w:r>
          </w:p>
        </w:tc>
        <w:tc>
          <w:tcPr>
            <w:tcW w:w="562" w:type="pct"/>
            <w:tcBorders>
              <w:top w:val="single" w:sz="8" w:space="0" w:color="auto"/>
              <w:left w:val="single" w:sz="8" w:space="0" w:color="auto"/>
              <w:bottom w:val="single" w:sz="8" w:space="0" w:color="auto"/>
              <w:right w:val="single" w:sz="8" w:space="0" w:color="auto"/>
            </w:tcBorders>
            <w:noWrap/>
            <w:vAlign w:val="center"/>
            <w:hideMark/>
          </w:tcPr>
          <w:p w14:paraId="07BCD23B"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0.33</w:t>
            </w:r>
          </w:p>
        </w:tc>
        <w:tc>
          <w:tcPr>
            <w:tcW w:w="430" w:type="pct"/>
            <w:tcBorders>
              <w:top w:val="single" w:sz="8" w:space="0" w:color="auto"/>
              <w:left w:val="single" w:sz="8" w:space="0" w:color="auto"/>
              <w:bottom w:val="single" w:sz="8" w:space="0" w:color="auto"/>
              <w:right w:val="single" w:sz="8" w:space="0" w:color="auto"/>
            </w:tcBorders>
            <w:noWrap/>
            <w:vAlign w:val="center"/>
            <w:hideMark/>
          </w:tcPr>
          <w:p w14:paraId="71D9C925"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0.33</w:t>
            </w:r>
          </w:p>
        </w:tc>
        <w:tc>
          <w:tcPr>
            <w:tcW w:w="335" w:type="pct"/>
            <w:tcBorders>
              <w:top w:val="single" w:sz="8" w:space="0" w:color="auto"/>
              <w:left w:val="single" w:sz="8" w:space="0" w:color="auto"/>
              <w:bottom w:val="single" w:sz="8" w:space="0" w:color="auto"/>
              <w:right w:val="single" w:sz="8" w:space="0" w:color="auto"/>
            </w:tcBorders>
            <w:noWrap/>
            <w:vAlign w:val="center"/>
            <w:hideMark/>
          </w:tcPr>
          <w:p w14:paraId="4B06749F"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358" w:type="pct"/>
            <w:tcBorders>
              <w:top w:val="single" w:sz="8" w:space="0" w:color="auto"/>
              <w:left w:val="single" w:sz="8" w:space="0" w:color="auto"/>
              <w:bottom w:val="single" w:sz="8" w:space="0" w:color="auto"/>
              <w:right w:val="single" w:sz="8" w:space="0" w:color="auto"/>
            </w:tcBorders>
            <w:noWrap/>
            <w:vAlign w:val="center"/>
            <w:hideMark/>
          </w:tcPr>
          <w:p w14:paraId="51B4CC0E"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0.67</w:t>
            </w:r>
          </w:p>
        </w:tc>
        <w:tc>
          <w:tcPr>
            <w:tcW w:w="446" w:type="pct"/>
            <w:tcBorders>
              <w:top w:val="single" w:sz="8" w:space="0" w:color="auto"/>
              <w:left w:val="single" w:sz="8" w:space="0" w:color="auto"/>
              <w:bottom w:val="single" w:sz="8" w:space="0" w:color="auto"/>
              <w:right w:val="single" w:sz="8" w:space="0" w:color="auto"/>
            </w:tcBorders>
            <w:noWrap/>
            <w:vAlign w:val="center"/>
            <w:hideMark/>
          </w:tcPr>
          <w:p w14:paraId="20051C31"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0.58</w:t>
            </w:r>
          </w:p>
        </w:tc>
        <w:tc>
          <w:tcPr>
            <w:tcW w:w="732" w:type="pct"/>
            <w:tcBorders>
              <w:top w:val="single" w:sz="8" w:space="0" w:color="auto"/>
              <w:left w:val="single" w:sz="8" w:space="0" w:color="auto"/>
              <w:bottom w:val="single" w:sz="8" w:space="0" w:color="auto"/>
              <w:right w:val="single" w:sz="8" w:space="0" w:color="auto"/>
            </w:tcBorders>
            <w:noWrap/>
            <w:vAlign w:val="center"/>
            <w:hideMark/>
          </w:tcPr>
          <w:p w14:paraId="7F1734E0"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0.38</w:t>
            </w:r>
          </w:p>
        </w:tc>
      </w:tr>
      <w:tr w:rsidR="00CE3B6D" w:rsidRPr="00D4396B" w14:paraId="4C5A1779" w14:textId="77777777" w:rsidTr="00437964">
        <w:trPr>
          <w:trHeight w:val="270"/>
        </w:trPr>
        <w:tc>
          <w:tcPr>
            <w:tcW w:w="1628" w:type="pct"/>
            <w:tcBorders>
              <w:top w:val="single" w:sz="8" w:space="0" w:color="auto"/>
              <w:left w:val="single" w:sz="8" w:space="0" w:color="auto"/>
              <w:bottom w:val="single" w:sz="8" w:space="0" w:color="auto"/>
              <w:right w:val="nil"/>
            </w:tcBorders>
            <w:noWrap/>
            <w:vAlign w:val="bottom"/>
            <w:hideMark/>
          </w:tcPr>
          <w:p w14:paraId="1B0A2245" w14:textId="46358376" w:rsidR="0042674E" w:rsidRPr="00D4396B" w:rsidRDefault="0042674E" w:rsidP="0042674E">
            <w:pPr>
              <w:spacing w:after="0"/>
              <w:jc w:val="left"/>
              <w:rPr>
                <w:rFonts w:eastAsia="Times New Roman"/>
                <w:noProof/>
                <w:color w:val="000000"/>
                <w:sz w:val="14"/>
                <w:szCs w:val="14"/>
                <w:lang w:eastAsia="de-DE"/>
              </w:rPr>
            </w:pPr>
            <w:r w:rsidRPr="00D4396B">
              <w:rPr>
                <w:rFonts w:eastAsia="Times New Roman"/>
                <w:noProof/>
                <w:color w:val="000000"/>
                <w:sz w:val="14"/>
                <w:szCs w:val="14"/>
                <w:lang w:eastAsia="de-DE"/>
              </w:rPr>
              <w:t>A</w:t>
            </w:r>
            <w:r w:rsidR="00D61CCD" w:rsidRPr="00D4396B">
              <w:rPr>
                <w:rFonts w:eastAsia="Times New Roman"/>
                <w:noProof/>
                <w:color w:val="000000"/>
                <w:sz w:val="14"/>
                <w:szCs w:val="14"/>
                <w:lang w:eastAsia="de-DE"/>
              </w:rPr>
              <w:t>.</w:t>
            </w:r>
            <w:r w:rsidRPr="00D4396B">
              <w:rPr>
                <w:rFonts w:eastAsia="Times New Roman"/>
                <w:noProof/>
                <w:color w:val="000000"/>
                <w:sz w:val="14"/>
                <w:szCs w:val="14"/>
                <w:lang w:eastAsia="de-DE"/>
              </w:rPr>
              <w:t>PO2 (i.b, ii.b, iii.b, iv)</w:t>
            </w:r>
          </w:p>
        </w:tc>
        <w:tc>
          <w:tcPr>
            <w:tcW w:w="226" w:type="pct"/>
            <w:tcBorders>
              <w:top w:val="single" w:sz="8" w:space="0" w:color="auto"/>
              <w:left w:val="single" w:sz="8" w:space="0" w:color="auto"/>
              <w:bottom w:val="single" w:sz="8" w:space="0" w:color="auto"/>
              <w:right w:val="single" w:sz="8" w:space="0" w:color="auto"/>
            </w:tcBorders>
            <w:noWrap/>
            <w:vAlign w:val="center"/>
            <w:hideMark/>
          </w:tcPr>
          <w:p w14:paraId="6ED1813D"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1.25</w:t>
            </w:r>
          </w:p>
        </w:tc>
        <w:tc>
          <w:tcPr>
            <w:tcW w:w="284" w:type="pct"/>
            <w:tcBorders>
              <w:top w:val="single" w:sz="8" w:space="0" w:color="auto"/>
              <w:left w:val="single" w:sz="8" w:space="0" w:color="auto"/>
              <w:bottom w:val="single" w:sz="8" w:space="0" w:color="auto"/>
              <w:right w:val="single" w:sz="8" w:space="0" w:color="auto"/>
            </w:tcBorders>
            <w:noWrap/>
            <w:vAlign w:val="center"/>
            <w:hideMark/>
          </w:tcPr>
          <w:p w14:paraId="7657E8A2"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0.75</w:t>
            </w:r>
          </w:p>
        </w:tc>
        <w:tc>
          <w:tcPr>
            <w:tcW w:w="562" w:type="pct"/>
            <w:tcBorders>
              <w:top w:val="single" w:sz="8" w:space="0" w:color="auto"/>
              <w:left w:val="single" w:sz="8" w:space="0" w:color="auto"/>
              <w:bottom w:val="single" w:sz="8" w:space="0" w:color="auto"/>
              <w:right w:val="single" w:sz="8" w:space="0" w:color="auto"/>
            </w:tcBorders>
            <w:noWrap/>
            <w:vAlign w:val="center"/>
            <w:hideMark/>
          </w:tcPr>
          <w:p w14:paraId="25848936"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430" w:type="pct"/>
            <w:tcBorders>
              <w:top w:val="single" w:sz="8" w:space="0" w:color="auto"/>
              <w:left w:val="single" w:sz="8" w:space="0" w:color="auto"/>
              <w:bottom w:val="single" w:sz="8" w:space="0" w:color="auto"/>
              <w:right w:val="single" w:sz="8" w:space="0" w:color="auto"/>
            </w:tcBorders>
            <w:noWrap/>
            <w:vAlign w:val="center"/>
            <w:hideMark/>
          </w:tcPr>
          <w:p w14:paraId="6890A7EB"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1.25</w:t>
            </w:r>
          </w:p>
        </w:tc>
        <w:tc>
          <w:tcPr>
            <w:tcW w:w="335" w:type="pct"/>
            <w:tcBorders>
              <w:top w:val="single" w:sz="8" w:space="0" w:color="auto"/>
              <w:left w:val="single" w:sz="8" w:space="0" w:color="auto"/>
              <w:bottom w:val="single" w:sz="8" w:space="0" w:color="auto"/>
              <w:right w:val="single" w:sz="8" w:space="0" w:color="auto"/>
            </w:tcBorders>
            <w:noWrap/>
            <w:vAlign w:val="center"/>
            <w:hideMark/>
          </w:tcPr>
          <w:p w14:paraId="1086D145"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358" w:type="pct"/>
            <w:tcBorders>
              <w:top w:val="single" w:sz="8" w:space="0" w:color="auto"/>
              <w:left w:val="single" w:sz="8" w:space="0" w:color="auto"/>
              <w:bottom w:val="single" w:sz="8" w:space="0" w:color="auto"/>
              <w:right w:val="single" w:sz="8" w:space="0" w:color="auto"/>
            </w:tcBorders>
            <w:noWrap/>
            <w:vAlign w:val="center"/>
            <w:hideMark/>
          </w:tcPr>
          <w:p w14:paraId="1F16F0F3"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1.13</w:t>
            </w:r>
          </w:p>
        </w:tc>
        <w:tc>
          <w:tcPr>
            <w:tcW w:w="446" w:type="pct"/>
            <w:tcBorders>
              <w:top w:val="single" w:sz="8" w:space="0" w:color="auto"/>
              <w:left w:val="single" w:sz="8" w:space="0" w:color="auto"/>
              <w:bottom w:val="single" w:sz="8" w:space="0" w:color="auto"/>
              <w:right w:val="single" w:sz="8" w:space="0" w:color="auto"/>
            </w:tcBorders>
            <w:noWrap/>
            <w:vAlign w:val="center"/>
            <w:hideMark/>
          </w:tcPr>
          <w:p w14:paraId="4E266C8C"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1.06</w:t>
            </w:r>
          </w:p>
        </w:tc>
        <w:tc>
          <w:tcPr>
            <w:tcW w:w="732" w:type="pct"/>
            <w:tcBorders>
              <w:top w:val="single" w:sz="8" w:space="0" w:color="auto"/>
              <w:left w:val="single" w:sz="8" w:space="0" w:color="auto"/>
              <w:bottom w:val="single" w:sz="8" w:space="0" w:color="auto"/>
              <w:right w:val="single" w:sz="8" w:space="0" w:color="auto"/>
            </w:tcBorders>
            <w:noWrap/>
            <w:vAlign w:val="center"/>
            <w:hideMark/>
          </w:tcPr>
          <w:p w14:paraId="331F21A2"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1.09</w:t>
            </w:r>
          </w:p>
        </w:tc>
      </w:tr>
      <w:tr w:rsidR="00777737" w:rsidRPr="00D4396B" w14:paraId="2A3A9FED" w14:textId="77777777" w:rsidTr="00437964">
        <w:trPr>
          <w:trHeight w:val="270"/>
        </w:trPr>
        <w:tc>
          <w:tcPr>
            <w:tcW w:w="1628" w:type="pct"/>
            <w:tcBorders>
              <w:top w:val="single" w:sz="8" w:space="0" w:color="auto"/>
              <w:left w:val="single" w:sz="8" w:space="0" w:color="auto"/>
              <w:bottom w:val="single" w:sz="8" w:space="0" w:color="auto"/>
              <w:right w:val="nil"/>
            </w:tcBorders>
            <w:noWrap/>
            <w:vAlign w:val="bottom"/>
            <w:hideMark/>
          </w:tcPr>
          <w:p w14:paraId="37434BB5" w14:textId="42C66E46" w:rsidR="0042674E" w:rsidRPr="00D4396B" w:rsidRDefault="00C37610" w:rsidP="0042674E">
            <w:pPr>
              <w:spacing w:after="0"/>
              <w:jc w:val="left"/>
              <w:rPr>
                <w:rFonts w:eastAsia="Times New Roman"/>
                <w:noProof/>
                <w:color w:val="000000"/>
                <w:sz w:val="14"/>
                <w:szCs w:val="14"/>
                <w:lang w:eastAsia="de-DE"/>
              </w:rPr>
            </w:pPr>
            <w:r w:rsidRPr="00D4396B">
              <w:rPr>
                <w:rFonts w:eastAsia="Times New Roman"/>
                <w:noProof/>
                <w:color w:val="000000"/>
                <w:sz w:val="14"/>
                <w:szCs w:val="14"/>
                <w:lang w:eastAsia="de-DE"/>
              </w:rPr>
              <w:t>A.</w:t>
            </w:r>
            <w:r w:rsidR="0042674E" w:rsidRPr="00D4396B">
              <w:rPr>
                <w:rFonts w:eastAsia="Times New Roman"/>
                <w:noProof/>
                <w:color w:val="000000"/>
                <w:sz w:val="14"/>
                <w:szCs w:val="14"/>
                <w:lang w:eastAsia="de-DE"/>
              </w:rPr>
              <w:t>PO 3 (i.b, ii.b, iii.b, iv, v)</w:t>
            </w:r>
          </w:p>
        </w:tc>
        <w:tc>
          <w:tcPr>
            <w:tcW w:w="226" w:type="pct"/>
            <w:tcBorders>
              <w:top w:val="single" w:sz="8" w:space="0" w:color="auto"/>
              <w:left w:val="single" w:sz="8" w:space="0" w:color="auto"/>
              <w:bottom w:val="single" w:sz="8" w:space="0" w:color="auto"/>
              <w:right w:val="single" w:sz="8" w:space="0" w:color="auto"/>
            </w:tcBorders>
            <w:noWrap/>
            <w:vAlign w:val="center"/>
            <w:hideMark/>
          </w:tcPr>
          <w:p w14:paraId="2BBC34EC"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1.20</w:t>
            </w:r>
          </w:p>
        </w:tc>
        <w:tc>
          <w:tcPr>
            <w:tcW w:w="284" w:type="pct"/>
            <w:tcBorders>
              <w:top w:val="single" w:sz="8" w:space="0" w:color="auto"/>
              <w:left w:val="single" w:sz="8" w:space="0" w:color="auto"/>
              <w:bottom w:val="single" w:sz="8" w:space="0" w:color="auto"/>
              <w:right w:val="single" w:sz="8" w:space="0" w:color="auto"/>
            </w:tcBorders>
            <w:noWrap/>
            <w:vAlign w:val="center"/>
            <w:hideMark/>
          </w:tcPr>
          <w:p w14:paraId="6E47173A"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0.80</w:t>
            </w:r>
          </w:p>
        </w:tc>
        <w:tc>
          <w:tcPr>
            <w:tcW w:w="562" w:type="pct"/>
            <w:tcBorders>
              <w:top w:val="single" w:sz="8" w:space="0" w:color="auto"/>
              <w:left w:val="single" w:sz="8" w:space="0" w:color="auto"/>
              <w:bottom w:val="single" w:sz="8" w:space="0" w:color="auto"/>
              <w:right w:val="single" w:sz="8" w:space="0" w:color="auto"/>
            </w:tcBorders>
            <w:noWrap/>
            <w:vAlign w:val="center"/>
            <w:hideMark/>
          </w:tcPr>
          <w:p w14:paraId="3852EF93"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430" w:type="pct"/>
            <w:tcBorders>
              <w:top w:val="single" w:sz="8" w:space="0" w:color="auto"/>
              <w:left w:val="single" w:sz="8" w:space="0" w:color="auto"/>
              <w:bottom w:val="single" w:sz="8" w:space="0" w:color="auto"/>
              <w:right w:val="single" w:sz="8" w:space="0" w:color="auto"/>
            </w:tcBorders>
            <w:noWrap/>
            <w:vAlign w:val="center"/>
            <w:hideMark/>
          </w:tcPr>
          <w:p w14:paraId="60BDBCA2"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1.60</w:t>
            </w:r>
          </w:p>
        </w:tc>
        <w:tc>
          <w:tcPr>
            <w:tcW w:w="335" w:type="pct"/>
            <w:tcBorders>
              <w:top w:val="single" w:sz="8" w:space="0" w:color="auto"/>
              <w:left w:val="single" w:sz="8" w:space="0" w:color="auto"/>
              <w:bottom w:val="single" w:sz="8" w:space="0" w:color="auto"/>
              <w:right w:val="single" w:sz="8" w:space="0" w:color="auto"/>
            </w:tcBorders>
            <w:noWrap/>
            <w:vAlign w:val="center"/>
            <w:hideMark/>
          </w:tcPr>
          <w:p w14:paraId="69FA71B5"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358" w:type="pct"/>
            <w:tcBorders>
              <w:top w:val="single" w:sz="8" w:space="0" w:color="auto"/>
              <w:left w:val="single" w:sz="8" w:space="0" w:color="auto"/>
              <w:bottom w:val="single" w:sz="8" w:space="0" w:color="auto"/>
              <w:right w:val="single" w:sz="8" w:space="0" w:color="auto"/>
            </w:tcBorders>
            <w:noWrap/>
            <w:vAlign w:val="center"/>
            <w:hideMark/>
          </w:tcPr>
          <w:p w14:paraId="47E92B4F"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1.30</w:t>
            </w:r>
          </w:p>
        </w:tc>
        <w:tc>
          <w:tcPr>
            <w:tcW w:w="446" w:type="pct"/>
            <w:tcBorders>
              <w:top w:val="single" w:sz="8" w:space="0" w:color="auto"/>
              <w:left w:val="single" w:sz="8" w:space="0" w:color="auto"/>
              <w:bottom w:val="single" w:sz="8" w:space="0" w:color="auto"/>
              <w:right w:val="single" w:sz="8" w:space="0" w:color="auto"/>
            </w:tcBorders>
            <w:noWrap/>
            <w:vAlign w:val="center"/>
            <w:hideMark/>
          </w:tcPr>
          <w:p w14:paraId="572F4785"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1.15</w:t>
            </w:r>
          </w:p>
        </w:tc>
        <w:tc>
          <w:tcPr>
            <w:tcW w:w="732" w:type="pct"/>
            <w:tcBorders>
              <w:top w:val="single" w:sz="8" w:space="0" w:color="auto"/>
              <w:left w:val="single" w:sz="8" w:space="0" w:color="auto"/>
              <w:bottom w:val="single" w:sz="8" w:space="0" w:color="auto"/>
              <w:right w:val="single" w:sz="8" w:space="0" w:color="auto"/>
            </w:tcBorders>
            <w:shd w:val="clear" w:color="auto" w:fill="DAE9F8"/>
            <w:vAlign w:val="center"/>
            <w:hideMark/>
          </w:tcPr>
          <w:p w14:paraId="4BD7A0A4" w14:textId="77777777" w:rsidR="0042674E" w:rsidRPr="00D4396B" w:rsidRDefault="0042674E" w:rsidP="0042674E">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1.21</w:t>
            </w:r>
          </w:p>
        </w:tc>
      </w:tr>
    </w:tbl>
    <w:p w14:paraId="414528EE" w14:textId="77777777" w:rsidR="00466AA2" w:rsidRPr="00D4396B" w:rsidRDefault="00466AA2" w:rsidP="000C3545">
      <w:pPr>
        <w:spacing w:after="0"/>
        <w:rPr>
          <w:noProof/>
        </w:rPr>
      </w:pPr>
    </w:p>
    <w:p w14:paraId="2AD436C8" w14:textId="5CD28FCE" w:rsidR="1780FE41" w:rsidRPr="00D4396B" w:rsidRDefault="089338B9" w:rsidP="000F169A">
      <w:pPr>
        <w:pStyle w:val="ListParagraph"/>
        <w:numPr>
          <w:ilvl w:val="0"/>
          <w:numId w:val="9"/>
        </w:numPr>
        <w:spacing w:after="120"/>
        <w:ind w:left="567" w:hanging="567"/>
        <w:contextualSpacing w:val="0"/>
        <w:rPr>
          <w:rFonts w:eastAsia="Times New Roman"/>
          <w:b/>
          <w:noProof/>
          <w:u w:val="single"/>
        </w:rPr>
      </w:pPr>
      <w:r w:rsidRPr="00D4396B">
        <w:rPr>
          <w:rFonts w:eastAsia="Times New Roman"/>
          <w:b/>
          <w:bCs/>
          <w:noProof/>
          <w:u w:val="single"/>
        </w:rPr>
        <w:t>Options in intervention area B</w:t>
      </w:r>
    </w:p>
    <w:p w14:paraId="31CCAC9A" w14:textId="60140858" w:rsidR="003E55D7" w:rsidRPr="00D4396B" w:rsidRDefault="003E55D7" w:rsidP="003B0D3B">
      <w:pPr>
        <w:spacing w:after="120"/>
        <w:rPr>
          <w:rFonts w:asciiTheme="majorBidi" w:hAnsiTheme="majorBidi"/>
          <w:b/>
          <w:bCs/>
          <w:noProof/>
          <w:u w:val="single"/>
        </w:rPr>
      </w:pPr>
      <w:r w:rsidRPr="001E4846">
        <w:rPr>
          <w:rFonts w:asciiTheme="majorBidi" w:hAnsiTheme="majorBidi"/>
          <w:b/>
          <w:bCs/>
          <w:noProof/>
        </w:rPr>
        <w:t>B.PO1</w:t>
      </w:r>
      <w:r w:rsidR="00694678" w:rsidRPr="001E4846">
        <w:rPr>
          <w:rFonts w:asciiTheme="majorBidi" w:hAnsiTheme="majorBidi"/>
          <w:b/>
          <w:bCs/>
          <w:noProof/>
        </w:rPr>
        <w:t>:</w:t>
      </w:r>
      <w:r w:rsidR="00694678" w:rsidRPr="00D4396B">
        <w:rPr>
          <w:rFonts w:asciiTheme="majorBidi" w:hAnsiTheme="majorBidi"/>
          <w:b/>
          <w:bCs/>
          <w:noProof/>
        </w:rPr>
        <w:t xml:space="preserve"> </w:t>
      </w:r>
      <w:r w:rsidRPr="00D4396B">
        <w:rPr>
          <w:rFonts w:asciiTheme="majorBidi" w:hAnsiTheme="majorBidi"/>
          <w:noProof/>
        </w:rPr>
        <w:t xml:space="preserve">This policy option includes (i.a) the introduction of a case allocation system based on non-binding guidelines; and (ii.a) a political encouragement and guidelines to Member States to appoint </w:t>
      </w:r>
      <w:r w:rsidRPr="5E68EAC0">
        <w:rPr>
          <w:rFonts w:asciiTheme="majorBidi" w:hAnsiTheme="majorBidi"/>
          <w:noProof/>
        </w:rPr>
        <w:t>N</w:t>
      </w:r>
      <w:r w:rsidR="071FBAB1" w:rsidRPr="5E68EAC0">
        <w:rPr>
          <w:rFonts w:asciiTheme="majorBidi" w:hAnsiTheme="majorBidi"/>
          <w:noProof/>
        </w:rPr>
        <w:t>M</w:t>
      </w:r>
      <w:r w:rsidRPr="00D4396B">
        <w:rPr>
          <w:rFonts w:asciiTheme="majorBidi" w:hAnsiTheme="majorBidi"/>
          <w:noProof/>
        </w:rPr>
        <w:t>s with ‘full operational powers’.</w:t>
      </w:r>
    </w:p>
    <w:p w14:paraId="1406631E" w14:textId="6C4EA214" w:rsidR="003E55D7" w:rsidRPr="00D4396B" w:rsidRDefault="0090075C" w:rsidP="003B0D3B">
      <w:pPr>
        <w:spacing w:after="120"/>
        <w:rPr>
          <w:rFonts w:asciiTheme="majorBidi" w:hAnsiTheme="majorBidi"/>
          <w:noProof/>
        </w:rPr>
      </w:pPr>
      <w:r>
        <w:rPr>
          <w:rFonts w:asciiTheme="majorBidi" w:hAnsiTheme="majorBidi"/>
          <w:noProof/>
        </w:rPr>
        <w:t>S</w:t>
      </w:r>
      <w:r w:rsidR="0019237A">
        <w:rPr>
          <w:rFonts w:asciiTheme="majorBidi" w:hAnsiTheme="majorBidi"/>
          <w:noProof/>
        </w:rPr>
        <w:t>ince</w:t>
      </w:r>
      <w:r w:rsidR="003E55D7" w:rsidRPr="00D4396B">
        <w:rPr>
          <w:rFonts w:asciiTheme="majorBidi" w:hAnsiTheme="majorBidi"/>
          <w:noProof/>
        </w:rPr>
        <w:t xml:space="preserve"> internal guidance on case allocation already exists within Eurojust</w:t>
      </w:r>
      <w:r w:rsidR="003B2001">
        <w:rPr>
          <w:rFonts w:asciiTheme="majorBidi" w:hAnsiTheme="majorBidi"/>
          <w:noProof/>
        </w:rPr>
        <w:t xml:space="preserve"> </w:t>
      </w:r>
      <w:r w:rsidR="005D40DC">
        <w:rPr>
          <w:rFonts w:asciiTheme="majorBidi" w:hAnsiTheme="majorBidi"/>
          <w:noProof/>
        </w:rPr>
        <w:t xml:space="preserve">but </w:t>
      </w:r>
      <w:r w:rsidR="003E55D7" w:rsidRPr="00D4396B">
        <w:rPr>
          <w:rFonts w:asciiTheme="majorBidi" w:hAnsiTheme="majorBidi"/>
          <w:noProof/>
        </w:rPr>
        <w:t>is not consistently followed in practice (refer to study/problem analysis)</w:t>
      </w:r>
      <w:r w:rsidR="005D40DC">
        <w:rPr>
          <w:rFonts w:asciiTheme="majorBidi" w:hAnsiTheme="majorBidi"/>
          <w:noProof/>
        </w:rPr>
        <w:t>, t</w:t>
      </w:r>
      <w:r w:rsidR="003E55D7" w:rsidRPr="00D4396B">
        <w:rPr>
          <w:rFonts w:asciiTheme="majorBidi" w:hAnsiTheme="majorBidi"/>
          <w:noProof/>
        </w:rPr>
        <w:t>he introduction of additional guidance</w:t>
      </w:r>
      <w:r w:rsidR="005D40DC">
        <w:rPr>
          <w:rFonts w:asciiTheme="majorBidi" w:hAnsiTheme="majorBidi"/>
          <w:noProof/>
        </w:rPr>
        <w:t xml:space="preserve"> (i.</w:t>
      </w:r>
      <w:r w:rsidR="00552C81">
        <w:rPr>
          <w:rFonts w:asciiTheme="majorBidi" w:hAnsiTheme="majorBidi"/>
          <w:noProof/>
        </w:rPr>
        <w:t>a)</w:t>
      </w:r>
      <w:r w:rsidR="003E55D7" w:rsidRPr="00D4396B">
        <w:rPr>
          <w:rFonts w:asciiTheme="majorBidi" w:hAnsiTheme="majorBidi"/>
          <w:noProof/>
        </w:rPr>
        <w:t xml:space="preserve">, even if formulated in a clearer and more authoritative manner, is therefore expected to generate </w:t>
      </w:r>
      <w:r w:rsidR="00552C81">
        <w:rPr>
          <w:rFonts w:asciiTheme="majorBidi" w:hAnsiTheme="majorBidi"/>
          <w:noProof/>
        </w:rPr>
        <w:t xml:space="preserve">at best a </w:t>
      </w:r>
      <w:r w:rsidR="003E55D7" w:rsidRPr="00D4396B">
        <w:rPr>
          <w:rFonts w:asciiTheme="majorBidi" w:hAnsiTheme="majorBidi"/>
          <w:b/>
          <w:bCs/>
          <w:noProof/>
        </w:rPr>
        <w:t>small positive impact on operations</w:t>
      </w:r>
      <w:r w:rsidR="003E55D7" w:rsidRPr="00D4396B">
        <w:rPr>
          <w:rFonts w:asciiTheme="majorBidi" w:hAnsiTheme="majorBidi"/>
          <w:noProof/>
        </w:rPr>
        <w:t>.</w:t>
      </w:r>
      <w:r w:rsidR="00444F8E" w:rsidRPr="00444F8E">
        <w:rPr>
          <w:rStyle w:val="FootnoteReference"/>
          <w:rFonts w:asciiTheme="majorBidi" w:hAnsiTheme="majorBidi"/>
          <w:noProof/>
        </w:rPr>
        <w:t xml:space="preserve"> </w:t>
      </w:r>
      <w:r w:rsidR="00444F8E" w:rsidRPr="00D4396B">
        <w:rPr>
          <w:rStyle w:val="FootnoteReference"/>
          <w:rFonts w:asciiTheme="majorBidi" w:hAnsiTheme="majorBidi"/>
          <w:noProof/>
        </w:rPr>
        <w:footnoteReference w:id="120"/>
      </w:r>
    </w:p>
    <w:p w14:paraId="54154133" w14:textId="040D9F39" w:rsidR="003E55D7" w:rsidRPr="00D4396B" w:rsidRDefault="005B078A" w:rsidP="003B0D3B">
      <w:pPr>
        <w:spacing w:after="120"/>
        <w:rPr>
          <w:rFonts w:asciiTheme="majorBidi" w:hAnsiTheme="majorBidi"/>
          <w:noProof/>
        </w:rPr>
      </w:pPr>
      <w:r>
        <w:rPr>
          <w:rFonts w:asciiTheme="majorBidi" w:hAnsiTheme="majorBidi"/>
          <w:noProof/>
        </w:rPr>
        <w:t>T</w:t>
      </w:r>
      <w:r w:rsidR="3B90AF38" w:rsidRPr="00D4396B">
        <w:rPr>
          <w:rFonts w:asciiTheme="majorBidi" w:hAnsiTheme="majorBidi"/>
          <w:noProof/>
        </w:rPr>
        <w:t xml:space="preserve">he impact of </w:t>
      </w:r>
      <w:r w:rsidRPr="00D4396B">
        <w:rPr>
          <w:rFonts w:asciiTheme="majorBidi" w:hAnsiTheme="majorBidi"/>
          <w:noProof/>
        </w:rPr>
        <w:t>measure ii.a,</w:t>
      </w:r>
      <w:r w:rsidR="3B90AF38" w:rsidRPr="00D4396B">
        <w:rPr>
          <w:rFonts w:asciiTheme="majorBidi" w:hAnsiTheme="majorBidi"/>
          <w:noProof/>
        </w:rPr>
        <w:t xml:space="preserve"> encouraging Member States to appoint </w:t>
      </w:r>
      <w:r w:rsidR="3B90AF38" w:rsidRPr="5E68EAC0">
        <w:rPr>
          <w:rFonts w:asciiTheme="majorBidi" w:hAnsiTheme="majorBidi"/>
          <w:noProof/>
        </w:rPr>
        <w:t>N</w:t>
      </w:r>
      <w:r w:rsidR="03FA5D4A" w:rsidRPr="5E68EAC0">
        <w:rPr>
          <w:rFonts w:asciiTheme="majorBidi" w:hAnsiTheme="majorBidi"/>
          <w:noProof/>
        </w:rPr>
        <w:t>M</w:t>
      </w:r>
      <w:r w:rsidR="3B90AF38" w:rsidRPr="00D4396B">
        <w:rPr>
          <w:rFonts w:asciiTheme="majorBidi" w:hAnsiTheme="majorBidi"/>
          <w:noProof/>
        </w:rPr>
        <w:t>s with full operational powers would depend entirely on voluntary compliance and the willingness of Member States to adjust existing national practices.</w:t>
      </w:r>
      <w:r w:rsidR="00F7054D" w:rsidRPr="00D4396B">
        <w:rPr>
          <w:rStyle w:val="FootnoteReference"/>
          <w:rFonts w:asciiTheme="majorBidi" w:hAnsiTheme="majorBidi"/>
          <w:noProof/>
        </w:rPr>
        <w:footnoteReference w:id="121"/>
      </w:r>
      <w:r w:rsidR="3B90AF38" w:rsidRPr="00D4396B">
        <w:rPr>
          <w:rFonts w:asciiTheme="majorBidi" w:hAnsiTheme="majorBidi"/>
          <w:noProof/>
        </w:rPr>
        <w:t xml:space="preserve"> </w:t>
      </w:r>
      <w:r w:rsidR="00393113">
        <w:rPr>
          <w:rFonts w:asciiTheme="majorBidi" w:hAnsiTheme="majorBidi"/>
          <w:noProof/>
        </w:rPr>
        <w:t xml:space="preserve">This measure could lead to a </w:t>
      </w:r>
      <w:r w:rsidR="0056491C">
        <w:rPr>
          <w:rFonts w:asciiTheme="majorBidi" w:hAnsiTheme="majorBidi"/>
          <w:noProof/>
        </w:rPr>
        <w:t>small</w:t>
      </w:r>
      <w:r w:rsidR="00393113">
        <w:rPr>
          <w:rFonts w:asciiTheme="majorBidi" w:hAnsiTheme="majorBidi"/>
          <w:noProof/>
        </w:rPr>
        <w:t xml:space="preserve"> improvement</w:t>
      </w:r>
      <w:r w:rsidR="0056491C">
        <w:rPr>
          <w:rFonts w:asciiTheme="majorBidi" w:hAnsiTheme="majorBidi"/>
          <w:noProof/>
        </w:rPr>
        <w:t xml:space="preserve"> </w:t>
      </w:r>
      <w:r w:rsidR="50A5EE6F" w:rsidRPr="235223A5">
        <w:rPr>
          <w:rFonts w:asciiTheme="majorBidi" w:hAnsiTheme="majorBidi"/>
          <w:noProof/>
        </w:rPr>
        <w:t>in</w:t>
      </w:r>
      <w:r w:rsidR="0056491C">
        <w:rPr>
          <w:rFonts w:asciiTheme="majorBidi" w:hAnsiTheme="majorBidi"/>
          <w:noProof/>
        </w:rPr>
        <w:t xml:space="preserve"> internal coherence, although the impact is likely to be limited as s</w:t>
      </w:r>
      <w:r w:rsidR="3B90AF38" w:rsidRPr="00D4396B">
        <w:rPr>
          <w:rFonts w:asciiTheme="majorBidi" w:hAnsiTheme="majorBidi"/>
          <w:noProof/>
        </w:rPr>
        <w:t>everal Member States have already expressed reservations regarding the feasibility of such adjustments in light of their national legal frameworks.</w:t>
      </w:r>
      <w:r w:rsidR="00F7054D" w:rsidRPr="00D4396B">
        <w:rPr>
          <w:rStyle w:val="FootnoteReference"/>
          <w:rFonts w:asciiTheme="majorBidi" w:hAnsiTheme="majorBidi"/>
          <w:noProof/>
        </w:rPr>
        <w:footnoteReference w:id="122"/>
      </w:r>
      <w:r w:rsidR="00DF2DB9">
        <w:rPr>
          <w:rFonts w:asciiTheme="majorBidi" w:hAnsiTheme="majorBidi"/>
          <w:noProof/>
        </w:rPr>
        <w:t xml:space="preserve"> </w:t>
      </w:r>
    </w:p>
    <w:p w14:paraId="4E73306C" w14:textId="70A0A3C4" w:rsidR="003E55D7" w:rsidRPr="00D4396B" w:rsidRDefault="003E55D7" w:rsidP="003B0D3B">
      <w:pPr>
        <w:spacing w:after="120"/>
        <w:rPr>
          <w:rFonts w:asciiTheme="majorBidi" w:hAnsiTheme="majorBidi"/>
          <w:noProof/>
        </w:rPr>
      </w:pPr>
      <w:r w:rsidRPr="00D4396B">
        <w:rPr>
          <w:rFonts w:asciiTheme="majorBidi" w:hAnsiTheme="majorBidi"/>
          <w:noProof/>
        </w:rPr>
        <w:t>Overall, th</w:t>
      </w:r>
      <w:r w:rsidR="002969BA">
        <w:rPr>
          <w:rFonts w:asciiTheme="majorBidi" w:hAnsiTheme="majorBidi"/>
          <w:noProof/>
        </w:rPr>
        <w:t xml:space="preserve">e two measures </w:t>
      </w:r>
      <w:r w:rsidR="00EE39CF">
        <w:rPr>
          <w:rFonts w:asciiTheme="majorBidi" w:hAnsiTheme="majorBidi"/>
          <w:noProof/>
        </w:rPr>
        <w:t xml:space="preserve">in </w:t>
      </w:r>
      <w:r w:rsidRPr="00D4396B">
        <w:rPr>
          <w:rFonts w:asciiTheme="majorBidi" w:hAnsiTheme="majorBidi"/>
          <w:noProof/>
        </w:rPr>
        <w:t xml:space="preserve">this policy option would have </w:t>
      </w:r>
      <w:r w:rsidR="00DC5496">
        <w:rPr>
          <w:rFonts w:asciiTheme="majorBidi" w:hAnsiTheme="majorBidi"/>
          <w:noProof/>
        </w:rPr>
        <w:t>only</w:t>
      </w:r>
      <w:r w:rsidRPr="00D4396B">
        <w:rPr>
          <w:rFonts w:asciiTheme="majorBidi" w:hAnsiTheme="majorBidi"/>
          <w:b/>
          <w:bCs/>
          <w:noProof/>
        </w:rPr>
        <w:t xml:space="preserve"> </w:t>
      </w:r>
      <w:r w:rsidR="003AA2C6" w:rsidRPr="00D4396B">
        <w:rPr>
          <w:rFonts w:asciiTheme="majorBidi" w:hAnsiTheme="majorBidi"/>
          <w:b/>
          <w:bCs/>
          <w:noProof/>
        </w:rPr>
        <w:t xml:space="preserve">a </w:t>
      </w:r>
      <w:r w:rsidRPr="00D4396B">
        <w:rPr>
          <w:rFonts w:asciiTheme="majorBidi" w:hAnsiTheme="majorBidi"/>
          <w:b/>
          <w:bCs/>
          <w:noProof/>
        </w:rPr>
        <w:t>small positive impact on Eurojust operations</w:t>
      </w:r>
      <w:r w:rsidR="00F97792">
        <w:rPr>
          <w:rFonts w:asciiTheme="majorBidi" w:hAnsiTheme="majorBidi"/>
          <w:b/>
          <w:bCs/>
          <w:noProof/>
        </w:rPr>
        <w:t xml:space="preserve"> (</w:t>
      </w:r>
      <w:r w:rsidRPr="00D4396B">
        <w:rPr>
          <w:rFonts w:asciiTheme="majorBidi" w:hAnsiTheme="majorBidi"/>
          <w:noProof/>
        </w:rPr>
        <w:t>including on the time taken to process cases</w:t>
      </w:r>
      <w:r w:rsidR="00F97792">
        <w:rPr>
          <w:rFonts w:asciiTheme="majorBidi" w:hAnsiTheme="majorBidi"/>
          <w:noProof/>
        </w:rPr>
        <w:t>),</w:t>
      </w:r>
      <w:r w:rsidRPr="00D4396B">
        <w:rPr>
          <w:rFonts w:asciiTheme="majorBidi" w:hAnsiTheme="majorBidi"/>
          <w:b/>
          <w:bCs/>
          <w:noProof/>
        </w:rPr>
        <w:t xml:space="preserve">the impact on Eurojust’s capacity to support national authorities </w:t>
      </w:r>
      <w:r w:rsidR="0016597D" w:rsidRPr="00D307F0">
        <w:rPr>
          <w:rFonts w:asciiTheme="majorBidi" w:hAnsiTheme="majorBidi"/>
          <w:noProof/>
        </w:rPr>
        <w:t>and</w:t>
      </w:r>
      <w:r w:rsidR="0016597D">
        <w:rPr>
          <w:rFonts w:asciiTheme="majorBidi" w:hAnsiTheme="majorBidi"/>
          <w:noProof/>
        </w:rPr>
        <w:t xml:space="preserve"> </w:t>
      </w:r>
      <w:r w:rsidRPr="00D4396B">
        <w:rPr>
          <w:rFonts w:asciiTheme="majorBidi" w:hAnsiTheme="majorBidi"/>
          <w:b/>
          <w:bCs/>
          <w:noProof/>
        </w:rPr>
        <w:t xml:space="preserve">on the </w:t>
      </w:r>
      <w:r w:rsidR="008B2402">
        <w:rPr>
          <w:rFonts w:asciiTheme="majorBidi" w:hAnsiTheme="majorBidi"/>
          <w:b/>
          <w:bCs/>
          <w:noProof/>
        </w:rPr>
        <w:t xml:space="preserve">overall </w:t>
      </w:r>
      <w:r w:rsidRPr="00D4396B">
        <w:rPr>
          <w:rFonts w:asciiTheme="majorBidi" w:hAnsiTheme="majorBidi"/>
          <w:b/>
          <w:bCs/>
          <w:noProof/>
        </w:rPr>
        <w:t xml:space="preserve">fight against crime and on the protection of citizens </w:t>
      </w:r>
      <w:r w:rsidR="008B2402">
        <w:rPr>
          <w:rFonts w:asciiTheme="majorBidi" w:hAnsiTheme="majorBidi"/>
          <w:b/>
          <w:bCs/>
          <w:noProof/>
        </w:rPr>
        <w:t>(</w:t>
      </w:r>
      <w:r w:rsidRPr="00D4396B">
        <w:rPr>
          <w:rFonts w:asciiTheme="majorBidi" w:hAnsiTheme="majorBidi"/>
          <w:noProof/>
        </w:rPr>
        <w:t>depending on the extent to which Member States follow the proposed guidance</w:t>
      </w:r>
      <w:r w:rsidR="007D236F">
        <w:rPr>
          <w:rFonts w:asciiTheme="majorBidi" w:hAnsiTheme="majorBidi"/>
          <w:noProof/>
        </w:rPr>
        <w:t>)</w:t>
      </w:r>
      <w:r w:rsidRPr="00D4396B">
        <w:rPr>
          <w:rFonts w:asciiTheme="majorBidi" w:hAnsiTheme="majorBidi"/>
          <w:noProof/>
        </w:rPr>
        <w:t>.</w:t>
      </w:r>
      <w:r w:rsidR="007D236F">
        <w:rPr>
          <w:rFonts w:asciiTheme="majorBidi" w:hAnsiTheme="majorBidi"/>
          <w:noProof/>
        </w:rPr>
        <w:t xml:space="preserve"> The </w:t>
      </w:r>
      <w:r w:rsidR="00E022D6">
        <w:rPr>
          <w:rFonts w:asciiTheme="majorBidi" w:hAnsiTheme="majorBidi"/>
          <w:noProof/>
        </w:rPr>
        <w:t xml:space="preserve">related </w:t>
      </w:r>
      <w:r w:rsidR="007D236F">
        <w:rPr>
          <w:rFonts w:asciiTheme="majorBidi" w:hAnsiTheme="majorBidi"/>
          <w:noProof/>
        </w:rPr>
        <w:t xml:space="preserve">costs of this option are </w:t>
      </w:r>
      <w:r w:rsidR="00BD5D75">
        <w:rPr>
          <w:rFonts w:asciiTheme="majorBidi" w:hAnsiTheme="majorBidi"/>
          <w:noProof/>
        </w:rPr>
        <w:t>minor</w:t>
      </w:r>
      <w:r w:rsidR="00E022D6">
        <w:rPr>
          <w:rFonts w:asciiTheme="majorBidi" w:hAnsiTheme="majorBidi"/>
          <w:noProof/>
        </w:rPr>
        <w:t xml:space="preserve">, involving </w:t>
      </w:r>
      <w:r w:rsidR="00BD5D75">
        <w:rPr>
          <w:rFonts w:asciiTheme="majorBidi" w:hAnsiTheme="majorBidi"/>
          <w:noProof/>
        </w:rPr>
        <w:t xml:space="preserve">possibly some </w:t>
      </w:r>
      <w:r w:rsidR="00850B2B">
        <w:rPr>
          <w:rFonts w:asciiTheme="majorBidi" w:hAnsiTheme="majorBidi"/>
          <w:noProof/>
        </w:rPr>
        <w:t>one-</w:t>
      </w:r>
      <w:r w:rsidR="00BD5D75">
        <w:rPr>
          <w:rFonts w:asciiTheme="majorBidi" w:hAnsiTheme="majorBidi"/>
          <w:noProof/>
        </w:rPr>
        <w:t xml:space="preserve">off costs </w:t>
      </w:r>
      <w:r w:rsidR="00210BC1">
        <w:rPr>
          <w:rFonts w:asciiTheme="majorBidi" w:hAnsiTheme="majorBidi"/>
          <w:noProof/>
        </w:rPr>
        <w:t>related to advocacy</w:t>
      </w:r>
      <w:r w:rsidR="00574E95">
        <w:rPr>
          <w:rFonts w:asciiTheme="majorBidi" w:hAnsiTheme="majorBidi"/>
          <w:noProof/>
        </w:rPr>
        <w:t>.</w:t>
      </w:r>
      <w:r w:rsidR="0007277F">
        <w:rPr>
          <w:rFonts w:asciiTheme="majorBidi" w:hAnsiTheme="majorBidi"/>
          <w:noProof/>
        </w:rPr>
        <w:t xml:space="preserve"> </w:t>
      </w:r>
    </w:p>
    <w:p w14:paraId="68FFA3C8" w14:textId="7205C02C" w:rsidR="00BC4D7C" w:rsidRPr="001E4846" w:rsidRDefault="003E55D7" w:rsidP="00547EE6">
      <w:pPr>
        <w:spacing w:after="120"/>
        <w:rPr>
          <w:rFonts w:asciiTheme="majorBidi" w:hAnsiTheme="majorBidi"/>
          <w:b/>
          <w:bCs/>
          <w:noProof/>
          <w:u w:val="single"/>
        </w:rPr>
      </w:pPr>
      <w:r w:rsidRPr="001E4846">
        <w:rPr>
          <w:rFonts w:asciiTheme="majorBidi" w:hAnsiTheme="majorBidi"/>
          <w:b/>
          <w:bCs/>
          <w:noProof/>
        </w:rPr>
        <w:t>B.PO2</w:t>
      </w:r>
      <w:r w:rsidR="003774D8" w:rsidRPr="001E4846">
        <w:rPr>
          <w:rFonts w:asciiTheme="majorBidi" w:hAnsiTheme="majorBidi"/>
          <w:b/>
          <w:bCs/>
          <w:noProof/>
        </w:rPr>
        <w:t>:</w:t>
      </w:r>
      <w:r w:rsidR="003774D8" w:rsidRPr="00D4396B">
        <w:rPr>
          <w:rFonts w:asciiTheme="majorBidi" w:hAnsiTheme="majorBidi"/>
          <w:b/>
          <w:bCs/>
          <w:noProof/>
        </w:rPr>
        <w:t xml:space="preserve"> </w:t>
      </w:r>
      <w:r w:rsidRPr="00D4396B">
        <w:rPr>
          <w:rFonts w:asciiTheme="majorBidi" w:hAnsiTheme="majorBidi"/>
          <w:noProof/>
        </w:rPr>
        <w:t>The legislative measures envisaged under (i.b) and (ii.b)</w:t>
      </w:r>
      <w:r w:rsidR="00A30082">
        <w:rPr>
          <w:rFonts w:asciiTheme="majorBidi" w:hAnsiTheme="majorBidi"/>
          <w:noProof/>
        </w:rPr>
        <w:t xml:space="preserve">, together with the </w:t>
      </w:r>
      <w:r w:rsidR="00402FD4">
        <w:rPr>
          <w:rFonts w:asciiTheme="majorBidi" w:hAnsiTheme="majorBidi"/>
          <w:noProof/>
        </w:rPr>
        <w:t xml:space="preserve">capacity for NMs to </w:t>
      </w:r>
      <w:r w:rsidR="007A2390">
        <w:rPr>
          <w:rFonts w:asciiTheme="majorBidi" w:hAnsiTheme="majorBidi"/>
          <w:noProof/>
        </w:rPr>
        <w:t>issue judicial cooperation instruments</w:t>
      </w:r>
      <w:r w:rsidR="00E53A85">
        <w:rPr>
          <w:rFonts w:asciiTheme="majorBidi" w:hAnsiTheme="majorBidi"/>
          <w:noProof/>
        </w:rPr>
        <w:t xml:space="preserve"> (iii)</w:t>
      </w:r>
      <w:r w:rsidR="00547EE6">
        <w:rPr>
          <w:rFonts w:eastAsia="Times New Roman"/>
          <w:noProof/>
        </w:rPr>
        <w:t>,</w:t>
      </w:r>
      <w:r w:rsidRPr="00D4396B">
        <w:rPr>
          <w:rFonts w:asciiTheme="majorBidi" w:hAnsiTheme="majorBidi"/>
          <w:noProof/>
        </w:rPr>
        <w:t xml:space="preserve"> are expected to generate a </w:t>
      </w:r>
      <w:r w:rsidRPr="00D4396B">
        <w:rPr>
          <w:rFonts w:asciiTheme="majorBidi" w:hAnsiTheme="majorBidi"/>
          <w:b/>
          <w:bCs/>
          <w:noProof/>
        </w:rPr>
        <w:t>moderate positive impact on Eurojust operations</w:t>
      </w:r>
      <w:r w:rsidRPr="00D4396B">
        <w:rPr>
          <w:rFonts w:asciiTheme="majorBidi" w:hAnsiTheme="majorBidi"/>
          <w:noProof/>
        </w:rPr>
        <w:t>.</w:t>
      </w:r>
    </w:p>
    <w:p w14:paraId="7628C3BC" w14:textId="7065D6A6" w:rsidR="003E55D7" w:rsidRPr="00D4396B" w:rsidRDefault="003E55D7" w:rsidP="00547EE6">
      <w:pPr>
        <w:spacing w:after="120"/>
        <w:rPr>
          <w:rFonts w:asciiTheme="majorBidi" w:hAnsiTheme="majorBidi"/>
          <w:noProof/>
        </w:rPr>
      </w:pPr>
      <w:r w:rsidRPr="00D4396B">
        <w:rPr>
          <w:rFonts w:asciiTheme="majorBidi" w:hAnsiTheme="majorBidi"/>
          <w:noProof/>
        </w:rPr>
        <w:t xml:space="preserve">Establishing a legislative framework for the allocation of cases would contribute to greater consistency and predictability in determining which cases should be handled by the Agency. However, introducing a legally defined notion of a </w:t>
      </w:r>
      <w:r w:rsidR="00A318A0">
        <w:rPr>
          <w:rFonts w:asciiTheme="majorBidi" w:hAnsiTheme="majorBidi"/>
          <w:noProof/>
        </w:rPr>
        <w:t>“</w:t>
      </w:r>
      <w:r w:rsidRPr="00D4396B">
        <w:rPr>
          <w:rFonts w:asciiTheme="majorBidi" w:hAnsiTheme="majorBidi"/>
          <w:noProof/>
        </w:rPr>
        <w:t xml:space="preserve">Eurojust </w:t>
      </w:r>
      <w:r w:rsidR="00A318A0" w:rsidRPr="00D4396B">
        <w:rPr>
          <w:rFonts w:asciiTheme="majorBidi" w:hAnsiTheme="majorBidi"/>
          <w:noProof/>
        </w:rPr>
        <w:t>case</w:t>
      </w:r>
      <w:r w:rsidR="00A318A0">
        <w:rPr>
          <w:rFonts w:asciiTheme="majorBidi" w:hAnsiTheme="majorBidi"/>
          <w:noProof/>
        </w:rPr>
        <w:t>”</w:t>
      </w:r>
      <w:r w:rsidR="00A318A0" w:rsidRPr="00D4396B">
        <w:rPr>
          <w:rFonts w:asciiTheme="majorBidi" w:hAnsiTheme="majorBidi"/>
          <w:noProof/>
        </w:rPr>
        <w:t xml:space="preserve"> </w:t>
      </w:r>
      <w:r w:rsidRPr="00D4396B">
        <w:rPr>
          <w:rFonts w:asciiTheme="majorBidi" w:hAnsiTheme="majorBidi"/>
          <w:noProof/>
        </w:rPr>
        <w:t xml:space="preserve">may result in </w:t>
      </w:r>
      <w:r w:rsidR="00BC2F61">
        <w:rPr>
          <w:rFonts w:asciiTheme="majorBidi" w:hAnsiTheme="majorBidi"/>
          <w:noProof/>
        </w:rPr>
        <w:t>some</w:t>
      </w:r>
      <w:r w:rsidR="00BC2F61" w:rsidRPr="00D4396B">
        <w:rPr>
          <w:rFonts w:asciiTheme="majorBidi" w:hAnsiTheme="majorBidi"/>
          <w:noProof/>
        </w:rPr>
        <w:t xml:space="preserve"> </w:t>
      </w:r>
      <w:r w:rsidRPr="00D4396B">
        <w:rPr>
          <w:rFonts w:asciiTheme="majorBidi" w:hAnsiTheme="majorBidi"/>
          <w:noProof/>
        </w:rPr>
        <w:t xml:space="preserve">rigidity. As a result, the assessment of whether its impact would ultimately be positive or negative remains </w:t>
      </w:r>
      <w:r w:rsidR="67F1C056" w:rsidRPr="00D4396B">
        <w:rPr>
          <w:rFonts w:asciiTheme="majorBidi" w:hAnsiTheme="majorBidi"/>
          <w:noProof/>
        </w:rPr>
        <w:t>to be confirmed in practice</w:t>
      </w:r>
      <w:r w:rsidRPr="00D4396B">
        <w:rPr>
          <w:rFonts w:asciiTheme="majorBidi" w:hAnsiTheme="majorBidi"/>
          <w:noProof/>
        </w:rPr>
        <w:t>.</w:t>
      </w:r>
    </w:p>
    <w:p w14:paraId="14E9FFD5" w14:textId="4480B7EF" w:rsidR="003E55D7" w:rsidRPr="00D4396B" w:rsidRDefault="003E55D7" w:rsidP="003B0D3B">
      <w:pPr>
        <w:spacing w:after="120"/>
        <w:rPr>
          <w:rFonts w:asciiTheme="majorBidi" w:hAnsiTheme="majorBidi"/>
          <w:noProof/>
        </w:rPr>
      </w:pPr>
      <w:r w:rsidRPr="00D4396B">
        <w:rPr>
          <w:rFonts w:asciiTheme="majorBidi" w:hAnsiTheme="majorBidi"/>
          <w:noProof/>
        </w:rPr>
        <w:t xml:space="preserve">Aligning the powers of </w:t>
      </w:r>
      <w:r w:rsidRPr="1AB2807A">
        <w:rPr>
          <w:rFonts w:asciiTheme="majorBidi" w:hAnsiTheme="majorBidi"/>
          <w:noProof/>
        </w:rPr>
        <w:t>N</w:t>
      </w:r>
      <w:r w:rsidR="75178FA9" w:rsidRPr="1AB2807A">
        <w:rPr>
          <w:rFonts w:asciiTheme="majorBidi" w:hAnsiTheme="majorBidi"/>
          <w:noProof/>
        </w:rPr>
        <w:t>M</w:t>
      </w:r>
      <w:r w:rsidRPr="00D4396B">
        <w:rPr>
          <w:rFonts w:asciiTheme="majorBidi" w:hAnsiTheme="majorBidi"/>
          <w:noProof/>
        </w:rPr>
        <w:t xml:space="preserve">s and granting them </w:t>
      </w:r>
      <w:r w:rsidR="00C25D94" w:rsidRPr="00D4396B">
        <w:rPr>
          <w:rFonts w:asciiTheme="majorBidi" w:hAnsiTheme="majorBidi"/>
          <w:noProof/>
        </w:rPr>
        <w:t xml:space="preserve">uniform </w:t>
      </w:r>
      <w:r w:rsidRPr="00D4396B">
        <w:rPr>
          <w:rFonts w:asciiTheme="majorBidi" w:hAnsiTheme="majorBidi"/>
          <w:noProof/>
        </w:rPr>
        <w:t xml:space="preserve">operational capabilities would generate a </w:t>
      </w:r>
      <w:r w:rsidRPr="00D4396B">
        <w:rPr>
          <w:rFonts w:asciiTheme="majorBidi" w:hAnsiTheme="majorBidi"/>
          <w:b/>
          <w:bCs/>
          <w:noProof/>
        </w:rPr>
        <w:t>high</w:t>
      </w:r>
      <w:r w:rsidR="00501C89">
        <w:rPr>
          <w:rFonts w:asciiTheme="majorBidi" w:hAnsiTheme="majorBidi"/>
          <w:b/>
          <w:bCs/>
          <w:noProof/>
        </w:rPr>
        <w:t>er</w:t>
      </w:r>
      <w:r w:rsidRPr="00D4396B">
        <w:rPr>
          <w:rFonts w:asciiTheme="majorBidi" w:hAnsiTheme="majorBidi"/>
          <w:b/>
          <w:bCs/>
          <w:noProof/>
        </w:rPr>
        <w:t xml:space="preserve"> positive impact on operations</w:t>
      </w:r>
      <w:r w:rsidRPr="00D4396B">
        <w:rPr>
          <w:rFonts w:asciiTheme="majorBidi" w:hAnsiTheme="majorBidi"/>
          <w:noProof/>
        </w:rPr>
        <w:t xml:space="preserve">, particularly </w:t>
      </w:r>
      <w:r w:rsidR="00C44137" w:rsidRPr="00D4396B">
        <w:rPr>
          <w:rFonts w:asciiTheme="majorBidi" w:hAnsiTheme="majorBidi"/>
          <w:noProof/>
        </w:rPr>
        <w:t>in the context of time-sensitive serious crime cases</w:t>
      </w:r>
      <w:r w:rsidRPr="00D4396B">
        <w:rPr>
          <w:rFonts w:asciiTheme="majorBidi" w:hAnsiTheme="majorBidi"/>
          <w:noProof/>
        </w:rPr>
        <w:t xml:space="preserve">. </w:t>
      </w:r>
      <w:r w:rsidRPr="1AB2807A">
        <w:rPr>
          <w:rFonts w:asciiTheme="majorBidi" w:hAnsiTheme="majorBidi"/>
          <w:noProof/>
        </w:rPr>
        <w:t>N</w:t>
      </w:r>
      <w:r w:rsidR="07093B41" w:rsidRPr="1AB2807A">
        <w:rPr>
          <w:rFonts w:asciiTheme="majorBidi" w:hAnsiTheme="majorBidi"/>
          <w:noProof/>
        </w:rPr>
        <w:t>M</w:t>
      </w:r>
      <w:r w:rsidRPr="00D4396B">
        <w:rPr>
          <w:rFonts w:asciiTheme="majorBidi" w:hAnsiTheme="majorBidi"/>
          <w:noProof/>
        </w:rPr>
        <w:t>s would be able to act more promptly by issuing the necessary judicial instruments directly, without relying exclusively on national authorities.</w:t>
      </w:r>
    </w:p>
    <w:p w14:paraId="70083DA8" w14:textId="7BAE3516" w:rsidR="003E55D7" w:rsidRPr="00D4396B" w:rsidRDefault="003E55D7" w:rsidP="003B0D3B">
      <w:pPr>
        <w:spacing w:after="120"/>
        <w:rPr>
          <w:rFonts w:asciiTheme="majorBidi" w:hAnsiTheme="majorBidi"/>
          <w:noProof/>
        </w:rPr>
      </w:pPr>
      <w:r w:rsidRPr="00D4396B">
        <w:rPr>
          <w:rFonts w:asciiTheme="majorBidi" w:hAnsiTheme="majorBidi"/>
          <w:noProof/>
        </w:rPr>
        <w:t xml:space="preserve">These improvements would generate a </w:t>
      </w:r>
      <w:r w:rsidR="009B0FA1" w:rsidRPr="00B23B3C">
        <w:rPr>
          <w:rFonts w:asciiTheme="majorBidi" w:hAnsiTheme="majorBidi"/>
          <w:b/>
          <w:bCs/>
          <w:noProof/>
        </w:rPr>
        <w:t>stronger</w:t>
      </w:r>
      <w:r w:rsidRPr="00D4396B">
        <w:rPr>
          <w:rFonts w:asciiTheme="majorBidi" w:hAnsiTheme="majorBidi"/>
          <w:b/>
          <w:bCs/>
          <w:noProof/>
        </w:rPr>
        <w:t xml:space="preserve"> positive impact on Eurojust’s capacity to support national authorities and on the fight against crime</w:t>
      </w:r>
      <w:r w:rsidRPr="00D4396B">
        <w:rPr>
          <w:rFonts w:asciiTheme="majorBidi" w:hAnsiTheme="majorBidi"/>
          <w:noProof/>
        </w:rPr>
        <w:t xml:space="preserve">. Expanding the range of operational tools available to </w:t>
      </w:r>
      <w:r w:rsidRPr="1AB2807A">
        <w:rPr>
          <w:rFonts w:asciiTheme="majorBidi" w:hAnsiTheme="majorBidi"/>
          <w:noProof/>
        </w:rPr>
        <w:t>N</w:t>
      </w:r>
      <w:r w:rsidR="421A8BE7" w:rsidRPr="1AB2807A">
        <w:rPr>
          <w:rFonts w:asciiTheme="majorBidi" w:hAnsiTheme="majorBidi"/>
          <w:noProof/>
        </w:rPr>
        <w:t>M</w:t>
      </w:r>
      <w:r w:rsidRPr="00D4396B">
        <w:rPr>
          <w:rFonts w:asciiTheme="majorBidi" w:hAnsiTheme="majorBidi"/>
          <w:noProof/>
        </w:rPr>
        <w:t>s would increase the added value of Eurojust interventions by broadening the set of responses available in complex cross-border investigations.</w:t>
      </w:r>
    </w:p>
    <w:p w14:paraId="0732477A" w14:textId="7B0B4496" w:rsidR="003E55D7" w:rsidRPr="00D4396B" w:rsidRDefault="003E55D7" w:rsidP="003B0D3B">
      <w:pPr>
        <w:spacing w:after="120"/>
        <w:rPr>
          <w:rFonts w:asciiTheme="majorBidi" w:hAnsiTheme="majorBidi"/>
          <w:noProof/>
        </w:rPr>
      </w:pPr>
      <w:r w:rsidRPr="00D4396B">
        <w:rPr>
          <w:rFonts w:asciiTheme="majorBidi" w:hAnsiTheme="majorBidi"/>
          <w:noProof/>
        </w:rPr>
        <w:t xml:space="preserve">Reducing the fragmentation in the powers and competences of </w:t>
      </w:r>
      <w:r w:rsidRPr="1AB2807A">
        <w:rPr>
          <w:rFonts w:asciiTheme="majorBidi" w:hAnsiTheme="majorBidi"/>
          <w:noProof/>
        </w:rPr>
        <w:t>N</w:t>
      </w:r>
      <w:r w:rsidR="21260ED8" w:rsidRPr="1AB2807A">
        <w:rPr>
          <w:rFonts w:asciiTheme="majorBidi" w:hAnsiTheme="majorBidi"/>
          <w:noProof/>
        </w:rPr>
        <w:t>M</w:t>
      </w:r>
      <w:r w:rsidRPr="00D4396B">
        <w:rPr>
          <w:rFonts w:asciiTheme="majorBidi" w:hAnsiTheme="majorBidi"/>
          <w:noProof/>
        </w:rPr>
        <w:t xml:space="preserve">s across Member States would also generate a </w:t>
      </w:r>
      <w:r w:rsidRPr="00D4396B">
        <w:rPr>
          <w:rFonts w:asciiTheme="majorBidi" w:hAnsiTheme="majorBidi"/>
          <w:b/>
          <w:bCs/>
          <w:noProof/>
        </w:rPr>
        <w:t>moderate positive impact on simplification</w:t>
      </w:r>
      <w:r w:rsidRPr="00D4396B">
        <w:rPr>
          <w:rFonts w:asciiTheme="majorBidi" w:hAnsiTheme="majorBidi"/>
          <w:noProof/>
        </w:rPr>
        <w:t xml:space="preserve"> by creating a more consistent operational framework.</w:t>
      </w:r>
      <w:r w:rsidR="007D067B">
        <w:rPr>
          <w:rFonts w:asciiTheme="majorBidi" w:hAnsiTheme="majorBidi"/>
          <w:noProof/>
        </w:rPr>
        <w:t xml:space="preserve"> </w:t>
      </w:r>
    </w:p>
    <w:p w14:paraId="4C9ED143" w14:textId="143C7E83" w:rsidR="003E55D7" w:rsidRPr="00D4396B" w:rsidRDefault="007A348D" w:rsidP="003B0D3B">
      <w:pPr>
        <w:spacing w:after="120"/>
        <w:rPr>
          <w:rFonts w:asciiTheme="majorBidi" w:hAnsiTheme="majorBidi"/>
          <w:noProof/>
        </w:rPr>
      </w:pPr>
      <w:r>
        <w:rPr>
          <w:rFonts w:asciiTheme="majorBidi" w:hAnsiTheme="majorBidi"/>
          <w:noProof/>
        </w:rPr>
        <w:t xml:space="preserve">These measures </w:t>
      </w:r>
      <w:r w:rsidR="00C76408">
        <w:rPr>
          <w:rFonts w:asciiTheme="majorBidi" w:hAnsiTheme="majorBidi"/>
          <w:noProof/>
        </w:rPr>
        <w:t xml:space="preserve">should be achievable at limited costs, although </w:t>
      </w:r>
      <w:r w:rsidR="3B90AF38" w:rsidRPr="00D4396B">
        <w:rPr>
          <w:rFonts w:asciiTheme="majorBidi" w:hAnsiTheme="majorBidi"/>
          <w:noProof/>
        </w:rPr>
        <w:t xml:space="preserve">the increased operational role of </w:t>
      </w:r>
      <w:r w:rsidR="3B90AF38" w:rsidRPr="1AB2807A">
        <w:rPr>
          <w:rFonts w:asciiTheme="majorBidi" w:hAnsiTheme="majorBidi"/>
          <w:noProof/>
        </w:rPr>
        <w:t>N</w:t>
      </w:r>
      <w:r w:rsidR="1C2A35F4" w:rsidRPr="1AB2807A">
        <w:rPr>
          <w:rFonts w:asciiTheme="majorBidi" w:hAnsiTheme="majorBidi"/>
          <w:noProof/>
        </w:rPr>
        <w:t>M</w:t>
      </w:r>
      <w:r w:rsidR="3B90AF38" w:rsidRPr="00D4396B">
        <w:rPr>
          <w:rFonts w:asciiTheme="majorBidi" w:hAnsiTheme="majorBidi"/>
          <w:noProof/>
        </w:rPr>
        <w:t xml:space="preserve">s may entail a </w:t>
      </w:r>
      <w:r w:rsidR="163F0D54" w:rsidRPr="00D4396B">
        <w:rPr>
          <w:rFonts w:asciiTheme="majorBidi" w:hAnsiTheme="majorBidi"/>
          <w:b/>
          <w:bCs/>
          <w:noProof/>
        </w:rPr>
        <w:t>limited</w:t>
      </w:r>
      <w:r w:rsidR="3B90AF38" w:rsidRPr="00D4396B">
        <w:rPr>
          <w:rFonts w:asciiTheme="majorBidi" w:hAnsiTheme="majorBidi"/>
          <w:b/>
          <w:bCs/>
          <w:noProof/>
        </w:rPr>
        <w:t xml:space="preserve"> impact on Eurojust resources</w:t>
      </w:r>
      <w:r w:rsidR="3B90AF38" w:rsidRPr="00D4396B">
        <w:rPr>
          <w:rFonts w:asciiTheme="majorBidi" w:hAnsiTheme="majorBidi"/>
          <w:noProof/>
        </w:rPr>
        <w:t>, as broader powers and responsibilities could generate additional workload for the Agency and for the respective national desks.</w:t>
      </w:r>
      <w:r w:rsidR="00C4527A" w:rsidRPr="00D4396B">
        <w:rPr>
          <w:rStyle w:val="FootnoteReference"/>
          <w:rFonts w:asciiTheme="majorBidi" w:hAnsiTheme="majorBidi"/>
          <w:noProof/>
        </w:rPr>
        <w:footnoteReference w:id="123"/>
      </w:r>
      <w:r w:rsidR="3B90AF38" w:rsidRPr="00D4396B">
        <w:rPr>
          <w:rFonts w:asciiTheme="majorBidi" w:hAnsiTheme="majorBidi"/>
          <w:noProof/>
        </w:rPr>
        <w:t xml:space="preserve"> No impact is expected in other areas</w:t>
      </w:r>
      <w:r w:rsidR="307CA99F" w:rsidRPr="00D4396B">
        <w:rPr>
          <w:rFonts w:asciiTheme="majorBidi" w:hAnsiTheme="majorBidi"/>
          <w:noProof/>
        </w:rPr>
        <w:t>.</w:t>
      </w:r>
      <w:r w:rsidR="007D067B">
        <w:rPr>
          <w:rFonts w:asciiTheme="majorBidi" w:hAnsiTheme="majorBidi"/>
          <w:noProof/>
        </w:rPr>
        <w:t xml:space="preserve"> </w:t>
      </w:r>
      <w:r w:rsidR="005A3DCD">
        <w:rPr>
          <w:rFonts w:asciiTheme="majorBidi" w:hAnsiTheme="majorBidi"/>
          <w:noProof/>
        </w:rPr>
        <w:t xml:space="preserve">The expected improvements in </w:t>
      </w:r>
      <w:r w:rsidR="009B386A">
        <w:rPr>
          <w:rFonts w:asciiTheme="majorBidi" w:hAnsiTheme="majorBidi"/>
          <w:noProof/>
        </w:rPr>
        <w:t>consistency and reduction of fragmentation should also have a posit</w:t>
      </w:r>
      <w:r w:rsidR="008219F4">
        <w:rPr>
          <w:rFonts w:asciiTheme="majorBidi" w:hAnsiTheme="majorBidi"/>
          <w:noProof/>
        </w:rPr>
        <w:t xml:space="preserve">ive impact on coherence both within the Agency </w:t>
      </w:r>
      <w:r w:rsidR="002906ED">
        <w:rPr>
          <w:rFonts w:asciiTheme="majorBidi" w:hAnsiTheme="majorBidi"/>
          <w:noProof/>
        </w:rPr>
        <w:t xml:space="preserve">and </w:t>
      </w:r>
      <w:r w:rsidR="005377D0">
        <w:rPr>
          <w:rFonts w:asciiTheme="majorBidi" w:hAnsiTheme="majorBidi"/>
          <w:noProof/>
        </w:rPr>
        <w:t>to a certain extent externally.</w:t>
      </w:r>
      <w:r w:rsidR="00647260">
        <w:rPr>
          <w:rFonts w:asciiTheme="majorBidi" w:hAnsiTheme="majorBidi"/>
          <w:noProof/>
        </w:rPr>
        <w:t xml:space="preserve"> </w:t>
      </w:r>
    </w:p>
    <w:p w14:paraId="3371BE66" w14:textId="078D37E0" w:rsidR="003E55D7" w:rsidRPr="00D4396B" w:rsidRDefault="7340FF23" w:rsidP="003B0D3B">
      <w:pPr>
        <w:spacing w:after="120"/>
        <w:rPr>
          <w:rFonts w:asciiTheme="majorBidi" w:hAnsiTheme="majorBidi"/>
          <w:b/>
          <w:bCs/>
          <w:noProof/>
          <w:u w:val="single"/>
        </w:rPr>
      </w:pPr>
      <w:r w:rsidRPr="001E4846">
        <w:rPr>
          <w:rFonts w:asciiTheme="majorBidi" w:hAnsiTheme="majorBidi"/>
          <w:b/>
          <w:bCs/>
          <w:noProof/>
        </w:rPr>
        <w:t>B.PO3</w:t>
      </w:r>
      <w:r w:rsidR="7AF787CD" w:rsidRPr="001E4846">
        <w:rPr>
          <w:rFonts w:asciiTheme="majorBidi" w:hAnsiTheme="majorBidi"/>
          <w:b/>
          <w:bCs/>
          <w:noProof/>
        </w:rPr>
        <w:t xml:space="preserve">: </w:t>
      </w:r>
      <w:r w:rsidRPr="00D4396B">
        <w:rPr>
          <w:rFonts w:asciiTheme="majorBidi" w:hAnsiTheme="majorBidi"/>
          <w:noProof/>
        </w:rPr>
        <w:t xml:space="preserve">This policy option would build on the measures </w:t>
      </w:r>
      <w:r w:rsidR="00E77B34">
        <w:rPr>
          <w:rFonts w:asciiTheme="majorBidi" w:hAnsiTheme="majorBidi"/>
          <w:noProof/>
        </w:rPr>
        <w:t>and associated impacts</w:t>
      </w:r>
      <w:r w:rsidRPr="00D4396B">
        <w:rPr>
          <w:rFonts w:asciiTheme="majorBidi" w:hAnsiTheme="majorBidi"/>
          <w:noProof/>
        </w:rPr>
        <w:t xml:space="preserve"> envisaged under B.PO2</w:t>
      </w:r>
      <w:r w:rsidR="00E77B34">
        <w:rPr>
          <w:rFonts w:asciiTheme="majorBidi" w:hAnsiTheme="majorBidi"/>
          <w:noProof/>
        </w:rPr>
        <w:t xml:space="preserve">. </w:t>
      </w:r>
      <w:r w:rsidRPr="00D4396B">
        <w:rPr>
          <w:rFonts w:asciiTheme="majorBidi" w:hAnsiTheme="majorBidi"/>
          <w:noProof/>
        </w:rPr>
        <w:t xml:space="preserve">In addition </w:t>
      </w:r>
      <w:r w:rsidR="00E77B34">
        <w:rPr>
          <w:rFonts w:asciiTheme="majorBidi" w:hAnsiTheme="majorBidi"/>
          <w:noProof/>
        </w:rPr>
        <w:t>to measures (i.b), (ii.b) and (iii),</w:t>
      </w:r>
      <w:r w:rsidRPr="00D4396B">
        <w:rPr>
          <w:rFonts w:asciiTheme="majorBidi" w:hAnsiTheme="majorBidi"/>
          <w:noProof/>
        </w:rPr>
        <w:t xml:space="preserve"> it would empower </w:t>
      </w:r>
      <w:r w:rsidR="00BF1062" w:rsidRPr="00D4396B">
        <w:rPr>
          <w:rFonts w:asciiTheme="majorBidi" w:hAnsiTheme="majorBidi"/>
          <w:noProof/>
        </w:rPr>
        <w:t>NMs</w:t>
      </w:r>
      <w:r w:rsidRPr="00D4396B">
        <w:rPr>
          <w:rFonts w:asciiTheme="majorBidi" w:hAnsiTheme="majorBidi"/>
          <w:noProof/>
        </w:rPr>
        <w:t xml:space="preserve"> to open </w:t>
      </w:r>
      <w:r w:rsidR="00D73875" w:rsidRPr="00D4396B">
        <w:rPr>
          <w:rFonts w:asciiTheme="majorBidi" w:hAnsiTheme="majorBidi"/>
          <w:noProof/>
        </w:rPr>
        <w:t xml:space="preserve">cases </w:t>
      </w:r>
      <w:r w:rsidRPr="00D4396B">
        <w:rPr>
          <w:rFonts w:asciiTheme="majorBidi" w:hAnsiTheme="majorBidi"/>
          <w:noProof/>
        </w:rPr>
        <w:t>on their own initiative (iv).</w:t>
      </w:r>
    </w:p>
    <w:p w14:paraId="2DA20CB9" w14:textId="683899D6" w:rsidR="003E55D7" w:rsidRPr="00D4396B" w:rsidRDefault="003E55D7" w:rsidP="003B0D3B">
      <w:pPr>
        <w:spacing w:after="120"/>
        <w:rPr>
          <w:rFonts w:asciiTheme="majorBidi" w:hAnsiTheme="majorBidi"/>
          <w:noProof/>
        </w:rPr>
      </w:pPr>
      <w:r w:rsidRPr="00D4396B">
        <w:rPr>
          <w:rFonts w:asciiTheme="majorBidi" w:hAnsiTheme="majorBidi"/>
          <w:noProof/>
        </w:rPr>
        <w:t xml:space="preserve">By </w:t>
      </w:r>
      <w:r w:rsidR="008F2D76">
        <w:rPr>
          <w:rFonts w:asciiTheme="majorBidi" w:hAnsiTheme="majorBidi"/>
          <w:noProof/>
        </w:rPr>
        <w:t>granting</w:t>
      </w:r>
      <w:r w:rsidR="008F2D76" w:rsidRPr="00D4396B">
        <w:rPr>
          <w:rFonts w:asciiTheme="majorBidi" w:hAnsiTheme="majorBidi"/>
          <w:noProof/>
        </w:rPr>
        <w:t xml:space="preserve"> </w:t>
      </w:r>
      <w:r w:rsidRPr="1AB2807A">
        <w:rPr>
          <w:rFonts w:asciiTheme="majorBidi" w:hAnsiTheme="majorBidi"/>
          <w:noProof/>
        </w:rPr>
        <w:t>N</w:t>
      </w:r>
      <w:r w:rsidR="65225FDB" w:rsidRPr="1AB2807A">
        <w:rPr>
          <w:rFonts w:asciiTheme="majorBidi" w:hAnsiTheme="majorBidi"/>
          <w:noProof/>
        </w:rPr>
        <w:t>M</w:t>
      </w:r>
      <w:r w:rsidRPr="00D4396B">
        <w:rPr>
          <w:rFonts w:asciiTheme="majorBidi" w:hAnsiTheme="majorBidi"/>
          <w:noProof/>
        </w:rPr>
        <w:t>s t</w:t>
      </w:r>
      <w:r w:rsidR="008F2D76">
        <w:rPr>
          <w:rFonts w:asciiTheme="majorBidi" w:hAnsiTheme="majorBidi"/>
          <w:noProof/>
        </w:rPr>
        <w:t>he authority to open cases</w:t>
      </w:r>
      <w:r w:rsidRPr="00D4396B">
        <w:rPr>
          <w:rFonts w:asciiTheme="majorBidi" w:hAnsiTheme="majorBidi"/>
          <w:noProof/>
        </w:rPr>
        <w:t xml:space="preserve"> where appropriate, this option would further strengthen Eurojust’s operational role in identifying and addressing cross-border criminal activities. The measure is expected to generate a </w:t>
      </w:r>
      <w:r w:rsidR="009778BB">
        <w:rPr>
          <w:rFonts w:asciiTheme="majorBidi" w:hAnsiTheme="majorBidi"/>
          <w:b/>
          <w:bCs/>
          <w:noProof/>
        </w:rPr>
        <w:t>moderate</w:t>
      </w:r>
      <w:r w:rsidR="009778BB" w:rsidRPr="00D4396B">
        <w:rPr>
          <w:rFonts w:asciiTheme="majorBidi" w:hAnsiTheme="majorBidi"/>
          <w:b/>
          <w:bCs/>
          <w:noProof/>
        </w:rPr>
        <w:t xml:space="preserve"> </w:t>
      </w:r>
      <w:r w:rsidRPr="00D4396B">
        <w:rPr>
          <w:rFonts w:asciiTheme="majorBidi" w:hAnsiTheme="majorBidi"/>
          <w:b/>
          <w:bCs/>
          <w:noProof/>
        </w:rPr>
        <w:t>positive impact on operations</w:t>
      </w:r>
      <w:r w:rsidRPr="00D4396B">
        <w:rPr>
          <w:rFonts w:asciiTheme="majorBidi" w:hAnsiTheme="majorBidi"/>
          <w:noProof/>
        </w:rPr>
        <w:t xml:space="preserve">, particularly with regard to the time taken to process cases, and a </w:t>
      </w:r>
      <w:r w:rsidRPr="00D4396B">
        <w:rPr>
          <w:rFonts w:asciiTheme="majorBidi" w:hAnsiTheme="majorBidi"/>
          <w:b/>
          <w:bCs/>
          <w:noProof/>
        </w:rPr>
        <w:t>small to moderate positive impact on the number of cases initiated on Eurojust’s own initiative</w:t>
      </w:r>
      <w:r w:rsidRPr="00D4396B">
        <w:rPr>
          <w:rFonts w:asciiTheme="majorBidi" w:hAnsiTheme="majorBidi"/>
          <w:noProof/>
        </w:rPr>
        <w:t>.</w:t>
      </w:r>
    </w:p>
    <w:p w14:paraId="3CCEDB7E" w14:textId="2E0F02F0" w:rsidR="003E55D7" w:rsidRPr="00D4396B" w:rsidRDefault="003E55D7" w:rsidP="003B0D3B">
      <w:pPr>
        <w:spacing w:after="120"/>
        <w:rPr>
          <w:rFonts w:asciiTheme="majorBidi" w:hAnsiTheme="majorBidi"/>
          <w:noProof/>
        </w:rPr>
      </w:pPr>
      <w:r w:rsidRPr="00D4396B">
        <w:rPr>
          <w:rFonts w:asciiTheme="majorBidi" w:hAnsiTheme="majorBidi"/>
          <w:noProof/>
        </w:rPr>
        <w:t xml:space="preserve">The possibility for </w:t>
      </w:r>
      <w:r w:rsidRPr="1AB2807A">
        <w:rPr>
          <w:rFonts w:asciiTheme="majorBidi" w:hAnsiTheme="majorBidi"/>
          <w:noProof/>
        </w:rPr>
        <w:t>N</w:t>
      </w:r>
      <w:r w:rsidR="7D33AC46" w:rsidRPr="1AB2807A">
        <w:rPr>
          <w:rFonts w:asciiTheme="majorBidi" w:hAnsiTheme="majorBidi"/>
          <w:noProof/>
        </w:rPr>
        <w:t>M</w:t>
      </w:r>
      <w:r w:rsidRPr="00D4396B">
        <w:rPr>
          <w:rFonts w:asciiTheme="majorBidi" w:hAnsiTheme="majorBidi"/>
          <w:noProof/>
        </w:rPr>
        <w:t xml:space="preserve">s to initiate investigations would also generate a </w:t>
      </w:r>
      <w:r w:rsidRPr="00D4396B">
        <w:rPr>
          <w:rFonts w:asciiTheme="majorBidi" w:hAnsiTheme="majorBidi"/>
          <w:b/>
          <w:bCs/>
          <w:noProof/>
        </w:rPr>
        <w:t>moderate positive impact on Eurojust’s capacity to support national authorities</w:t>
      </w:r>
      <w:r w:rsidRPr="00D4396B">
        <w:rPr>
          <w:rFonts w:asciiTheme="majorBidi" w:hAnsiTheme="majorBidi"/>
          <w:noProof/>
        </w:rPr>
        <w:t>, enabling more consistent and proactive coordination between Member States.</w:t>
      </w:r>
    </w:p>
    <w:p w14:paraId="66C732C9" w14:textId="0910B6E1" w:rsidR="003E55D7" w:rsidRPr="00D4396B" w:rsidRDefault="003E55D7" w:rsidP="003B0D3B">
      <w:pPr>
        <w:spacing w:after="120"/>
        <w:rPr>
          <w:rFonts w:asciiTheme="majorBidi" w:hAnsiTheme="majorBidi"/>
          <w:noProof/>
        </w:rPr>
      </w:pPr>
      <w:r w:rsidRPr="00D4396B">
        <w:rPr>
          <w:rFonts w:asciiTheme="majorBidi" w:hAnsiTheme="majorBidi"/>
          <w:noProof/>
        </w:rPr>
        <w:t xml:space="preserve">This option would generate a </w:t>
      </w:r>
      <w:r w:rsidR="00EC6EB2">
        <w:rPr>
          <w:rFonts w:asciiTheme="majorBidi" w:hAnsiTheme="majorBidi"/>
          <w:b/>
          <w:bCs/>
          <w:noProof/>
        </w:rPr>
        <w:t>moderate</w:t>
      </w:r>
      <w:r w:rsidR="00EC6EB2" w:rsidRPr="00D4396B">
        <w:rPr>
          <w:rFonts w:asciiTheme="majorBidi" w:hAnsiTheme="majorBidi"/>
          <w:b/>
          <w:bCs/>
          <w:noProof/>
        </w:rPr>
        <w:t xml:space="preserve"> </w:t>
      </w:r>
      <w:r w:rsidRPr="00D4396B">
        <w:rPr>
          <w:rFonts w:asciiTheme="majorBidi" w:hAnsiTheme="majorBidi"/>
          <w:b/>
          <w:bCs/>
          <w:noProof/>
        </w:rPr>
        <w:t>positive impact on the fight against crime</w:t>
      </w:r>
      <w:r w:rsidRPr="00D4396B">
        <w:rPr>
          <w:rFonts w:asciiTheme="majorBidi" w:hAnsiTheme="majorBidi"/>
          <w:noProof/>
        </w:rPr>
        <w:t xml:space="preserve">, as it would reduce the risk that opportunities to initiate relevant cross-border investigations are missed. By enabling more proactive identification and handling of cases, the measure would also generate a </w:t>
      </w:r>
      <w:r w:rsidRPr="00D4396B">
        <w:rPr>
          <w:rFonts w:asciiTheme="majorBidi" w:hAnsiTheme="majorBidi"/>
          <w:b/>
          <w:bCs/>
          <w:noProof/>
        </w:rPr>
        <w:t>positive impact on the protection of citizens</w:t>
      </w:r>
      <w:r w:rsidRPr="00D4396B">
        <w:rPr>
          <w:rFonts w:asciiTheme="majorBidi" w:hAnsiTheme="majorBidi"/>
          <w:noProof/>
        </w:rPr>
        <w:t>.</w:t>
      </w:r>
    </w:p>
    <w:p w14:paraId="02F423D6" w14:textId="162346FC" w:rsidR="003E55D7" w:rsidRPr="00D4396B" w:rsidRDefault="003E55D7" w:rsidP="003B0D3B">
      <w:pPr>
        <w:spacing w:after="120"/>
        <w:rPr>
          <w:rFonts w:asciiTheme="majorBidi" w:hAnsiTheme="majorBidi"/>
          <w:noProof/>
        </w:rPr>
      </w:pPr>
      <w:r w:rsidRPr="00D4396B">
        <w:rPr>
          <w:rFonts w:asciiTheme="majorBidi" w:hAnsiTheme="majorBidi"/>
          <w:noProof/>
        </w:rPr>
        <w:t xml:space="preserve">At the same time, the greater operational proactivity associated with this option would entail a </w:t>
      </w:r>
      <w:r w:rsidR="00231BCC" w:rsidRPr="00504DA1">
        <w:rPr>
          <w:rFonts w:asciiTheme="majorBidi" w:hAnsiTheme="majorBidi"/>
          <w:b/>
          <w:bCs/>
          <w:noProof/>
        </w:rPr>
        <w:t xml:space="preserve">minor to </w:t>
      </w:r>
      <w:r w:rsidRPr="00C14E31">
        <w:rPr>
          <w:rFonts w:asciiTheme="majorBidi" w:hAnsiTheme="majorBidi"/>
          <w:b/>
          <w:bCs/>
          <w:noProof/>
        </w:rPr>
        <w:t>moderate</w:t>
      </w:r>
      <w:r w:rsidRPr="00D4396B">
        <w:rPr>
          <w:rFonts w:asciiTheme="majorBidi" w:hAnsiTheme="majorBidi"/>
          <w:b/>
          <w:bCs/>
          <w:noProof/>
        </w:rPr>
        <w:t xml:space="preserve"> negative impact on Eurojust resources</w:t>
      </w:r>
      <w:r w:rsidRPr="00D4396B">
        <w:rPr>
          <w:rFonts w:asciiTheme="majorBidi" w:hAnsiTheme="majorBidi"/>
          <w:noProof/>
        </w:rPr>
        <w:t xml:space="preserve">, as </w:t>
      </w:r>
      <w:r w:rsidRPr="1AB2807A">
        <w:rPr>
          <w:rFonts w:asciiTheme="majorBidi" w:hAnsiTheme="majorBidi"/>
          <w:noProof/>
        </w:rPr>
        <w:t>N</w:t>
      </w:r>
      <w:r w:rsidR="047FAFC3" w:rsidRPr="1AB2807A">
        <w:rPr>
          <w:rFonts w:asciiTheme="majorBidi" w:hAnsiTheme="majorBidi"/>
          <w:noProof/>
        </w:rPr>
        <w:t>M</w:t>
      </w:r>
      <w:r w:rsidRPr="00D4396B">
        <w:rPr>
          <w:rFonts w:asciiTheme="majorBidi" w:hAnsiTheme="majorBidi"/>
          <w:noProof/>
        </w:rPr>
        <w:t>s would need to balance their time between responding to requests from Member States and acting on their own initiative.</w:t>
      </w:r>
    </w:p>
    <w:p w14:paraId="09ABF60D" w14:textId="1FD69E1D" w:rsidR="1780FE41" w:rsidRPr="00D4396B" w:rsidRDefault="3B90AF38" w:rsidP="003B0D3B">
      <w:pPr>
        <w:spacing w:after="120"/>
        <w:rPr>
          <w:rFonts w:asciiTheme="majorBidi" w:hAnsiTheme="majorBidi"/>
          <w:noProof/>
        </w:rPr>
      </w:pPr>
      <w:r w:rsidRPr="00D4396B">
        <w:rPr>
          <w:rFonts w:asciiTheme="majorBidi" w:hAnsiTheme="majorBidi"/>
          <w:noProof/>
        </w:rPr>
        <w:t xml:space="preserve">The increase in cases resulting from investigations opened on Eurojust’s initiative could also generate a </w:t>
      </w:r>
      <w:r w:rsidRPr="00D4396B">
        <w:rPr>
          <w:rFonts w:asciiTheme="majorBidi" w:hAnsiTheme="majorBidi"/>
          <w:b/>
          <w:bCs/>
          <w:noProof/>
        </w:rPr>
        <w:t>small to moderate negative impact on Member States’ resources</w:t>
      </w:r>
      <w:r w:rsidRPr="00D4396B">
        <w:rPr>
          <w:rFonts w:asciiTheme="majorBidi" w:hAnsiTheme="majorBidi"/>
          <w:noProof/>
        </w:rPr>
        <w:t>, particularly in terms of the workload of national prosecution services responsible for pursuing such cases.</w:t>
      </w:r>
      <w:r w:rsidR="00C4527A" w:rsidRPr="00D4396B">
        <w:rPr>
          <w:rStyle w:val="FootnoteReference"/>
          <w:rFonts w:asciiTheme="majorBidi" w:hAnsiTheme="majorBidi"/>
          <w:noProof/>
        </w:rPr>
        <w:footnoteReference w:id="124"/>
      </w:r>
      <w:r w:rsidRPr="00D4396B">
        <w:rPr>
          <w:rFonts w:asciiTheme="majorBidi" w:hAnsiTheme="majorBidi"/>
          <w:noProof/>
        </w:rPr>
        <w:t xml:space="preserve"> No impact is expected in other areas.</w:t>
      </w:r>
      <w:r w:rsidR="00BC1BB8">
        <w:rPr>
          <w:rFonts w:asciiTheme="majorBidi" w:hAnsiTheme="majorBidi"/>
          <w:noProof/>
        </w:rPr>
        <w:t xml:space="preserve"> </w:t>
      </w:r>
    </w:p>
    <w:p w14:paraId="771F519D" w14:textId="20007200" w:rsidR="00BC1BB8" w:rsidRPr="00D4396B" w:rsidRDefault="00BC1BB8" w:rsidP="003B0D3B">
      <w:pPr>
        <w:spacing w:after="120"/>
        <w:rPr>
          <w:rFonts w:asciiTheme="majorBidi" w:hAnsiTheme="majorBidi"/>
          <w:noProof/>
        </w:rPr>
      </w:pPr>
      <w:r>
        <w:rPr>
          <w:rFonts w:asciiTheme="majorBidi" w:hAnsiTheme="majorBidi"/>
          <w:noProof/>
        </w:rPr>
        <w:t xml:space="preserve">Balancing all these impacts, the overall efficiency </w:t>
      </w:r>
      <w:r w:rsidR="00FC3EC1">
        <w:rPr>
          <w:rFonts w:asciiTheme="majorBidi" w:hAnsiTheme="majorBidi"/>
          <w:noProof/>
        </w:rPr>
        <w:t xml:space="preserve">and </w:t>
      </w:r>
      <w:r>
        <w:rPr>
          <w:rFonts w:asciiTheme="majorBidi" w:hAnsiTheme="majorBidi"/>
          <w:noProof/>
        </w:rPr>
        <w:t xml:space="preserve">of this option is expected to be </w:t>
      </w:r>
      <w:r w:rsidR="003042C4">
        <w:rPr>
          <w:rFonts w:asciiTheme="majorBidi" w:hAnsiTheme="majorBidi"/>
          <w:noProof/>
        </w:rPr>
        <w:t xml:space="preserve">slightly better than </w:t>
      </w:r>
      <w:r w:rsidR="00F9248D">
        <w:rPr>
          <w:rFonts w:asciiTheme="majorBidi" w:hAnsiTheme="majorBidi"/>
          <w:noProof/>
        </w:rPr>
        <w:t>for B.PO2</w:t>
      </w:r>
      <w:r w:rsidR="00592442">
        <w:rPr>
          <w:rFonts w:asciiTheme="majorBidi" w:hAnsiTheme="majorBidi"/>
          <w:noProof/>
        </w:rPr>
        <w:t xml:space="preserve"> with similar coherency improvements.</w:t>
      </w:r>
    </w:p>
    <w:p w14:paraId="563D97F2" w14:textId="3FF63E6E" w:rsidR="41714091" w:rsidRPr="00640FB4" w:rsidRDefault="41714091" w:rsidP="300D80D8">
      <w:pPr>
        <w:spacing w:after="120"/>
        <w:rPr>
          <w:rFonts w:asciiTheme="majorBidi" w:hAnsiTheme="majorBidi"/>
          <w:noProof/>
          <w:u w:val="single"/>
        </w:rPr>
      </w:pPr>
      <w:r w:rsidRPr="00640FB4">
        <w:rPr>
          <w:rFonts w:asciiTheme="majorBidi" w:hAnsiTheme="majorBidi"/>
          <w:noProof/>
          <w:u w:val="single"/>
        </w:rPr>
        <w:t xml:space="preserve">Table </w:t>
      </w:r>
      <w:r w:rsidR="001C2582">
        <w:rPr>
          <w:rFonts w:asciiTheme="majorBidi" w:hAnsiTheme="majorBidi"/>
          <w:noProof/>
          <w:u w:val="single"/>
        </w:rPr>
        <w:t>6</w:t>
      </w:r>
      <w:r w:rsidRPr="00640FB4">
        <w:rPr>
          <w:rFonts w:asciiTheme="majorBidi" w:hAnsiTheme="majorBidi"/>
          <w:noProof/>
          <w:u w:val="single"/>
        </w:rPr>
        <w:t>:</w:t>
      </w:r>
      <w:r w:rsidR="00E324A3">
        <w:rPr>
          <w:rFonts w:asciiTheme="majorBidi" w:hAnsiTheme="majorBidi"/>
          <w:noProof/>
          <w:u w:val="single"/>
        </w:rPr>
        <w:t xml:space="preserve"> </w:t>
      </w:r>
      <w:r w:rsidR="001C2582" w:rsidRPr="002140B7">
        <w:rPr>
          <w:rFonts w:eastAsia="Times New Roman"/>
          <w:noProof/>
          <w:u w:val="single"/>
        </w:rPr>
        <w:t xml:space="preserve">Impacts of policy option </w:t>
      </w:r>
      <w:r w:rsidR="001C2582">
        <w:rPr>
          <w:rFonts w:eastAsia="Times New Roman"/>
          <w:noProof/>
          <w:u w:val="single"/>
        </w:rPr>
        <w:t>in</w:t>
      </w:r>
      <w:r w:rsidR="001C2582" w:rsidRPr="002140B7">
        <w:rPr>
          <w:rFonts w:eastAsia="Times New Roman"/>
          <w:noProof/>
          <w:u w:val="single"/>
        </w:rPr>
        <w:t xml:space="preserve"> intervention area </w:t>
      </w:r>
      <w:r w:rsidR="00EC7FDD">
        <w:rPr>
          <w:rFonts w:eastAsia="Times New Roman"/>
          <w:noProof/>
          <w:u w:val="single"/>
        </w:rPr>
        <w:t>B</w:t>
      </w:r>
    </w:p>
    <w:tbl>
      <w:tblPr>
        <w:tblW w:w="5000" w:type="pct"/>
        <w:tblCellMar>
          <w:left w:w="70" w:type="dxa"/>
          <w:right w:w="70" w:type="dxa"/>
        </w:tblCellMar>
        <w:tblLook w:val="04A0" w:firstRow="1" w:lastRow="0" w:firstColumn="1" w:lastColumn="0" w:noHBand="0" w:noVBand="1"/>
      </w:tblPr>
      <w:tblGrid>
        <w:gridCol w:w="2801"/>
        <w:gridCol w:w="451"/>
        <w:gridCol w:w="425"/>
        <w:gridCol w:w="970"/>
        <w:gridCol w:w="739"/>
        <w:gridCol w:w="576"/>
        <w:gridCol w:w="616"/>
        <w:gridCol w:w="765"/>
        <w:gridCol w:w="1255"/>
      </w:tblGrid>
      <w:tr w:rsidR="009922A9" w:rsidRPr="00D4396B" w14:paraId="33C8BD9D" w14:textId="77777777" w:rsidTr="00EC7FDD">
        <w:trPr>
          <w:trHeight w:val="725"/>
        </w:trPr>
        <w:tc>
          <w:tcPr>
            <w:tcW w:w="1629" w:type="pct"/>
            <w:tcBorders>
              <w:top w:val="single" w:sz="8" w:space="0" w:color="auto"/>
              <w:left w:val="single" w:sz="8" w:space="0" w:color="auto"/>
              <w:bottom w:val="nil"/>
              <w:right w:val="single" w:sz="8" w:space="0" w:color="000000"/>
            </w:tcBorders>
            <w:shd w:val="clear" w:color="000000" w:fill="DAF2D0"/>
            <w:vAlign w:val="center"/>
            <w:hideMark/>
          </w:tcPr>
          <w:p w14:paraId="2906225F" w14:textId="5E152150" w:rsidR="003C7D3C" w:rsidRPr="00D4396B" w:rsidRDefault="003C7D3C" w:rsidP="003C7D3C">
            <w:pPr>
              <w:spacing w:after="0"/>
              <w:rPr>
                <w:rFonts w:eastAsia="Times New Roman"/>
                <w:b/>
                <w:bCs/>
                <w:noProof/>
                <w:sz w:val="14"/>
                <w:szCs w:val="14"/>
                <w:lang w:val="en-US" w:eastAsia="de-DE"/>
              </w:rPr>
            </w:pPr>
            <w:r w:rsidRPr="00D4396B">
              <w:rPr>
                <w:rFonts w:eastAsia="Times New Roman"/>
                <w:b/>
                <w:bCs/>
                <w:noProof/>
                <w:sz w:val="14"/>
                <w:szCs w:val="14"/>
                <w:lang w:val="en-US" w:eastAsia="de-DE"/>
              </w:rPr>
              <w:t>B. Harmoni</w:t>
            </w:r>
            <w:r w:rsidR="00C8123F">
              <w:rPr>
                <w:rFonts w:eastAsia="Times New Roman"/>
                <w:b/>
                <w:bCs/>
                <w:noProof/>
                <w:sz w:val="14"/>
                <w:szCs w:val="14"/>
                <w:lang w:val="en-US" w:eastAsia="de-DE"/>
              </w:rPr>
              <w:t>s</w:t>
            </w:r>
            <w:r w:rsidRPr="00D4396B">
              <w:rPr>
                <w:rFonts w:eastAsia="Times New Roman"/>
                <w:b/>
                <w:bCs/>
                <w:noProof/>
                <w:sz w:val="14"/>
                <w:szCs w:val="14"/>
                <w:lang w:val="en-US" w:eastAsia="de-DE"/>
              </w:rPr>
              <w:t>ing Member State implementation of the EJR, including on allocation of cases </w:t>
            </w:r>
          </w:p>
        </w:tc>
        <w:tc>
          <w:tcPr>
            <w:tcW w:w="1072" w:type="pct"/>
            <w:gridSpan w:val="3"/>
            <w:tcBorders>
              <w:top w:val="single" w:sz="8" w:space="0" w:color="auto"/>
              <w:left w:val="nil"/>
              <w:bottom w:val="single" w:sz="8" w:space="0" w:color="auto"/>
              <w:right w:val="single" w:sz="8" w:space="0" w:color="000000"/>
            </w:tcBorders>
            <w:noWrap/>
            <w:vAlign w:val="center"/>
            <w:hideMark/>
          </w:tcPr>
          <w:p w14:paraId="6B615EB4" w14:textId="77777777" w:rsidR="003C7D3C" w:rsidRPr="00D4396B" w:rsidRDefault="003C7D3C" w:rsidP="003C7D3C">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Effectiveness</w:t>
            </w:r>
          </w:p>
        </w:tc>
        <w:tc>
          <w:tcPr>
            <w:tcW w:w="430" w:type="pct"/>
            <w:tcBorders>
              <w:top w:val="single" w:sz="8" w:space="0" w:color="auto"/>
              <w:left w:val="nil"/>
              <w:bottom w:val="nil"/>
              <w:right w:val="single" w:sz="8" w:space="0" w:color="auto"/>
            </w:tcBorders>
            <w:noWrap/>
            <w:vAlign w:val="center"/>
            <w:hideMark/>
          </w:tcPr>
          <w:p w14:paraId="117B0CD4" w14:textId="77777777" w:rsidR="003C7D3C" w:rsidRPr="00D4396B" w:rsidRDefault="003C7D3C" w:rsidP="003C7D3C">
            <w:pPr>
              <w:spacing w:after="0"/>
              <w:jc w:val="left"/>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Efficiency</w:t>
            </w:r>
          </w:p>
        </w:tc>
        <w:tc>
          <w:tcPr>
            <w:tcW w:w="1138" w:type="pct"/>
            <w:gridSpan w:val="3"/>
            <w:tcBorders>
              <w:top w:val="single" w:sz="8" w:space="0" w:color="auto"/>
              <w:left w:val="nil"/>
              <w:bottom w:val="single" w:sz="8" w:space="0" w:color="auto"/>
              <w:right w:val="single" w:sz="8" w:space="0" w:color="000000"/>
            </w:tcBorders>
            <w:noWrap/>
            <w:vAlign w:val="center"/>
            <w:hideMark/>
          </w:tcPr>
          <w:p w14:paraId="38A7CC66" w14:textId="77777777" w:rsidR="003C7D3C" w:rsidRPr="00D4396B" w:rsidRDefault="003C7D3C" w:rsidP="003C7D3C">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Coherence</w:t>
            </w:r>
          </w:p>
        </w:tc>
        <w:tc>
          <w:tcPr>
            <w:tcW w:w="731" w:type="pct"/>
            <w:tcBorders>
              <w:top w:val="single" w:sz="8" w:space="0" w:color="auto"/>
              <w:left w:val="nil"/>
              <w:bottom w:val="nil"/>
              <w:right w:val="single" w:sz="8" w:space="0" w:color="auto"/>
            </w:tcBorders>
            <w:vAlign w:val="center"/>
            <w:hideMark/>
          </w:tcPr>
          <w:p w14:paraId="1859456A" w14:textId="77777777" w:rsidR="003C7D3C" w:rsidRPr="00D4396B" w:rsidRDefault="003C7D3C" w:rsidP="003C7D3C">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Total criteria score</w:t>
            </w:r>
            <w:r w:rsidRPr="00D4396B">
              <w:rPr>
                <w:rFonts w:eastAsia="Times New Roman"/>
                <w:b/>
                <w:bCs/>
                <w:noProof/>
                <w:color w:val="000000"/>
                <w:sz w:val="14"/>
                <w:szCs w:val="14"/>
                <w:lang w:val="de-DE" w:eastAsia="de-DE"/>
              </w:rPr>
              <w:br/>
              <w:t>Sensitivity 2</w:t>
            </w:r>
          </w:p>
        </w:tc>
      </w:tr>
      <w:tr w:rsidR="001276A5" w:rsidRPr="00D4396B" w14:paraId="67AB1653" w14:textId="77777777" w:rsidTr="00EC7FDD">
        <w:trPr>
          <w:trHeight w:val="820"/>
        </w:trPr>
        <w:tc>
          <w:tcPr>
            <w:tcW w:w="1629" w:type="pct"/>
            <w:tcBorders>
              <w:top w:val="nil"/>
              <w:left w:val="single" w:sz="8" w:space="0" w:color="auto"/>
              <w:bottom w:val="single" w:sz="8" w:space="0" w:color="auto"/>
              <w:right w:val="nil"/>
            </w:tcBorders>
            <w:shd w:val="clear" w:color="000000" w:fill="DAF2D0"/>
            <w:vAlign w:val="center"/>
            <w:hideMark/>
          </w:tcPr>
          <w:p w14:paraId="371EFC2A" w14:textId="77777777" w:rsidR="003C7D3C" w:rsidRPr="00D4396B" w:rsidRDefault="003C7D3C" w:rsidP="003C7D3C">
            <w:pPr>
              <w:spacing w:after="0"/>
              <w:rPr>
                <w:rFonts w:eastAsia="Times New Roman"/>
                <w:i/>
                <w:iCs/>
                <w:noProof/>
                <w:sz w:val="14"/>
                <w:szCs w:val="14"/>
                <w:lang w:val="en-US" w:eastAsia="de-DE"/>
              </w:rPr>
            </w:pPr>
            <w:r w:rsidRPr="00D4396B">
              <w:rPr>
                <w:rFonts w:eastAsia="Times New Roman"/>
                <w:i/>
                <w:iCs/>
                <w:noProof/>
                <w:sz w:val="14"/>
                <w:szCs w:val="14"/>
                <w:lang w:val="en-US" w:eastAsia="de-DE"/>
              </w:rPr>
              <w:t>Addressing problem driver(s): </w:t>
            </w:r>
            <w:r w:rsidRPr="00D4396B">
              <w:rPr>
                <w:rFonts w:eastAsia="Times New Roman"/>
                <w:i/>
                <w:iCs/>
                <w:noProof/>
                <w:sz w:val="14"/>
                <w:szCs w:val="14"/>
                <w:lang w:val="en-US" w:eastAsia="de-DE"/>
              </w:rPr>
              <w:br/>
              <w:t>#1 Inadequate model to select and prioritise cases; </w:t>
            </w:r>
            <w:r w:rsidRPr="00D4396B">
              <w:rPr>
                <w:rFonts w:eastAsia="Times New Roman"/>
                <w:i/>
                <w:iCs/>
                <w:noProof/>
                <w:sz w:val="14"/>
                <w:szCs w:val="14"/>
                <w:lang w:val="en-US" w:eastAsia="de-DE"/>
              </w:rPr>
              <w:br/>
              <w:t>#3 Divergent Member State engagement and implementation of the EJR </w:t>
            </w:r>
          </w:p>
        </w:tc>
        <w:tc>
          <w:tcPr>
            <w:tcW w:w="262" w:type="pct"/>
            <w:tcBorders>
              <w:top w:val="nil"/>
              <w:left w:val="single" w:sz="8" w:space="0" w:color="auto"/>
              <w:bottom w:val="single" w:sz="8" w:space="0" w:color="auto"/>
              <w:right w:val="single" w:sz="8" w:space="0" w:color="auto"/>
            </w:tcBorders>
            <w:noWrap/>
            <w:vAlign w:val="center"/>
            <w:hideMark/>
          </w:tcPr>
          <w:p w14:paraId="3ABC9FB7"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SO1</w:t>
            </w:r>
          </w:p>
        </w:tc>
        <w:tc>
          <w:tcPr>
            <w:tcW w:w="247" w:type="pct"/>
            <w:tcBorders>
              <w:top w:val="nil"/>
              <w:left w:val="nil"/>
              <w:bottom w:val="single" w:sz="8" w:space="0" w:color="auto"/>
              <w:right w:val="single" w:sz="8" w:space="0" w:color="auto"/>
            </w:tcBorders>
            <w:noWrap/>
            <w:vAlign w:val="center"/>
            <w:hideMark/>
          </w:tcPr>
          <w:p w14:paraId="7147FBC1"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GO</w:t>
            </w:r>
          </w:p>
        </w:tc>
        <w:tc>
          <w:tcPr>
            <w:tcW w:w="564" w:type="pct"/>
            <w:tcBorders>
              <w:top w:val="nil"/>
              <w:left w:val="nil"/>
              <w:bottom w:val="single" w:sz="8" w:space="0" w:color="auto"/>
              <w:right w:val="single" w:sz="8" w:space="0" w:color="auto"/>
            </w:tcBorders>
            <w:vAlign w:val="center"/>
            <w:hideMark/>
          </w:tcPr>
          <w:p w14:paraId="719217DE" w14:textId="77777777" w:rsidR="003C7D3C" w:rsidRPr="00D4396B" w:rsidRDefault="003C7D3C" w:rsidP="003C7D3C">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Effectiveness score </w:t>
            </w:r>
            <w:r w:rsidRPr="00D4396B">
              <w:rPr>
                <w:rFonts w:eastAsia="Times New Roman"/>
                <w:noProof/>
                <w:color w:val="000000"/>
                <w:sz w:val="14"/>
                <w:szCs w:val="14"/>
                <w:lang w:val="en-US" w:eastAsia="de-DE"/>
              </w:rPr>
              <w:br/>
              <w:t>= average SO1+GO</w:t>
            </w:r>
          </w:p>
        </w:tc>
        <w:tc>
          <w:tcPr>
            <w:tcW w:w="430" w:type="pct"/>
            <w:tcBorders>
              <w:top w:val="single" w:sz="8" w:space="0" w:color="auto"/>
              <w:left w:val="nil"/>
              <w:bottom w:val="single" w:sz="8" w:space="0" w:color="auto"/>
              <w:right w:val="single" w:sz="8" w:space="0" w:color="auto"/>
            </w:tcBorders>
            <w:noWrap/>
            <w:vAlign w:val="center"/>
            <w:hideMark/>
          </w:tcPr>
          <w:p w14:paraId="0CAA8A20" w14:textId="77777777" w:rsidR="003C7D3C" w:rsidRPr="00D4396B" w:rsidRDefault="003C7D3C" w:rsidP="003C7D3C">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w:t>
            </w:r>
          </w:p>
        </w:tc>
        <w:tc>
          <w:tcPr>
            <w:tcW w:w="335" w:type="pct"/>
            <w:tcBorders>
              <w:top w:val="nil"/>
              <w:left w:val="nil"/>
              <w:bottom w:val="single" w:sz="8" w:space="0" w:color="auto"/>
              <w:right w:val="single" w:sz="8" w:space="0" w:color="auto"/>
            </w:tcBorders>
            <w:noWrap/>
            <w:vAlign w:val="center"/>
            <w:hideMark/>
          </w:tcPr>
          <w:p w14:paraId="0581A573"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Internal</w:t>
            </w:r>
          </w:p>
        </w:tc>
        <w:tc>
          <w:tcPr>
            <w:tcW w:w="358" w:type="pct"/>
            <w:tcBorders>
              <w:top w:val="nil"/>
              <w:left w:val="nil"/>
              <w:bottom w:val="single" w:sz="8" w:space="0" w:color="auto"/>
              <w:right w:val="single" w:sz="8" w:space="0" w:color="auto"/>
            </w:tcBorders>
            <w:noWrap/>
            <w:vAlign w:val="center"/>
            <w:hideMark/>
          </w:tcPr>
          <w:p w14:paraId="59B4EC9D"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External</w:t>
            </w:r>
          </w:p>
        </w:tc>
        <w:tc>
          <w:tcPr>
            <w:tcW w:w="445" w:type="pct"/>
            <w:tcBorders>
              <w:top w:val="nil"/>
              <w:left w:val="nil"/>
              <w:bottom w:val="single" w:sz="8" w:space="0" w:color="auto"/>
              <w:right w:val="single" w:sz="8" w:space="0" w:color="auto"/>
            </w:tcBorders>
            <w:vAlign w:val="center"/>
            <w:hideMark/>
          </w:tcPr>
          <w:p w14:paraId="0CE639F3" w14:textId="77777777" w:rsidR="003C7D3C" w:rsidRPr="00D4396B" w:rsidRDefault="003C7D3C" w:rsidP="003C7D3C">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Coherence score </w:t>
            </w:r>
            <w:r w:rsidRPr="00D4396B">
              <w:rPr>
                <w:rFonts w:eastAsia="Times New Roman"/>
                <w:noProof/>
                <w:color w:val="000000"/>
                <w:sz w:val="14"/>
                <w:szCs w:val="14"/>
                <w:lang w:val="en-US" w:eastAsia="de-DE"/>
              </w:rPr>
              <w:br/>
              <w:t>= average Internal+ External</w:t>
            </w:r>
          </w:p>
        </w:tc>
        <w:tc>
          <w:tcPr>
            <w:tcW w:w="731" w:type="pct"/>
            <w:tcBorders>
              <w:top w:val="single" w:sz="8" w:space="0" w:color="auto"/>
              <w:left w:val="nil"/>
              <w:bottom w:val="single" w:sz="8" w:space="0" w:color="auto"/>
              <w:right w:val="single" w:sz="8" w:space="0" w:color="auto"/>
            </w:tcBorders>
            <w:vAlign w:val="center"/>
            <w:hideMark/>
          </w:tcPr>
          <w:p w14:paraId="7749DCDE"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Effectiveness = 0.5</w:t>
            </w:r>
            <w:r w:rsidRPr="00D4396B">
              <w:rPr>
                <w:rFonts w:eastAsia="Times New Roman"/>
                <w:noProof/>
                <w:color w:val="000000"/>
                <w:sz w:val="14"/>
                <w:szCs w:val="14"/>
                <w:lang w:val="de-DE" w:eastAsia="de-DE"/>
              </w:rPr>
              <w:br/>
              <w:t>Efficiency = 0.3</w:t>
            </w:r>
            <w:r w:rsidRPr="00D4396B">
              <w:rPr>
                <w:rFonts w:eastAsia="Times New Roman"/>
                <w:noProof/>
                <w:color w:val="000000"/>
                <w:sz w:val="14"/>
                <w:szCs w:val="14"/>
                <w:lang w:val="de-DE" w:eastAsia="de-DE"/>
              </w:rPr>
              <w:br/>
              <w:t>Coherence = 0.2</w:t>
            </w:r>
          </w:p>
        </w:tc>
      </w:tr>
      <w:tr w:rsidR="00D219ED" w:rsidRPr="00D4396B" w14:paraId="3EF157BD" w14:textId="77777777" w:rsidTr="00EC7FDD">
        <w:trPr>
          <w:trHeight w:val="278"/>
        </w:trPr>
        <w:tc>
          <w:tcPr>
            <w:tcW w:w="1629" w:type="pct"/>
            <w:tcBorders>
              <w:top w:val="nil"/>
              <w:left w:val="single" w:sz="8" w:space="0" w:color="auto"/>
              <w:bottom w:val="single" w:sz="8" w:space="0" w:color="auto"/>
              <w:right w:val="nil"/>
            </w:tcBorders>
            <w:noWrap/>
            <w:vAlign w:val="bottom"/>
            <w:hideMark/>
          </w:tcPr>
          <w:p w14:paraId="29845ABA" w14:textId="55D62B50" w:rsidR="003C7D3C" w:rsidRPr="00D4396B" w:rsidRDefault="003C7D3C" w:rsidP="003C7D3C">
            <w:pPr>
              <w:spacing w:after="0"/>
              <w:jc w:val="left"/>
              <w:rPr>
                <w:rFonts w:eastAsia="Times New Roman"/>
                <w:noProof/>
                <w:color w:val="000000"/>
                <w:sz w:val="14"/>
                <w:szCs w:val="14"/>
                <w:lang w:val="de-DE" w:eastAsia="de-DE"/>
              </w:rPr>
            </w:pPr>
            <w:r w:rsidRPr="00D4396B">
              <w:rPr>
                <w:rFonts w:eastAsia="Times New Roman"/>
                <w:noProof/>
                <w:color w:val="000000"/>
                <w:sz w:val="14"/>
                <w:szCs w:val="14"/>
                <w:lang w:val="de-DE" w:eastAsia="de-DE"/>
              </w:rPr>
              <w:t>B</w:t>
            </w:r>
            <w:r w:rsidR="00FE24E5" w:rsidRPr="00D4396B">
              <w:rPr>
                <w:rFonts w:eastAsia="Times New Roman"/>
                <w:noProof/>
                <w:color w:val="000000"/>
                <w:sz w:val="14"/>
                <w:szCs w:val="14"/>
                <w:lang w:val="de-DE" w:eastAsia="de-DE"/>
              </w:rPr>
              <w:t>.</w:t>
            </w:r>
            <w:r w:rsidRPr="00D4396B">
              <w:rPr>
                <w:rFonts w:eastAsia="Times New Roman"/>
                <w:noProof/>
                <w:color w:val="000000"/>
                <w:sz w:val="14"/>
                <w:szCs w:val="14"/>
                <w:lang w:val="de-DE" w:eastAsia="de-DE"/>
              </w:rPr>
              <w:t>PO1 (i.a, ii.a)</w:t>
            </w:r>
          </w:p>
        </w:tc>
        <w:tc>
          <w:tcPr>
            <w:tcW w:w="262" w:type="pct"/>
            <w:tcBorders>
              <w:top w:val="nil"/>
              <w:left w:val="single" w:sz="8" w:space="0" w:color="auto"/>
              <w:bottom w:val="single" w:sz="8" w:space="0" w:color="auto"/>
              <w:right w:val="single" w:sz="8" w:space="0" w:color="auto"/>
            </w:tcBorders>
            <w:noWrap/>
            <w:vAlign w:val="center"/>
            <w:hideMark/>
          </w:tcPr>
          <w:p w14:paraId="55994C9D"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0.25</w:t>
            </w:r>
          </w:p>
        </w:tc>
        <w:tc>
          <w:tcPr>
            <w:tcW w:w="247" w:type="pct"/>
            <w:tcBorders>
              <w:top w:val="nil"/>
              <w:left w:val="nil"/>
              <w:bottom w:val="single" w:sz="8" w:space="0" w:color="auto"/>
              <w:right w:val="single" w:sz="8" w:space="0" w:color="auto"/>
            </w:tcBorders>
            <w:noWrap/>
            <w:vAlign w:val="center"/>
            <w:hideMark/>
          </w:tcPr>
          <w:p w14:paraId="751D01F7"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0.25</w:t>
            </w:r>
          </w:p>
        </w:tc>
        <w:tc>
          <w:tcPr>
            <w:tcW w:w="564" w:type="pct"/>
            <w:tcBorders>
              <w:top w:val="nil"/>
              <w:left w:val="nil"/>
              <w:bottom w:val="single" w:sz="8" w:space="0" w:color="auto"/>
              <w:right w:val="single" w:sz="8" w:space="0" w:color="auto"/>
            </w:tcBorders>
            <w:noWrap/>
            <w:vAlign w:val="center"/>
            <w:hideMark/>
          </w:tcPr>
          <w:p w14:paraId="74E16640"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0.25</w:t>
            </w:r>
          </w:p>
        </w:tc>
        <w:tc>
          <w:tcPr>
            <w:tcW w:w="430" w:type="pct"/>
            <w:tcBorders>
              <w:top w:val="nil"/>
              <w:left w:val="nil"/>
              <w:bottom w:val="single" w:sz="8" w:space="0" w:color="auto"/>
              <w:right w:val="single" w:sz="8" w:space="0" w:color="auto"/>
            </w:tcBorders>
            <w:noWrap/>
            <w:vAlign w:val="center"/>
            <w:hideMark/>
          </w:tcPr>
          <w:p w14:paraId="061C9978"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0.25</w:t>
            </w:r>
          </w:p>
        </w:tc>
        <w:tc>
          <w:tcPr>
            <w:tcW w:w="335" w:type="pct"/>
            <w:tcBorders>
              <w:top w:val="nil"/>
              <w:left w:val="nil"/>
              <w:bottom w:val="single" w:sz="8" w:space="0" w:color="auto"/>
              <w:right w:val="single" w:sz="8" w:space="0" w:color="auto"/>
            </w:tcBorders>
            <w:noWrap/>
            <w:vAlign w:val="center"/>
            <w:hideMark/>
          </w:tcPr>
          <w:p w14:paraId="12383995"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358" w:type="pct"/>
            <w:tcBorders>
              <w:top w:val="nil"/>
              <w:left w:val="nil"/>
              <w:bottom w:val="single" w:sz="8" w:space="0" w:color="auto"/>
              <w:right w:val="single" w:sz="8" w:space="0" w:color="auto"/>
            </w:tcBorders>
            <w:noWrap/>
            <w:vAlign w:val="center"/>
            <w:hideMark/>
          </w:tcPr>
          <w:p w14:paraId="1205CA52" w14:textId="709738D3"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w:t>
            </w:r>
            <w:r w:rsidR="00A87B0F">
              <w:rPr>
                <w:rFonts w:eastAsia="Times New Roman"/>
                <w:noProof/>
                <w:color w:val="000000"/>
                <w:sz w:val="14"/>
                <w:szCs w:val="14"/>
                <w:lang w:val="de-DE" w:eastAsia="de-DE"/>
              </w:rPr>
              <w:t>2</w:t>
            </w:r>
            <w:r w:rsidRPr="00D4396B">
              <w:rPr>
                <w:rFonts w:eastAsia="Times New Roman"/>
                <w:noProof/>
                <w:color w:val="000000"/>
                <w:sz w:val="14"/>
                <w:szCs w:val="14"/>
                <w:lang w:val="de-DE" w:eastAsia="de-DE"/>
              </w:rPr>
              <w:t>5</w:t>
            </w:r>
          </w:p>
        </w:tc>
        <w:tc>
          <w:tcPr>
            <w:tcW w:w="445" w:type="pct"/>
            <w:tcBorders>
              <w:top w:val="nil"/>
              <w:left w:val="nil"/>
              <w:bottom w:val="single" w:sz="8" w:space="0" w:color="auto"/>
              <w:right w:val="single" w:sz="8" w:space="0" w:color="auto"/>
            </w:tcBorders>
            <w:noWrap/>
            <w:vAlign w:val="center"/>
            <w:hideMark/>
          </w:tcPr>
          <w:p w14:paraId="032F6051" w14:textId="6D311706"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w:t>
            </w:r>
            <w:r w:rsidR="00846BFB">
              <w:rPr>
                <w:rFonts w:eastAsia="Times New Roman"/>
                <w:noProof/>
                <w:color w:val="000000"/>
                <w:sz w:val="14"/>
                <w:szCs w:val="14"/>
                <w:lang w:val="de-DE" w:eastAsia="de-DE"/>
              </w:rPr>
              <w:t>38</w:t>
            </w:r>
          </w:p>
        </w:tc>
        <w:tc>
          <w:tcPr>
            <w:tcW w:w="731" w:type="pct"/>
            <w:tcBorders>
              <w:top w:val="nil"/>
              <w:left w:val="nil"/>
              <w:bottom w:val="single" w:sz="8" w:space="0" w:color="auto"/>
              <w:right w:val="single" w:sz="8" w:space="0" w:color="auto"/>
            </w:tcBorders>
            <w:noWrap/>
            <w:vAlign w:val="center"/>
            <w:hideMark/>
          </w:tcPr>
          <w:p w14:paraId="4B8EC390" w14:textId="7DC38136"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w:t>
            </w:r>
            <w:r w:rsidR="00E10232">
              <w:rPr>
                <w:rFonts w:eastAsia="Times New Roman"/>
                <w:noProof/>
                <w:color w:val="000000"/>
                <w:sz w:val="14"/>
                <w:szCs w:val="14"/>
                <w:lang w:val="de-DE" w:eastAsia="de-DE"/>
              </w:rPr>
              <w:t>28</w:t>
            </w:r>
          </w:p>
        </w:tc>
      </w:tr>
      <w:tr w:rsidR="00D219ED" w:rsidRPr="00D4396B" w14:paraId="1CB91C62" w14:textId="77777777" w:rsidTr="00EC7FDD">
        <w:trPr>
          <w:trHeight w:val="278"/>
        </w:trPr>
        <w:tc>
          <w:tcPr>
            <w:tcW w:w="1629" w:type="pct"/>
            <w:tcBorders>
              <w:top w:val="nil"/>
              <w:left w:val="single" w:sz="8" w:space="0" w:color="auto"/>
              <w:bottom w:val="single" w:sz="8" w:space="0" w:color="auto"/>
              <w:right w:val="nil"/>
            </w:tcBorders>
            <w:noWrap/>
            <w:vAlign w:val="bottom"/>
            <w:hideMark/>
          </w:tcPr>
          <w:p w14:paraId="4BBFB1C5" w14:textId="1FFACE90" w:rsidR="003C7D3C" w:rsidRPr="00D4396B" w:rsidRDefault="003C7D3C" w:rsidP="003C7D3C">
            <w:pPr>
              <w:spacing w:after="0"/>
              <w:jc w:val="left"/>
              <w:rPr>
                <w:rFonts w:eastAsia="Times New Roman"/>
                <w:noProof/>
                <w:color w:val="000000"/>
                <w:sz w:val="14"/>
                <w:szCs w:val="14"/>
                <w:lang w:eastAsia="de-DE"/>
              </w:rPr>
            </w:pPr>
            <w:r w:rsidRPr="00D4396B">
              <w:rPr>
                <w:rFonts w:eastAsia="Times New Roman"/>
                <w:noProof/>
                <w:color w:val="000000"/>
                <w:sz w:val="14"/>
                <w:szCs w:val="14"/>
                <w:lang w:eastAsia="de-DE"/>
              </w:rPr>
              <w:t>B</w:t>
            </w:r>
            <w:r w:rsidR="00FE24E5" w:rsidRPr="00D4396B">
              <w:rPr>
                <w:rFonts w:eastAsia="Times New Roman"/>
                <w:noProof/>
                <w:color w:val="000000"/>
                <w:sz w:val="14"/>
                <w:szCs w:val="14"/>
                <w:lang w:eastAsia="de-DE"/>
              </w:rPr>
              <w:t>.</w:t>
            </w:r>
            <w:r w:rsidRPr="00D4396B">
              <w:rPr>
                <w:rFonts w:eastAsia="Times New Roman"/>
                <w:noProof/>
                <w:color w:val="000000"/>
                <w:sz w:val="14"/>
                <w:szCs w:val="14"/>
                <w:lang w:eastAsia="de-DE"/>
              </w:rPr>
              <w:t>PO2 (i.b, ii.b, iii)</w:t>
            </w:r>
          </w:p>
        </w:tc>
        <w:tc>
          <w:tcPr>
            <w:tcW w:w="262" w:type="pct"/>
            <w:tcBorders>
              <w:top w:val="nil"/>
              <w:left w:val="single" w:sz="8" w:space="0" w:color="auto"/>
              <w:bottom w:val="single" w:sz="8" w:space="0" w:color="auto"/>
              <w:right w:val="single" w:sz="8" w:space="0" w:color="auto"/>
            </w:tcBorders>
            <w:noWrap/>
            <w:vAlign w:val="center"/>
            <w:hideMark/>
          </w:tcPr>
          <w:p w14:paraId="1413B0AE"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247" w:type="pct"/>
            <w:tcBorders>
              <w:top w:val="nil"/>
              <w:left w:val="nil"/>
              <w:bottom w:val="single" w:sz="8" w:space="0" w:color="auto"/>
              <w:right w:val="single" w:sz="8" w:space="0" w:color="auto"/>
            </w:tcBorders>
            <w:noWrap/>
            <w:vAlign w:val="center"/>
            <w:hideMark/>
          </w:tcPr>
          <w:p w14:paraId="526DBC15"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0.67</w:t>
            </w:r>
          </w:p>
        </w:tc>
        <w:tc>
          <w:tcPr>
            <w:tcW w:w="564" w:type="pct"/>
            <w:tcBorders>
              <w:top w:val="nil"/>
              <w:left w:val="nil"/>
              <w:bottom w:val="single" w:sz="8" w:space="0" w:color="auto"/>
              <w:right w:val="single" w:sz="8" w:space="0" w:color="auto"/>
            </w:tcBorders>
            <w:noWrap/>
            <w:vAlign w:val="center"/>
            <w:hideMark/>
          </w:tcPr>
          <w:p w14:paraId="56D5464C"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0.83</w:t>
            </w:r>
          </w:p>
        </w:tc>
        <w:tc>
          <w:tcPr>
            <w:tcW w:w="430" w:type="pct"/>
            <w:tcBorders>
              <w:top w:val="nil"/>
              <w:left w:val="nil"/>
              <w:bottom w:val="single" w:sz="8" w:space="0" w:color="auto"/>
              <w:right w:val="single" w:sz="8" w:space="0" w:color="auto"/>
            </w:tcBorders>
            <w:noWrap/>
            <w:vAlign w:val="center"/>
            <w:hideMark/>
          </w:tcPr>
          <w:p w14:paraId="4EF6B530"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1.17</w:t>
            </w:r>
          </w:p>
        </w:tc>
        <w:tc>
          <w:tcPr>
            <w:tcW w:w="335" w:type="pct"/>
            <w:tcBorders>
              <w:top w:val="nil"/>
              <w:left w:val="nil"/>
              <w:bottom w:val="single" w:sz="8" w:space="0" w:color="auto"/>
              <w:right w:val="single" w:sz="8" w:space="0" w:color="auto"/>
            </w:tcBorders>
            <w:noWrap/>
            <w:vAlign w:val="center"/>
            <w:hideMark/>
          </w:tcPr>
          <w:p w14:paraId="6991DBA2"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1.67</w:t>
            </w:r>
          </w:p>
        </w:tc>
        <w:tc>
          <w:tcPr>
            <w:tcW w:w="358" w:type="pct"/>
            <w:tcBorders>
              <w:top w:val="nil"/>
              <w:left w:val="nil"/>
              <w:bottom w:val="single" w:sz="8" w:space="0" w:color="auto"/>
              <w:right w:val="single" w:sz="8" w:space="0" w:color="auto"/>
            </w:tcBorders>
            <w:noWrap/>
            <w:vAlign w:val="center"/>
            <w:hideMark/>
          </w:tcPr>
          <w:p w14:paraId="1BA3D6F5"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0.83</w:t>
            </w:r>
          </w:p>
        </w:tc>
        <w:tc>
          <w:tcPr>
            <w:tcW w:w="445" w:type="pct"/>
            <w:tcBorders>
              <w:top w:val="nil"/>
              <w:left w:val="nil"/>
              <w:bottom w:val="single" w:sz="8" w:space="0" w:color="auto"/>
              <w:right w:val="single" w:sz="8" w:space="0" w:color="auto"/>
            </w:tcBorders>
            <w:noWrap/>
            <w:vAlign w:val="center"/>
            <w:hideMark/>
          </w:tcPr>
          <w:p w14:paraId="777A2734"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1.25</w:t>
            </w:r>
          </w:p>
        </w:tc>
        <w:tc>
          <w:tcPr>
            <w:tcW w:w="731" w:type="pct"/>
            <w:tcBorders>
              <w:top w:val="nil"/>
              <w:left w:val="nil"/>
              <w:bottom w:val="single" w:sz="8" w:space="0" w:color="auto"/>
              <w:right w:val="single" w:sz="8" w:space="0" w:color="auto"/>
            </w:tcBorders>
            <w:noWrap/>
            <w:vAlign w:val="center"/>
            <w:hideMark/>
          </w:tcPr>
          <w:p w14:paraId="243EEA8E"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1.02</w:t>
            </w:r>
          </w:p>
        </w:tc>
      </w:tr>
      <w:tr w:rsidR="001276A5" w:rsidRPr="00D4396B" w14:paraId="4CA04E9E" w14:textId="77777777" w:rsidTr="00EC7FDD">
        <w:trPr>
          <w:trHeight w:val="278"/>
        </w:trPr>
        <w:tc>
          <w:tcPr>
            <w:tcW w:w="1629" w:type="pct"/>
            <w:tcBorders>
              <w:top w:val="nil"/>
              <w:left w:val="single" w:sz="8" w:space="0" w:color="auto"/>
              <w:bottom w:val="single" w:sz="8" w:space="0" w:color="auto"/>
              <w:right w:val="nil"/>
            </w:tcBorders>
            <w:noWrap/>
            <w:vAlign w:val="bottom"/>
            <w:hideMark/>
          </w:tcPr>
          <w:p w14:paraId="0482AA6E" w14:textId="6797D501" w:rsidR="003C7D3C" w:rsidRPr="00D4396B" w:rsidRDefault="003C7D3C" w:rsidP="003C7D3C">
            <w:pPr>
              <w:spacing w:after="0"/>
              <w:jc w:val="left"/>
              <w:rPr>
                <w:rFonts w:eastAsia="Times New Roman"/>
                <w:noProof/>
                <w:color w:val="000000"/>
                <w:sz w:val="14"/>
                <w:szCs w:val="14"/>
                <w:lang w:eastAsia="de-DE"/>
              </w:rPr>
            </w:pPr>
            <w:r w:rsidRPr="00D4396B">
              <w:rPr>
                <w:rFonts w:eastAsia="Times New Roman"/>
                <w:noProof/>
                <w:color w:val="000000"/>
                <w:sz w:val="14"/>
                <w:szCs w:val="14"/>
                <w:lang w:eastAsia="de-DE"/>
              </w:rPr>
              <w:t>B</w:t>
            </w:r>
            <w:r w:rsidR="00FE24E5" w:rsidRPr="00D4396B">
              <w:rPr>
                <w:rFonts w:eastAsia="Times New Roman"/>
                <w:noProof/>
                <w:color w:val="000000"/>
                <w:sz w:val="14"/>
                <w:szCs w:val="14"/>
                <w:lang w:eastAsia="de-DE"/>
              </w:rPr>
              <w:t>.</w:t>
            </w:r>
            <w:r w:rsidRPr="00D4396B">
              <w:rPr>
                <w:rFonts w:eastAsia="Times New Roman"/>
                <w:noProof/>
                <w:color w:val="000000"/>
                <w:sz w:val="14"/>
                <w:szCs w:val="14"/>
                <w:lang w:eastAsia="de-DE"/>
              </w:rPr>
              <w:t>PO3 (i.b, ii.b, iii, iv)</w:t>
            </w:r>
          </w:p>
        </w:tc>
        <w:tc>
          <w:tcPr>
            <w:tcW w:w="262" w:type="pct"/>
            <w:tcBorders>
              <w:top w:val="nil"/>
              <w:left w:val="single" w:sz="8" w:space="0" w:color="auto"/>
              <w:bottom w:val="single" w:sz="8" w:space="0" w:color="auto"/>
              <w:right w:val="single" w:sz="8" w:space="0" w:color="auto"/>
            </w:tcBorders>
            <w:noWrap/>
            <w:vAlign w:val="center"/>
            <w:hideMark/>
          </w:tcPr>
          <w:p w14:paraId="23D0F4BC"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1.13</w:t>
            </w:r>
          </w:p>
        </w:tc>
        <w:tc>
          <w:tcPr>
            <w:tcW w:w="247" w:type="pct"/>
            <w:tcBorders>
              <w:top w:val="nil"/>
              <w:left w:val="nil"/>
              <w:bottom w:val="single" w:sz="8" w:space="0" w:color="auto"/>
              <w:right w:val="single" w:sz="8" w:space="0" w:color="auto"/>
            </w:tcBorders>
            <w:noWrap/>
            <w:vAlign w:val="center"/>
            <w:hideMark/>
          </w:tcPr>
          <w:p w14:paraId="2249A1AC"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0.88</w:t>
            </w:r>
          </w:p>
        </w:tc>
        <w:tc>
          <w:tcPr>
            <w:tcW w:w="564" w:type="pct"/>
            <w:tcBorders>
              <w:top w:val="nil"/>
              <w:left w:val="nil"/>
              <w:bottom w:val="single" w:sz="8" w:space="0" w:color="auto"/>
              <w:right w:val="single" w:sz="8" w:space="0" w:color="auto"/>
            </w:tcBorders>
            <w:noWrap/>
            <w:vAlign w:val="center"/>
            <w:hideMark/>
          </w:tcPr>
          <w:p w14:paraId="7DCC00FF"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430" w:type="pct"/>
            <w:tcBorders>
              <w:top w:val="nil"/>
              <w:left w:val="nil"/>
              <w:bottom w:val="single" w:sz="8" w:space="0" w:color="auto"/>
              <w:right w:val="single" w:sz="8" w:space="0" w:color="auto"/>
            </w:tcBorders>
            <w:noWrap/>
            <w:vAlign w:val="center"/>
            <w:hideMark/>
          </w:tcPr>
          <w:p w14:paraId="164F3BB6"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1.38</w:t>
            </w:r>
          </w:p>
        </w:tc>
        <w:tc>
          <w:tcPr>
            <w:tcW w:w="335" w:type="pct"/>
            <w:tcBorders>
              <w:top w:val="nil"/>
              <w:left w:val="nil"/>
              <w:bottom w:val="single" w:sz="8" w:space="0" w:color="auto"/>
              <w:right w:val="single" w:sz="8" w:space="0" w:color="auto"/>
            </w:tcBorders>
            <w:noWrap/>
            <w:vAlign w:val="center"/>
            <w:hideMark/>
          </w:tcPr>
          <w:p w14:paraId="78B27F5E"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1.63</w:t>
            </w:r>
          </w:p>
        </w:tc>
        <w:tc>
          <w:tcPr>
            <w:tcW w:w="358" w:type="pct"/>
            <w:tcBorders>
              <w:top w:val="nil"/>
              <w:left w:val="nil"/>
              <w:bottom w:val="single" w:sz="8" w:space="0" w:color="auto"/>
              <w:right w:val="single" w:sz="8" w:space="0" w:color="auto"/>
            </w:tcBorders>
            <w:noWrap/>
            <w:vAlign w:val="center"/>
            <w:hideMark/>
          </w:tcPr>
          <w:p w14:paraId="72CD3993"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0.88</w:t>
            </w:r>
          </w:p>
        </w:tc>
        <w:tc>
          <w:tcPr>
            <w:tcW w:w="445" w:type="pct"/>
            <w:tcBorders>
              <w:top w:val="nil"/>
              <w:left w:val="nil"/>
              <w:bottom w:val="single" w:sz="8" w:space="0" w:color="auto"/>
              <w:right w:val="single" w:sz="8" w:space="0" w:color="auto"/>
            </w:tcBorders>
            <w:noWrap/>
            <w:vAlign w:val="center"/>
            <w:hideMark/>
          </w:tcPr>
          <w:p w14:paraId="4626A321" w14:textId="77777777" w:rsidR="003C7D3C" w:rsidRPr="00D4396B" w:rsidRDefault="003C7D3C" w:rsidP="003C7D3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1.25</w:t>
            </w:r>
          </w:p>
        </w:tc>
        <w:tc>
          <w:tcPr>
            <w:tcW w:w="731" w:type="pct"/>
            <w:tcBorders>
              <w:top w:val="single" w:sz="8" w:space="0" w:color="auto"/>
              <w:left w:val="single" w:sz="8" w:space="0" w:color="auto"/>
              <w:bottom w:val="single" w:sz="8" w:space="0" w:color="auto"/>
              <w:right w:val="single" w:sz="4" w:space="0" w:color="auto"/>
            </w:tcBorders>
            <w:shd w:val="clear" w:color="000000" w:fill="DAF2D0"/>
            <w:vAlign w:val="center"/>
            <w:hideMark/>
          </w:tcPr>
          <w:p w14:paraId="534D0406" w14:textId="77777777" w:rsidR="003C7D3C" w:rsidRPr="00D4396B" w:rsidRDefault="003C7D3C" w:rsidP="003C7D3C">
            <w:pPr>
              <w:spacing w:after="0"/>
              <w:jc w:val="center"/>
              <w:rPr>
                <w:rFonts w:eastAsia="Times New Roman"/>
                <w:noProof/>
                <w:sz w:val="14"/>
                <w:szCs w:val="14"/>
                <w:lang w:val="de-DE" w:eastAsia="de-DE"/>
              </w:rPr>
            </w:pPr>
            <w:r w:rsidRPr="00D4396B">
              <w:rPr>
                <w:rFonts w:eastAsia="Times New Roman"/>
                <w:noProof/>
                <w:sz w:val="14"/>
                <w:szCs w:val="14"/>
                <w:lang w:val="de-DE" w:eastAsia="de-DE"/>
              </w:rPr>
              <w:t>1.16</w:t>
            </w:r>
          </w:p>
        </w:tc>
      </w:tr>
    </w:tbl>
    <w:p w14:paraId="2056E0F0" w14:textId="07268D2F" w:rsidR="1780FE41" w:rsidRPr="00D4396B" w:rsidRDefault="1780FE41" w:rsidP="000C3545">
      <w:pPr>
        <w:spacing w:after="0"/>
        <w:rPr>
          <w:rFonts w:eastAsia="Times New Roman"/>
          <w:noProof/>
        </w:rPr>
      </w:pPr>
    </w:p>
    <w:p w14:paraId="00E29FA3" w14:textId="709B7E87" w:rsidR="48DF6A82" w:rsidRPr="00D4396B" w:rsidRDefault="48DF6A82" w:rsidP="000F169A">
      <w:pPr>
        <w:pStyle w:val="ListParagraph"/>
        <w:numPr>
          <w:ilvl w:val="0"/>
          <w:numId w:val="7"/>
        </w:numPr>
        <w:spacing w:after="120"/>
        <w:ind w:left="567" w:hanging="567"/>
        <w:contextualSpacing w:val="0"/>
        <w:rPr>
          <w:rFonts w:eastAsia="Times New Roman"/>
          <w:b/>
          <w:i/>
          <w:noProof/>
          <w:u w:val="single"/>
        </w:rPr>
      </w:pPr>
      <w:r w:rsidRPr="00D4396B">
        <w:rPr>
          <w:rFonts w:eastAsia="Times New Roman"/>
          <w:b/>
          <w:bCs/>
          <w:i/>
          <w:iCs/>
          <w:noProof/>
          <w:u w:val="single"/>
        </w:rPr>
        <w:t>Options in intervention area C</w:t>
      </w:r>
    </w:p>
    <w:p w14:paraId="100C1E24" w14:textId="4709D38A" w:rsidR="48DF6A82" w:rsidRPr="00D4396B" w:rsidRDefault="705ECC02" w:rsidP="003B0D3B">
      <w:pPr>
        <w:spacing w:after="120"/>
        <w:rPr>
          <w:rFonts w:eastAsia="Times New Roman"/>
          <w:noProof/>
        </w:rPr>
      </w:pPr>
      <w:r w:rsidRPr="00D4396B">
        <w:rPr>
          <w:rFonts w:eastAsia="Times New Roman"/>
          <w:b/>
          <w:bCs/>
          <w:noProof/>
        </w:rPr>
        <w:t>C.</w:t>
      </w:r>
      <w:r w:rsidR="0EA5AEC4" w:rsidRPr="00D4396B">
        <w:rPr>
          <w:rFonts w:eastAsia="Times New Roman"/>
          <w:b/>
          <w:bCs/>
          <w:noProof/>
        </w:rPr>
        <w:t>PO1:</w:t>
      </w:r>
      <w:r w:rsidR="0EA5AEC4" w:rsidRPr="00D4396B">
        <w:rPr>
          <w:rFonts w:eastAsia="Times New Roman"/>
          <w:noProof/>
          <w:color w:val="000000" w:themeColor="text1"/>
        </w:rPr>
        <w:t xml:space="preserve"> T</w:t>
      </w:r>
      <w:r w:rsidR="0EA5AEC4" w:rsidRPr="00D4396B">
        <w:rPr>
          <w:rFonts w:eastAsia="Times New Roman"/>
          <w:noProof/>
        </w:rPr>
        <w:t xml:space="preserve">he scale of the impacts of this non legislative option </w:t>
      </w:r>
      <w:r w:rsidR="00B75024">
        <w:rPr>
          <w:rFonts w:eastAsia="Times New Roman"/>
          <w:noProof/>
        </w:rPr>
        <w:t xml:space="preserve">to revise the </w:t>
      </w:r>
      <w:r w:rsidR="00EE6815">
        <w:rPr>
          <w:rFonts w:eastAsia="Times New Roman"/>
          <w:noProof/>
        </w:rPr>
        <w:t xml:space="preserve">allocation of responsibilities between governance bodies </w:t>
      </w:r>
      <w:r w:rsidR="0EA5AEC4" w:rsidRPr="00D4396B">
        <w:rPr>
          <w:rFonts w:eastAsia="Times New Roman"/>
          <w:noProof/>
        </w:rPr>
        <w:t xml:space="preserve">would not notably differ from those already being taken under the baseline scenario. The institutional framework would </w:t>
      </w:r>
      <w:r w:rsidR="1756861F" w:rsidRPr="00D4396B">
        <w:rPr>
          <w:rFonts w:eastAsia="Times New Roman"/>
          <w:noProof/>
        </w:rPr>
        <w:t xml:space="preserve">remain </w:t>
      </w:r>
      <w:r w:rsidR="0EA5AEC4" w:rsidRPr="00D4396B">
        <w:rPr>
          <w:rFonts w:eastAsia="Times New Roman"/>
          <w:noProof/>
        </w:rPr>
        <w:t xml:space="preserve">the same and </w:t>
      </w:r>
      <w:r w:rsidR="0EA5AEC4" w:rsidRPr="00D4396B">
        <w:rPr>
          <w:rFonts w:eastAsia="Times New Roman"/>
          <w:noProof/>
          <w:color w:val="000000" w:themeColor="text1"/>
        </w:rPr>
        <w:t xml:space="preserve">the focus would mainly be to encourage the reduction of </w:t>
      </w:r>
      <w:r w:rsidR="2D4DDA72" w:rsidRPr="00D4396B">
        <w:rPr>
          <w:rFonts w:eastAsia="Times New Roman"/>
          <w:noProof/>
          <w:color w:val="000000" w:themeColor="text1"/>
        </w:rPr>
        <w:t xml:space="preserve">the </w:t>
      </w:r>
      <w:r w:rsidR="1756861F" w:rsidRPr="00D4396B">
        <w:rPr>
          <w:rFonts w:eastAsia="Times New Roman"/>
          <w:noProof/>
          <w:color w:val="000000" w:themeColor="text1"/>
        </w:rPr>
        <w:t xml:space="preserve">College’s </w:t>
      </w:r>
      <w:r w:rsidR="009F05DC">
        <w:rPr>
          <w:rFonts w:eastAsia="Times New Roman"/>
          <w:noProof/>
          <w:color w:val="000000" w:themeColor="text1"/>
        </w:rPr>
        <w:t xml:space="preserve">administrative </w:t>
      </w:r>
      <w:r w:rsidR="0EA5AEC4" w:rsidRPr="00D4396B">
        <w:rPr>
          <w:rFonts w:eastAsia="Times New Roman"/>
          <w:noProof/>
          <w:color w:val="000000" w:themeColor="text1"/>
        </w:rPr>
        <w:t xml:space="preserve">work and </w:t>
      </w:r>
      <w:r w:rsidR="009F05DC">
        <w:rPr>
          <w:rFonts w:eastAsia="Times New Roman"/>
          <w:noProof/>
          <w:color w:val="000000" w:themeColor="text1"/>
        </w:rPr>
        <w:t>to</w:t>
      </w:r>
      <w:r w:rsidR="0EA5AEC4" w:rsidRPr="00D4396B">
        <w:rPr>
          <w:rFonts w:eastAsia="Times New Roman"/>
          <w:noProof/>
          <w:color w:val="000000" w:themeColor="text1"/>
        </w:rPr>
        <w:t xml:space="preserve"> </w:t>
      </w:r>
      <w:r w:rsidR="00BA4693">
        <w:rPr>
          <w:rFonts w:eastAsia="Times New Roman"/>
          <w:noProof/>
          <w:color w:val="000000" w:themeColor="text1"/>
        </w:rPr>
        <w:t xml:space="preserve">select NMs with better </w:t>
      </w:r>
      <w:r w:rsidR="0EA5AEC4" w:rsidRPr="00D4396B">
        <w:rPr>
          <w:rFonts w:eastAsia="Times New Roman"/>
          <w:noProof/>
          <w:color w:val="000000" w:themeColor="text1"/>
        </w:rPr>
        <w:t xml:space="preserve">managerial skills. The </w:t>
      </w:r>
      <w:r w:rsidR="00CD7DA3">
        <w:rPr>
          <w:rFonts w:eastAsia="Times New Roman"/>
          <w:noProof/>
          <w:color w:val="000000" w:themeColor="text1"/>
        </w:rPr>
        <w:t>positive</w:t>
      </w:r>
      <w:r w:rsidR="0EA5AEC4" w:rsidRPr="00D4396B">
        <w:rPr>
          <w:rFonts w:eastAsia="Times New Roman"/>
          <w:noProof/>
          <w:color w:val="000000" w:themeColor="text1"/>
        </w:rPr>
        <w:t xml:space="preserve"> impact </w:t>
      </w:r>
      <w:r w:rsidR="00047CE4">
        <w:rPr>
          <w:rFonts w:eastAsia="Times New Roman"/>
          <w:noProof/>
          <w:color w:val="000000" w:themeColor="text1"/>
        </w:rPr>
        <w:t>on the effectiveness of the Agency</w:t>
      </w:r>
      <w:r w:rsidR="0EA5AEC4" w:rsidRPr="00D4396B">
        <w:rPr>
          <w:rFonts w:eastAsia="Times New Roman"/>
          <w:noProof/>
          <w:color w:val="000000" w:themeColor="text1"/>
        </w:rPr>
        <w:t xml:space="preserve"> would consequently be </w:t>
      </w:r>
      <w:r w:rsidR="00CD7DA3">
        <w:rPr>
          <w:rFonts w:eastAsia="Times New Roman"/>
          <w:noProof/>
          <w:color w:val="000000" w:themeColor="text1"/>
        </w:rPr>
        <w:t xml:space="preserve">rather </w:t>
      </w:r>
      <w:r w:rsidR="0EA5AEC4" w:rsidRPr="00D4396B">
        <w:rPr>
          <w:rFonts w:eastAsia="Times New Roman"/>
          <w:noProof/>
          <w:color w:val="000000" w:themeColor="text1"/>
        </w:rPr>
        <w:t xml:space="preserve">low. </w:t>
      </w:r>
      <w:r w:rsidR="1756861F" w:rsidRPr="00D4396B">
        <w:rPr>
          <w:rFonts w:eastAsia="Times New Roman"/>
          <w:noProof/>
          <w:color w:val="000000" w:themeColor="text1"/>
        </w:rPr>
        <w:t>T</w:t>
      </w:r>
      <w:r w:rsidR="0EA5AEC4" w:rsidRPr="00D4396B">
        <w:rPr>
          <w:rFonts w:eastAsia="Times New Roman"/>
          <w:noProof/>
          <w:color w:val="000000" w:themeColor="text1"/>
        </w:rPr>
        <w:t xml:space="preserve">he working culture of the agency, especially members of national desks coming from </w:t>
      </w:r>
      <w:r w:rsidR="150B9961" w:rsidRPr="00D4396B">
        <w:rPr>
          <w:rFonts w:eastAsia="Times New Roman"/>
          <w:noProof/>
          <w:color w:val="000000" w:themeColor="text1"/>
        </w:rPr>
        <w:t>national</w:t>
      </w:r>
      <w:r w:rsidR="0EA5AEC4" w:rsidRPr="00D4396B">
        <w:rPr>
          <w:rFonts w:eastAsia="Times New Roman"/>
          <w:noProof/>
          <w:color w:val="000000" w:themeColor="text1"/>
        </w:rPr>
        <w:t xml:space="preserve"> judiciary, is </w:t>
      </w:r>
      <w:r w:rsidR="56AECD4E" w:rsidRPr="00D4396B">
        <w:rPr>
          <w:rFonts w:eastAsia="Times New Roman"/>
          <w:noProof/>
          <w:color w:val="000000" w:themeColor="text1"/>
        </w:rPr>
        <w:t>unlikely</w:t>
      </w:r>
      <w:r w:rsidR="0EA5AEC4" w:rsidRPr="00D4396B">
        <w:rPr>
          <w:rFonts w:eastAsia="Times New Roman"/>
          <w:noProof/>
          <w:color w:val="000000" w:themeColor="text1"/>
        </w:rPr>
        <w:t xml:space="preserve"> to change </w:t>
      </w:r>
      <w:r w:rsidR="00E72137">
        <w:rPr>
          <w:rFonts w:eastAsia="Times New Roman"/>
          <w:noProof/>
          <w:color w:val="000000" w:themeColor="text1"/>
        </w:rPr>
        <w:t xml:space="preserve">significantly </w:t>
      </w:r>
      <w:r w:rsidR="0EA5AEC4" w:rsidRPr="00D4396B">
        <w:rPr>
          <w:rFonts w:eastAsia="Times New Roman"/>
          <w:noProof/>
          <w:color w:val="000000" w:themeColor="text1"/>
        </w:rPr>
        <w:t>with soft rules and guidelines</w:t>
      </w:r>
      <w:r w:rsidR="00E72137">
        <w:rPr>
          <w:rFonts w:eastAsia="Times New Roman"/>
          <w:noProof/>
          <w:color w:val="000000" w:themeColor="text1"/>
        </w:rPr>
        <w:t xml:space="preserve">, but again a </w:t>
      </w:r>
      <w:r w:rsidR="00861206">
        <w:rPr>
          <w:rFonts w:eastAsia="Times New Roman"/>
          <w:noProof/>
          <w:color w:val="000000" w:themeColor="text1"/>
        </w:rPr>
        <w:t>minor improvement to coherence could be anticipated</w:t>
      </w:r>
      <w:r w:rsidR="0EA5AEC4" w:rsidRPr="00D4396B">
        <w:rPr>
          <w:rFonts w:eastAsia="Times New Roman"/>
          <w:noProof/>
          <w:color w:val="000000" w:themeColor="text1"/>
        </w:rPr>
        <w:t>.</w:t>
      </w:r>
      <w:r w:rsidR="00E324A3">
        <w:rPr>
          <w:rFonts w:eastAsia="Times New Roman"/>
          <w:noProof/>
          <w:color w:val="000000" w:themeColor="text1"/>
        </w:rPr>
        <w:t xml:space="preserve"> </w:t>
      </w:r>
      <w:r w:rsidR="00C4527A" w:rsidRPr="00D4396B">
        <w:rPr>
          <w:rStyle w:val="FootnoteReference"/>
          <w:rFonts w:eastAsia="Times New Roman"/>
          <w:noProof/>
          <w:color w:val="000000" w:themeColor="text1"/>
        </w:rPr>
        <w:footnoteReference w:id="125"/>
      </w:r>
    </w:p>
    <w:p w14:paraId="7EB1DEDD" w14:textId="70BAE003" w:rsidR="48DF6A82" w:rsidRPr="00D4396B" w:rsidRDefault="648D00C8" w:rsidP="003B0D3B">
      <w:pPr>
        <w:spacing w:after="120"/>
        <w:rPr>
          <w:rFonts w:eastAsia="Times New Roman"/>
          <w:noProof/>
        </w:rPr>
      </w:pPr>
      <w:r w:rsidRPr="00D4396B">
        <w:rPr>
          <w:rFonts w:eastAsia="Times New Roman"/>
          <w:noProof/>
        </w:rPr>
        <w:t>Nevertheless, some targeted me</w:t>
      </w:r>
      <w:r w:rsidR="7BA3188C" w:rsidRPr="00D4396B">
        <w:rPr>
          <w:rFonts w:eastAsia="Times New Roman"/>
          <w:noProof/>
        </w:rPr>
        <w:t>a</w:t>
      </w:r>
      <w:r w:rsidRPr="00D4396B">
        <w:rPr>
          <w:rFonts w:eastAsia="Times New Roman"/>
          <w:noProof/>
        </w:rPr>
        <w:t>sures would lead to positive effects, i.e. the deletion of the College working groups</w:t>
      </w:r>
      <w:r w:rsidR="103BCD61" w:rsidRPr="00D4396B">
        <w:rPr>
          <w:rFonts w:eastAsia="Times New Roman"/>
          <w:noProof/>
        </w:rPr>
        <w:t xml:space="preserve"> –</w:t>
      </w:r>
      <w:r w:rsidRPr="00D4396B">
        <w:rPr>
          <w:rFonts w:eastAsia="Times New Roman"/>
          <w:noProof/>
        </w:rPr>
        <w:t xml:space="preserve"> </w:t>
      </w:r>
      <w:r w:rsidR="103BCD61" w:rsidRPr="00D4396B">
        <w:rPr>
          <w:rFonts w:eastAsia="Times New Roman"/>
          <w:noProof/>
        </w:rPr>
        <w:t xml:space="preserve">which </w:t>
      </w:r>
      <w:r w:rsidRPr="00D4396B">
        <w:rPr>
          <w:rFonts w:eastAsia="Times New Roman"/>
          <w:noProof/>
        </w:rPr>
        <w:t>create redundancies</w:t>
      </w:r>
      <w:r w:rsidR="24092DA0" w:rsidRPr="00D4396B">
        <w:rPr>
          <w:rFonts w:eastAsia="Times New Roman"/>
          <w:noProof/>
        </w:rPr>
        <w:t xml:space="preserve"> and duplication</w:t>
      </w:r>
      <w:r w:rsidRPr="00D4396B">
        <w:rPr>
          <w:rFonts w:eastAsia="Times New Roman"/>
          <w:noProof/>
        </w:rPr>
        <w:t xml:space="preserve"> with the work of the Eurojust staff</w:t>
      </w:r>
      <w:r w:rsidR="103BCD61" w:rsidRPr="00D4396B">
        <w:rPr>
          <w:rFonts w:eastAsia="Times New Roman"/>
          <w:noProof/>
        </w:rPr>
        <w:t xml:space="preserve"> –</w:t>
      </w:r>
      <w:r w:rsidR="2DECF7B5" w:rsidRPr="00D4396B">
        <w:rPr>
          <w:rFonts w:eastAsia="Times New Roman"/>
          <w:noProof/>
        </w:rPr>
        <w:t xml:space="preserve"> </w:t>
      </w:r>
      <w:r w:rsidR="00A92CE6">
        <w:rPr>
          <w:rFonts w:eastAsia="Times New Roman"/>
          <w:noProof/>
        </w:rPr>
        <w:t>would</w:t>
      </w:r>
      <w:r w:rsidR="00A92CE6" w:rsidRPr="00D4396B">
        <w:rPr>
          <w:rFonts w:eastAsia="Times New Roman"/>
          <w:noProof/>
        </w:rPr>
        <w:t xml:space="preserve"> </w:t>
      </w:r>
      <w:r w:rsidR="2DECF7B5" w:rsidRPr="00D4396B">
        <w:rPr>
          <w:rFonts w:eastAsia="Times New Roman"/>
          <w:noProof/>
        </w:rPr>
        <w:t>impact positively the agency’s efficiency.</w:t>
      </w:r>
    </w:p>
    <w:p w14:paraId="63843F95" w14:textId="165B8AB7" w:rsidR="48DF6A82" w:rsidRPr="00D4396B" w:rsidRDefault="00FE24E5" w:rsidP="003B0D3B">
      <w:pPr>
        <w:spacing w:after="120"/>
        <w:rPr>
          <w:rFonts w:eastAsia="Times New Roman"/>
          <w:noProof/>
        </w:rPr>
      </w:pPr>
      <w:r w:rsidRPr="00D4396B">
        <w:rPr>
          <w:rFonts w:eastAsia="Times New Roman"/>
          <w:b/>
          <w:bCs/>
          <w:noProof/>
        </w:rPr>
        <w:t>C.</w:t>
      </w:r>
      <w:r w:rsidR="01D0EE0F" w:rsidRPr="00D4396B">
        <w:rPr>
          <w:rFonts w:eastAsia="Times New Roman"/>
          <w:b/>
          <w:bCs/>
          <w:noProof/>
        </w:rPr>
        <w:t xml:space="preserve">PO2: </w:t>
      </w:r>
      <w:r w:rsidR="01D0EE0F" w:rsidRPr="00D4396B">
        <w:rPr>
          <w:rFonts w:eastAsia="Times New Roman"/>
          <w:noProof/>
        </w:rPr>
        <w:t xml:space="preserve">This option </w:t>
      </w:r>
      <w:r w:rsidR="00B2140D">
        <w:rPr>
          <w:rFonts w:eastAsia="Times New Roman"/>
          <w:noProof/>
        </w:rPr>
        <w:t>would</w:t>
      </w:r>
      <w:r w:rsidR="00B2140D" w:rsidRPr="00D4396B">
        <w:rPr>
          <w:rFonts w:eastAsia="Times New Roman"/>
          <w:noProof/>
        </w:rPr>
        <w:t xml:space="preserve"> </w:t>
      </w:r>
      <w:r w:rsidR="01D0EE0F" w:rsidRPr="00D4396B">
        <w:rPr>
          <w:rFonts w:eastAsia="Times New Roman"/>
          <w:noProof/>
        </w:rPr>
        <w:t xml:space="preserve">not introduce any new governance bodies, </w:t>
      </w:r>
      <w:r w:rsidR="10FE75A4" w:rsidRPr="00D4396B">
        <w:rPr>
          <w:rFonts w:eastAsia="Times New Roman"/>
          <w:noProof/>
        </w:rPr>
        <w:t xml:space="preserve">but </w:t>
      </w:r>
      <w:r w:rsidR="616760E8" w:rsidRPr="00D4396B">
        <w:rPr>
          <w:rFonts w:eastAsia="Times New Roman"/>
          <w:noProof/>
        </w:rPr>
        <w:t>would</w:t>
      </w:r>
      <w:r w:rsidR="01D0EE0F" w:rsidRPr="00D4396B">
        <w:rPr>
          <w:rFonts w:eastAsia="Times New Roman"/>
          <w:noProof/>
        </w:rPr>
        <w:t xml:space="preserve"> clarify and rebalance the roles and responsibilities of the College and the </w:t>
      </w:r>
      <w:r w:rsidR="002E643E">
        <w:rPr>
          <w:rFonts w:eastAsia="Times New Roman"/>
          <w:noProof/>
        </w:rPr>
        <w:t>EB</w:t>
      </w:r>
      <w:r w:rsidR="01D0EE0F" w:rsidRPr="00D4396B">
        <w:rPr>
          <w:rFonts w:eastAsia="Times New Roman"/>
          <w:noProof/>
        </w:rPr>
        <w:t xml:space="preserve">, as well as the position of the </w:t>
      </w:r>
      <w:r w:rsidR="01D0EE0F" w:rsidRPr="695A3424">
        <w:rPr>
          <w:rFonts w:eastAsia="Times New Roman"/>
          <w:noProof/>
        </w:rPr>
        <w:t>A</w:t>
      </w:r>
      <w:r w:rsidR="12419963" w:rsidRPr="695A3424">
        <w:rPr>
          <w:rFonts w:eastAsia="Times New Roman"/>
          <w:noProof/>
        </w:rPr>
        <w:t>D</w:t>
      </w:r>
      <w:r w:rsidR="01D0EE0F" w:rsidRPr="00D4396B">
        <w:rPr>
          <w:rFonts w:eastAsia="Times New Roman"/>
          <w:noProof/>
        </w:rPr>
        <w:t xml:space="preserve">. </w:t>
      </w:r>
    </w:p>
    <w:p w14:paraId="3C6BAAB5" w14:textId="50E53E6F" w:rsidR="00C66D56" w:rsidRPr="00D4396B" w:rsidRDefault="00C4596A" w:rsidP="003B0D3B">
      <w:pPr>
        <w:spacing w:after="120"/>
        <w:rPr>
          <w:rFonts w:eastAsia="Times New Roman"/>
          <w:noProof/>
        </w:rPr>
      </w:pPr>
      <w:r>
        <w:rPr>
          <w:rFonts w:eastAsia="Times New Roman"/>
          <w:noProof/>
        </w:rPr>
        <w:t>B</w:t>
      </w:r>
      <w:r w:rsidRPr="00D4396B">
        <w:rPr>
          <w:rFonts w:eastAsia="Times New Roman"/>
          <w:noProof/>
        </w:rPr>
        <w:t>y ensuring that the tasks taken on by each body are clear and adequately reflect the respective purposes of each body and the skills, knowledge and experience of their members</w:t>
      </w:r>
      <w:r w:rsidR="002048D5">
        <w:rPr>
          <w:rFonts w:eastAsia="Times New Roman"/>
          <w:noProof/>
        </w:rPr>
        <w:t>, r</w:t>
      </w:r>
      <w:r w:rsidR="4966D417" w:rsidRPr="00D4396B">
        <w:rPr>
          <w:rFonts w:eastAsia="Times New Roman"/>
          <w:noProof/>
        </w:rPr>
        <w:t xml:space="preserve">epetitive </w:t>
      </w:r>
      <w:r w:rsidR="2E679274" w:rsidRPr="00D4396B">
        <w:rPr>
          <w:rFonts w:eastAsia="Times New Roman"/>
          <w:noProof/>
        </w:rPr>
        <w:t xml:space="preserve">discussions between bodies </w:t>
      </w:r>
      <w:r w:rsidR="002048D5">
        <w:rPr>
          <w:rFonts w:eastAsia="Times New Roman"/>
          <w:noProof/>
        </w:rPr>
        <w:t>should be reduced</w:t>
      </w:r>
      <w:r w:rsidR="2E679274" w:rsidRPr="00D4396B">
        <w:rPr>
          <w:rFonts w:eastAsia="Times New Roman"/>
          <w:noProof/>
        </w:rPr>
        <w:t xml:space="preserve"> and the effectiveness and efficiency of decision-making</w:t>
      </w:r>
      <w:r w:rsidR="00D72196">
        <w:rPr>
          <w:rFonts w:eastAsia="Times New Roman"/>
          <w:noProof/>
        </w:rPr>
        <w:t xml:space="preserve"> should </w:t>
      </w:r>
      <w:r w:rsidR="002048D5">
        <w:rPr>
          <w:rFonts w:eastAsia="Times New Roman"/>
          <w:noProof/>
        </w:rPr>
        <w:t>improve</w:t>
      </w:r>
      <w:r w:rsidR="2E679274" w:rsidRPr="00D4396B">
        <w:rPr>
          <w:rFonts w:eastAsia="Times New Roman"/>
          <w:noProof/>
        </w:rPr>
        <w:t xml:space="preserve">. </w:t>
      </w:r>
      <w:r w:rsidR="002048D5">
        <w:rPr>
          <w:rFonts w:eastAsia="Times New Roman"/>
          <w:noProof/>
        </w:rPr>
        <w:t>T</w:t>
      </w:r>
      <w:r w:rsidR="2E679274" w:rsidRPr="00D4396B">
        <w:rPr>
          <w:rFonts w:eastAsia="Times New Roman"/>
          <w:noProof/>
        </w:rPr>
        <w:t>he AD should take on responsibilities for which they are best placed.</w:t>
      </w:r>
      <w:r w:rsidR="0319405B" w:rsidRPr="00D4396B">
        <w:rPr>
          <w:rFonts w:eastAsia="Times New Roman"/>
          <w:noProof/>
        </w:rPr>
        <w:t xml:space="preserve"> </w:t>
      </w:r>
      <w:r w:rsidR="0A4DE773" w:rsidRPr="00D4396B">
        <w:rPr>
          <w:rFonts w:eastAsia="Times New Roman"/>
          <w:noProof/>
        </w:rPr>
        <w:t xml:space="preserve">The new role of the </w:t>
      </w:r>
      <w:r w:rsidR="002E643E">
        <w:rPr>
          <w:rFonts w:eastAsia="Times New Roman"/>
          <w:noProof/>
        </w:rPr>
        <w:t>EB</w:t>
      </w:r>
      <w:r w:rsidR="0A4DE773" w:rsidRPr="00D4396B">
        <w:rPr>
          <w:rFonts w:eastAsia="Times New Roman"/>
          <w:noProof/>
        </w:rPr>
        <w:t xml:space="preserve"> </w:t>
      </w:r>
      <w:r w:rsidR="00860FB0">
        <w:rPr>
          <w:rFonts w:eastAsia="Times New Roman"/>
          <w:noProof/>
        </w:rPr>
        <w:t>sh</w:t>
      </w:r>
      <w:r w:rsidR="0A4DE773" w:rsidRPr="00D4396B">
        <w:rPr>
          <w:rFonts w:eastAsia="Times New Roman"/>
          <w:noProof/>
        </w:rPr>
        <w:t>ould lead to reductions in the time spent by NMs dealing with administrative matters in the College, thereby allowing them to reallocate their time to higher</w:t>
      </w:r>
      <w:r w:rsidR="006736AC" w:rsidRPr="00D4396B">
        <w:rPr>
          <w:rFonts w:eastAsia="Times New Roman"/>
          <w:noProof/>
        </w:rPr>
        <w:t>-</w:t>
      </w:r>
      <w:r w:rsidR="0A4DE773" w:rsidRPr="00D4396B">
        <w:rPr>
          <w:rFonts w:eastAsia="Times New Roman"/>
          <w:noProof/>
        </w:rPr>
        <w:t>value</w:t>
      </w:r>
      <w:r w:rsidR="006736AC" w:rsidRPr="00D4396B">
        <w:rPr>
          <w:rFonts w:eastAsia="Times New Roman"/>
          <w:noProof/>
        </w:rPr>
        <w:t xml:space="preserve"> operational </w:t>
      </w:r>
      <w:r w:rsidR="0A4DE773" w:rsidRPr="00D4396B">
        <w:rPr>
          <w:rFonts w:eastAsia="Times New Roman"/>
          <w:noProof/>
        </w:rPr>
        <w:t>activities.</w:t>
      </w:r>
    </w:p>
    <w:p w14:paraId="433F2E5F" w14:textId="460079A9" w:rsidR="48DF6A82" w:rsidRPr="00D4396B" w:rsidRDefault="00C92C88" w:rsidP="003B0D3B">
      <w:pPr>
        <w:spacing w:after="120"/>
        <w:rPr>
          <w:rFonts w:eastAsia="Times New Roman"/>
          <w:noProof/>
        </w:rPr>
      </w:pPr>
      <w:r>
        <w:rPr>
          <w:rFonts w:eastAsia="Times New Roman"/>
          <w:noProof/>
        </w:rPr>
        <w:t>By removing</w:t>
      </w:r>
      <w:r w:rsidR="7192CD15" w:rsidRPr="00D4396B">
        <w:rPr>
          <w:rFonts w:eastAsia="Times New Roman"/>
          <w:noProof/>
        </w:rPr>
        <w:t xml:space="preserve"> overlaps in administrative tasks between the College and the EB </w:t>
      </w:r>
      <w:r w:rsidR="2411F5A2" w:rsidRPr="00D4396B">
        <w:rPr>
          <w:rFonts w:eastAsia="Times New Roman"/>
          <w:noProof/>
        </w:rPr>
        <w:t xml:space="preserve">through </w:t>
      </w:r>
      <w:r w:rsidR="1B7E4261" w:rsidRPr="00D4396B">
        <w:rPr>
          <w:rFonts w:eastAsia="Times New Roman"/>
          <w:noProof/>
        </w:rPr>
        <w:t xml:space="preserve">the definition of </w:t>
      </w:r>
      <w:r w:rsidR="7192CD15" w:rsidRPr="00D4396B">
        <w:rPr>
          <w:rFonts w:eastAsia="Times New Roman"/>
          <w:noProof/>
        </w:rPr>
        <w:t xml:space="preserve">a clear division of responsibilities in this area, </w:t>
      </w:r>
      <w:r w:rsidR="2466AC94" w:rsidRPr="00D4396B">
        <w:rPr>
          <w:rFonts w:eastAsia="Times New Roman"/>
          <w:noProof/>
        </w:rPr>
        <w:t>it is estimated that the FTE per N</w:t>
      </w:r>
      <w:r w:rsidR="00E737EC" w:rsidRPr="00D4396B">
        <w:rPr>
          <w:rFonts w:eastAsia="Times New Roman"/>
          <w:noProof/>
        </w:rPr>
        <w:t>M</w:t>
      </w:r>
      <w:r w:rsidR="2466AC94" w:rsidRPr="00D4396B">
        <w:rPr>
          <w:rFonts w:eastAsia="Times New Roman"/>
          <w:noProof/>
        </w:rPr>
        <w:t xml:space="preserve"> associated with preparing for and participating in College meetings will </w:t>
      </w:r>
      <w:r w:rsidR="2411F5A2" w:rsidRPr="00D4396B">
        <w:rPr>
          <w:rFonts w:eastAsia="Times New Roman"/>
          <w:noProof/>
        </w:rPr>
        <w:t>reduce by</w:t>
      </w:r>
      <w:r w:rsidR="2466AC94" w:rsidRPr="00D4396B">
        <w:rPr>
          <w:rFonts w:eastAsia="Times New Roman"/>
          <w:noProof/>
        </w:rPr>
        <w:t xml:space="preserve"> 30%.</w:t>
      </w:r>
      <w:r w:rsidR="033425FF" w:rsidRPr="00D4396B">
        <w:rPr>
          <w:rFonts w:eastAsia="Times New Roman"/>
          <w:noProof/>
        </w:rPr>
        <w:t xml:space="preserve"> This time saving for operational matters and the reduction of overlaps in activities is expected to provide a positive impact on efficiency. More broadly, the global effectiveness of the governance model will be improved.</w:t>
      </w:r>
      <w:r w:rsidR="00C4527A" w:rsidRPr="00D4396B">
        <w:rPr>
          <w:rStyle w:val="FootnoteReference"/>
          <w:rFonts w:eastAsia="Times New Roman"/>
          <w:noProof/>
        </w:rPr>
        <w:footnoteReference w:id="126"/>
      </w:r>
    </w:p>
    <w:p w14:paraId="6A17EB22" w14:textId="622EA001" w:rsidR="48DF6A82" w:rsidRPr="00D4396B" w:rsidRDefault="4F9431D5" w:rsidP="003B0D3B">
      <w:pPr>
        <w:spacing w:after="120"/>
        <w:rPr>
          <w:rFonts w:eastAsia="Times New Roman"/>
          <w:noProof/>
        </w:rPr>
      </w:pPr>
      <w:r w:rsidRPr="00D4396B">
        <w:rPr>
          <w:rFonts w:eastAsia="Times New Roman"/>
          <w:noProof/>
        </w:rPr>
        <w:t>R</w:t>
      </w:r>
      <w:r w:rsidR="768CADBB" w:rsidRPr="00D4396B">
        <w:rPr>
          <w:rFonts w:eastAsia="Times New Roman"/>
          <w:noProof/>
        </w:rPr>
        <w:t xml:space="preserve">egarding the composition of the EB, </w:t>
      </w:r>
      <w:r w:rsidR="24D42D71" w:rsidRPr="00D4396B">
        <w:rPr>
          <w:rFonts w:eastAsia="Times New Roman"/>
          <w:noProof/>
        </w:rPr>
        <w:t>abolishing</w:t>
      </w:r>
      <w:r w:rsidR="768CADBB" w:rsidRPr="00D4396B">
        <w:rPr>
          <w:rFonts w:eastAsia="Times New Roman"/>
          <w:noProof/>
        </w:rPr>
        <w:t xml:space="preserve"> the rotation system</w:t>
      </w:r>
      <w:r w:rsidR="008751DB" w:rsidRPr="00E324A3">
        <w:rPr>
          <w:rStyle w:val="FootnoteReference"/>
          <w:noProof/>
          <w:color w:val="000000" w:themeColor="text1"/>
        </w:rPr>
        <w:footnoteReference w:id="127"/>
      </w:r>
      <w:r w:rsidR="768CADBB" w:rsidRPr="00D878F2">
        <w:rPr>
          <w:rStyle w:val="FootnoteReference"/>
          <w:noProof/>
          <w:color w:val="000000" w:themeColor="text1"/>
        </w:rPr>
        <w:t xml:space="preserve"> </w:t>
      </w:r>
      <w:r w:rsidR="768CADBB" w:rsidRPr="00D4396B">
        <w:rPr>
          <w:rFonts w:eastAsia="Times New Roman"/>
          <w:noProof/>
        </w:rPr>
        <w:t>for the selection of N</w:t>
      </w:r>
      <w:r w:rsidR="44F179DC" w:rsidRPr="00D4396B">
        <w:rPr>
          <w:rFonts w:eastAsia="Times New Roman"/>
          <w:noProof/>
        </w:rPr>
        <w:t>M</w:t>
      </w:r>
      <w:r w:rsidR="768CADBB" w:rsidRPr="00D4396B">
        <w:rPr>
          <w:rFonts w:eastAsia="Times New Roman"/>
          <w:noProof/>
        </w:rPr>
        <w:t xml:space="preserve">s should lead to the selection of </w:t>
      </w:r>
      <w:r w:rsidR="006444B8" w:rsidRPr="00D4396B">
        <w:rPr>
          <w:rFonts w:eastAsia="Times New Roman"/>
          <w:noProof/>
        </w:rPr>
        <w:t>N</w:t>
      </w:r>
      <w:r w:rsidR="768CADBB" w:rsidRPr="00D4396B">
        <w:rPr>
          <w:rFonts w:eastAsia="Times New Roman"/>
          <w:noProof/>
        </w:rPr>
        <w:t xml:space="preserve">Ms with appropriate skills and </w:t>
      </w:r>
      <w:r w:rsidR="081772D5" w:rsidRPr="00D4396B">
        <w:rPr>
          <w:rFonts w:eastAsia="Times New Roman"/>
          <w:noProof/>
        </w:rPr>
        <w:t>higher level of engagement</w:t>
      </w:r>
      <w:r w:rsidR="768CADBB" w:rsidRPr="00D4396B">
        <w:rPr>
          <w:rFonts w:eastAsia="Times New Roman"/>
          <w:noProof/>
        </w:rPr>
        <w:t>, resulting in a more effective and efficient EB</w:t>
      </w:r>
      <w:r w:rsidR="13F5ECA3" w:rsidRPr="00D4396B">
        <w:rPr>
          <w:rFonts w:eastAsia="Times New Roman"/>
          <w:noProof/>
        </w:rPr>
        <w:t>.</w:t>
      </w:r>
      <w:r w:rsidR="7A06ECD0" w:rsidRPr="00D4396B">
        <w:rPr>
          <w:rFonts w:eastAsia="Times New Roman"/>
          <w:noProof/>
        </w:rPr>
        <w:t xml:space="preserve"> Lastly, the shifting of responsibilities</w:t>
      </w:r>
      <w:r w:rsidR="13F29EE7" w:rsidRPr="00D4396B">
        <w:rPr>
          <w:rFonts w:eastAsia="Times New Roman"/>
          <w:noProof/>
        </w:rPr>
        <w:t>,</w:t>
      </w:r>
      <w:r w:rsidR="7A06ECD0" w:rsidRPr="00D4396B">
        <w:rPr>
          <w:rFonts w:eastAsia="Times New Roman"/>
          <w:noProof/>
        </w:rPr>
        <w:t xml:space="preserve"> related to defining strategic priorities</w:t>
      </w:r>
      <w:r w:rsidR="64186067" w:rsidRPr="00D4396B">
        <w:rPr>
          <w:rFonts w:eastAsia="Times New Roman"/>
          <w:noProof/>
        </w:rPr>
        <w:t>,</w:t>
      </w:r>
      <w:r w:rsidR="7A06ECD0" w:rsidRPr="00D4396B">
        <w:rPr>
          <w:rFonts w:eastAsia="Times New Roman"/>
          <w:noProof/>
        </w:rPr>
        <w:t xml:space="preserve"> from the C</w:t>
      </w:r>
      <w:r w:rsidR="002E30D8">
        <w:rPr>
          <w:rFonts w:eastAsia="Times New Roman"/>
          <w:noProof/>
        </w:rPr>
        <w:t>F</w:t>
      </w:r>
      <w:r w:rsidR="7A06ECD0" w:rsidRPr="00D4396B">
        <w:rPr>
          <w:rFonts w:eastAsia="Times New Roman"/>
          <w:noProof/>
        </w:rPr>
        <w:t xml:space="preserve"> would increase the NMs working time devoted to operational tasks</w:t>
      </w:r>
      <w:r w:rsidR="755D0F2F" w:rsidRPr="00D4396B">
        <w:rPr>
          <w:rFonts w:eastAsia="Times New Roman"/>
          <w:noProof/>
        </w:rPr>
        <w:t>.</w:t>
      </w:r>
      <w:r w:rsidR="362E5A79" w:rsidRPr="00D4396B">
        <w:rPr>
          <w:rFonts w:eastAsia="Times New Roman"/>
          <w:noProof/>
        </w:rPr>
        <w:t xml:space="preserve"> With a moderate cost impact, the efficiency and coherence of this mechanism will be </w:t>
      </w:r>
      <w:r w:rsidR="004F7075">
        <w:rPr>
          <w:rFonts w:eastAsia="Times New Roman"/>
          <w:noProof/>
        </w:rPr>
        <w:t>positive</w:t>
      </w:r>
      <w:r w:rsidR="362E5A79" w:rsidRPr="00D4396B">
        <w:rPr>
          <w:rFonts w:eastAsia="Times New Roman"/>
          <w:noProof/>
        </w:rPr>
        <w:t>.</w:t>
      </w:r>
    </w:p>
    <w:p w14:paraId="42DBC894" w14:textId="5246BFBD" w:rsidR="48DF6A82" w:rsidRPr="00D4396B" w:rsidRDefault="00FE24E5" w:rsidP="003B0D3B">
      <w:pPr>
        <w:spacing w:after="120"/>
        <w:rPr>
          <w:rFonts w:eastAsia="Times New Roman"/>
          <w:noProof/>
        </w:rPr>
      </w:pPr>
      <w:r w:rsidRPr="00D4396B">
        <w:rPr>
          <w:rFonts w:eastAsia="Times New Roman"/>
          <w:b/>
          <w:bCs/>
          <w:noProof/>
        </w:rPr>
        <w:t>C.</w:t>
      </w:r>
      <w:r w:rsidR="01D0EE0F" w:rsidRPr="00D4396B">
        <w:rPr>
          <w:rFonts w:eastAsia="Times New Roman"/>
          <w:b/>
          <w:bCs/>
          <w:noProof/>
        </w:rPr>
        <w:t>PO3:</w:t>
      </w:r>
      <w:r w:rsidR="01D0EE0F" w:rsidRPr="00D4396B">
        <w:rPr>
          <w:rFonts w:eastAsia="Times New Roman"/>
          <w:noProof/>
        </w:rPr>
        <w:t xml:space="preserve"> The significant change in the governance and decision-making structures of Eurojust is expected to have a </w:t>
      </w:r>
      <w:r w:rsidR="56A61833" w:rsidRPr="00D4396B">
        <w:rPr>
          <w:rFonts w:eastAsia="Times New Roman"/>
          <w:noProof/>
        </w:rPr>
        <w:t>major</w:t>
      </w:r>
      <w:r w:rsidR="01D0EE0F" w:rsidRPr="00D4396B">
        <w:rPr>
          <w:rFonts w:eastAsia="Times New Roman"/>
          <w:noProof/>
        </w:rPr>
        <w:t xml:space="preserve"> impact. This paradigm shift will increase alignment </w:t>
      </w:r>
      <w:r w:rsidR="316FB66B" w:rsidRPr="00D4396B">
        <w:rPr>
          <w:rFonts w:eastAsia="Times New Roman"/>
          <w:noProof/>
        </w:rPr>
        <w:t xml:space="preserve">with </w:t>
      </w:r>
      <w:r w:rsidR="01D0EE0F" w:rsidRPr="00D4396B">
        <w:rPr>
          <w:rFonts w:eastAsia="Times New Roman"/>
          <w:noProof/>
        </w:rPr>
        <w:t>the</w:t>
      </w:r>
      <w:r w:rsidR="6F8BD0A3" w:rsidRPr="00D4396B">
        <w:rPr>
          <w:rFonts w:eastAsia="Times New Roman"/>
          <w:noProof/>
        </w:rPr>
        <w:t xml:space="preserve"> governance</w:t>
      </w:r>
      <w:r w:rsidR="01D0EE0F" w:rsidRPr="00D4396B">
        <w:rPr>
          <w:rFonts w:eastAsia="Times New Roman"/>
          <w:noProof/>
        </w:rPr>
        <w:t xml:space="preserve"> models of</w:t>
      </w:r>
      <w:r w:rsidR="326541B2" w:rsidRPr="00D4396B">
        <w:rPr>
          <w:rFonts w:eastAsia="Times New Roman"/>
          <w:noProof/>
        </w:rPr>
        <w:t xml:space="preserve"> other</w:t>
      </w:r>
      <w:r w:rsidR="01D0EE0F" w:rsidRPr="00D4396B">
        <w:rPr>
          <w:rFonts w:eastAsia="Times New Roman"/>
          <w:noProof/>
        </w:rPr>
        <w:t xml:space="preserve"> EU agencies</w:t>
      </w:r>
      <w:r w:rsidR="16B23245" w:rsidRPr="00D4396B">
        <w:rPr>
          <w:rFonts w:eastAsia="Times New Roman"/>
          <w:noProof/>
        </w:rPr>
        <w:t xml:space="preserve">, leading to </w:t>
      </w:r>
      <w:r w:rsidR="138F386E" w:rsidRPr="00D4396B">
        <w:rPr>
          <w:rFonts w:eastAsia="Times New Roman"/>
          <w:noProof/>
        </w:rPr>
        <w:t>stronger</w:t>
      </w:r>
      <w:r w:rsidR="16B23245" w:rsidRPr="00D4396B">
        <w:rPr>
          <w:rFonts w:eastAsia="Times New Roman"/>
          <w:noProof/>
        </w:rPr>
        <w:t xml:space="preserve"> </w:t>
      </w:r>
      <w:r w:rsidR="01D0EE0F" w:rsidRPr="00D4396B">
        <w:rPr>
          <w:rFonts w:eastAsia="Times New Roman"/>
          <w:noProof/>
        </w:rPr>
        <w:t xml:space="preserve">coherence. The working time </w:t>
      </w:r>
      <w:r w:rsidR="03D5C0DF" w:rsidRPr="00D4396B">
        <w:rPr>
          <w:rFonts w:eastAsia="Times New Roman"/>
          <w:noProof/>
        </w:rPr>
        <w:t xml:space="preserve">that </w:t>
      </w:r>
      <w:r w:rsidR="01D0EE0F" w:rsidRPr="00D4396B">
        <w:rPr>
          <w:rFonts w:eastAsia="Times New Roman"/>
          <w:noProof/>
        </w:rPr>
        <w:t xml:space="preserve">the College </w:t>
      </w:r>
      <w:r w:rsidR="03D5C0DF" w:rsidRPr="00D4396B">
        <w:rPr>
          <w:rFonts w:eastAsia="Times New Roman"/>
          <w:noProof/>
        </w:rPr>
        <w:t xml:space="preserve">will be able to </w:t>
      </w:r>
      <w:r w:rsidR="01D0EE0F" w:rsidRPr="00D4396B">
        <w:rPr>
          <w:rFonts w:eastAsia="Times New Roman"/>
          <w:noProof/>
        </w:rPr>
        <w:t xml:space="preserve">devote to operational task will </w:t>
      </w:r>
      <w:r w:rsidR="03D5C0DF" w:rsidRPr="00D4396B">
        <w:rPr>
          <w:rFonts w:eastAsia="Times New Roman"/>
          <w:noProof/>
        </w:rPr>
        <w:t xml:space="preserve">increase </w:t>
      </w:r>
      <w:r w:rsidR="01D0EE0F" w:rsidRPr="00D4396B">
        <w:rPr>
          <w:rFonts w:eastAsia="Times New Roman"/>
          <w:noProof/>
        </w:rPr>
        <w:t>substantial</w:t>
      </w:r>
      <w:r w:rsidR="03D5C0DF" w:rsidRPr="00D4396B">
        <w:rPr>
          <w:rFonts w:eastAsia="Times New Roman"/>
          <w:noProof/>
        </w:rPr>
        <w:t>ly</w:t>
      </w:r>
      <w:r w:rsidR="01D0EE0F" w:rsidRPr="00D4396B">
        <w:rPr>
          <w:rFonts w:eastAsia="Times New Roman"/>
          <w:noProof/>
        </w:rPr>
        <w:t xml:space="preserve"> (around </w:t>
      </w:r>
      <w:r w:rsidR="03D5C0DF" w:rsidRPr="00D4396B">
        <w:rPr>
          <w:rFonts w:eastAsia="Times New Roman"/>
          <w:noProof/>
        </w:rPr>
        <w:t>+</w:t>
      </w:r>
      <w:r w:rsidR="01D0EE0F" w:rsidRPr="00D4396B">
        <w:rPr>
          <w:rFonts w:eastAsia="Times New Roman"/>
          <w:noProof/>
        </w:rPr>
        <w:t>40%</w:t>
      </w:r>
      <w:r w:rsidR="6860CD5D" w:rsidRPr="00D4396B">
        <w:rPr>
          <w:rFonts w:eastAsia="Times New Roman"/>
          <w:noProof/>
        </w:rPr>
        <w:t>) and</w:t>
      </w:r>
      <w:r w:rsidR="01D0EE0F" w:rsidRPr="00D4396B">
        <w:rPr>
          <w:rFonts w:eastAsia="Times New Roman"/>
          <w:noProof/>
        </w:rPr>
        <w:t xml:space="preserve"> will consequently have a</w:t>
      </w:r>
      <w:r w:rsidR="03D5C0DF" w:rsidRPr="00D4396B">
        <w:rPr>
          <w:rFonts w:eastAsia="Times New Roman"/>
          <w:noProof/>
        </w:rPr>
        <w:t xml:space="preserve"> significant</w:t>
      </w:r>
      <w:r w:rsidR="01D0EE0F" w:rsidRPr="00D4396B">
        <w:rPr>
          <w:rFonts w:eastAsia="Times New Roman"/>
          <w:noProof/>
        </w:rPr>
        <w:t xml:space="preserve"> impact on the effectiveness </w:t>
      </w:r>
      <w:r w:rsidR="006911BE">
        <w:rPr>
          <w:rFonts w:eastAsia="Times New Roman"/>
          <w:noProof/>
        </w:rPr>
        <w:t xml:space="preserve">in terms </w:t>
      </w:r>
      <w:r w:rsidR="01D0EE0F" w:rsidRPr="00D4396B">
        <w:rPr>
          <w:rFonts w:eastAsia="Times New Roman"/>
          <w:noProof/>
        </w:rPr>
        <w:t xml:space="preserve">of the </w:t>
      </w:r>
      <w:r w:rsidR="006911BE">
        <w:rPr>
          <w:rFonts w:eastAsia="Times New Roman"/>
          <w:noProof/>
        </w:rPr>
        <w:t>contribution to activities at the heart</w:t>
      </w:r>
      <w:r w:rsidR="01D0EE0F" w:rsidRPr="00D4396B">
        <w:rPr>
          <w:rFonts w:eastAsia="Times New Roman"/>
          <w:noProof/>
        </w:rPr>
        <w:t xml:space="preserve"> of the mandate of the agency: support</w:t>
      </w:r>
      <w:r w:rsidR="006911BE">
        <w:rPr>
          <w:rFonts w:eastAsia="Times New Roman"/>
          <w:noProof/>
        </w:rPr>
        <w:t>ing</w:t>
      </w:r>
      <w:r w:rsidR="01D0EE0F" w:rsidRPr="00D4396B">
        <w:rPr>
          <w:rFonts w:eastAsia="Times New Roman"/>
          <w:noProof/>
        </w:rPr>
        <w:t xml:space="preserve"> national authorities to combat serious and cross</w:t>
      </w:r>
      <w:r w:rsidR="003A6836" w:rsidRPr="00D4396B">
        <w:rPr>
          <w:rFonts w:eastAsia="Times New Roman"/>
          <w:noProof/>
        </w:rPr>
        <w:t>-</w:t>
      </w:r>
      <w:r w:rsidR="01D0EE0F" w:rsidRPr="00D4396B">
        <w:rPr>
          <w:rFonts w:eastAsia="Times New Roman"/>
          <w:noProof/>
        </w:rPr>
        <w:t>border crime.</w:t>
      </w:r>
      <w:r w:rsidR="16C3D88D" w:rsidRPr="00D4396B">
        <w:rPr>
          <w:rFonts w:eastAsia="Times New Roman"/>
          <w:noProof/>
          <w:color w:val="000000" w:themeColor="text1"/>
        </w:rPr>
        <w:t xml:space="preserve"> In addition, the </w:t>
      </w:r>
      <w:r w:rsidR="000E6BA8" w:rsidRPr="00D4396B">
        <w:rPr>
          <w:rFonts w:eastAsia="Times New Roman"/>
          <w:noProof/>
          <w:color w:val="000000" w:themeColor="text1"/>
        </w:rPr>
        <w:t xml:space="preserve">two </w:t>
      </w:r>
      <w:r w:rsidR="16C3D88D" w:rsidRPr="00D4396B">
        <w:rPr>
          <w:rFonts w:eastAsia="Times New Roman"/>
          <w:noProof/>
          <w:color w:val="000000" w:themeColor="text1"/>
        </w:rPr>
        <w:t>vice-presidents</w:t>
      </w:r>
      <w:r w:rsidR="16C3D88D" w:rsidRPr="00D4396B">
        <w:rPr>
          <w:rFonts w:eastAsia="Times New Roman"/>
          <w:noProof/>
        </w:rPr>
        <w:t xml:space="preserve"> and </w:t>
      </w:r>
      <w:r w:rsidR="000E6BA8" w:rsidRPr="00D4396B">
        <w:rPr>
          <w:rFonts w:eastAsia="Times New Roman"/>
          <w:noProof/>
        </w:rPr>
        <w:t xml:space="preserve">the two </w:t>
      </w:r>
      <w:r w:rsidR="16C3D88D" w:rsidRPr="21858722">
        <w:rPr>
          <w:rFonts w:eastAsia="Times New Roman"/>
          <w:noProof/>
        </w:rPr>
        <w:t>N</w:t>
      </w:r>
      <w:r w:rsidR="5F5C6E84" w:rsidRPr="21858722">
        <w:rPr>
          <w:rFonts w:eastAsia="Times New Roman"/>
          <w:noProof/>
        </w:rPr>
        <w:t>M</w:t>
      </w:r>
      <w:r w:rsidR="16C3D88D" w:rsidRPr="21858722">
        <w:rPr>
          <w:rFonts w:eastAsia="Times New Roman"/>
          <w:noProof/>
        </w:rPr>
        <w:t>s</w:t>
      </w:r>
      <w:r w:rsidR="002A7B6C">
        <w:rPr>
          <w:rFonts w:eastAsia="Times New Roman"/>
          <w:noProof/>
        </w:rPr>
        <w:t xml:space="preserve"> (appointed</w:t>
      </w:r>
      <w:r w:rsidR="00777EE4">
        <w:rPr>
          <w:rFonts w:eastAsia="Times New Roman"/>
          <w:noProof/>
        </w:rPr>
        <w:t xml:space="preserve"> </w:t>
      </w:r>
      <w:r w:rsidR="002A7B6C">
        <w:rPr>
          <w:rFonts w:eastAsia="Times New Roman"/>
          <w:noProof/>
        </w:rPr>
        <w:t>by a rotation system)</w:t>
      </w:r>
      <w:r w:rsidR="00777EE4">
        <w:rPr>
          <w:rFonts w:eastAsia="Times New Roman"/>
          <w:noProof/>
        </w:rPr>
        <w:t xml:space="preserve"> currently sitting in the EB</w:t>
      </w:r>
      <w:r w:rsidR="00190CB3">
        <w:rPr>
          <w:rFonts w:eastAsia="Times New Roman"/>
          <w:noProof/>
        </w:rPr>
        <w:t xml:space="preserve"> would</w:t>
      </w:r>
      <w:r w:rsidR="16C3D88D" w:rsidRPr="00D4396B">
        <w:rPr>
          <w:rFonts w:eastAsia="Times New Roman"/>
          <w:noProof/>
        </w:rPr>
        <w:t xml:space="preserve"> fully </w:t>
      </w:r>
      <w:r w:rsidR="16C3D88D" w:rsidRPr="00D4396B">
        <w:rPr>
          <w:rFonts w:eastAsia="Times New Roman"/>
          <w:noProof/>
          <w:color w:val="000000" w:themeColor="text1"/>
        </w:rPr>
        <w:t xml:space="preserve">work </w:t>
      </w:r>
      <w:r w:rsidR="26822A25" w:rsidRPr="00D4396B">
        <w:rPr>
          <w:rFonts w:eastAsia="Times New Roman"/>
          <w:noProof/>
          <w:color w:val="000000" w:themeColor="text1"/>
        </w:rPr>
        <w:t xml:space="preserve">on </w:t>
      </w:r>
      <w:r w:rsidR="16C3D88D" w:rsidRPr="00D4396B">
        <w:rPr>
          <w:rFonts w:eastAsia="Times New Roman"/>
          <w:noProof/>
          <w:color w:val="000000" w:themeColor="text1"/>
        </w:rPr>
        <w:t xml:space="preserve">operational </w:t>
      </w:r>
      <w:r w:rsidR="26822A25" w:rsidRPr="00D4396B">
        <w:rPr>
          <w:rFonts w:eastAsia="Times New Roman"/>
          <w:noProof/>
          <w:color w:val="000000" w:themeColor="text1"/>
        </w:rPr>
        <w:t>matters</w:t>
      </w:r>
      <w:r w:rsidR="16C3D88D" w:rsidRPr="00D4396B">
        <w:rPr>
          <w:rFonts w:eastAsia="Times New Roman"/>
          <w:noProof/>
          <w:color w:val="000000" w:themeColor="text1"/>
        </w:rPr>
        <w:t>.</w:t>
      </w:r>
    </w:p>
    <w:p w14:paraId="6210A1B3" w14:textId="6C6FB511" w:rsidR="00E16DF6" w:rsidRDefault="0EA5AEC4" w:rsidP="003B0D3B">
      <w:pPr>
        <w:spacing w:after="120"/>
        <w:rPr>
          <w:rFonts w:eastAsia="Times New Roman"/>
          <w:noProof/>
        </w:rPr>
      </w:pPr>
      <w:r w:rsidRPr="00D4396B">
        <w:rPr>
          <w:rFonts w:eastAsia="Times New Roman"/>
          <w:noProof/>
        </w:rPr>
        <w:t>The introduction of a M</w:t>
      </w:r>
      <w:r w:rsidR="4150871E" w:rsidRPr="00D4396B">
        <w:rPr>
          <w:rFonts w:eastAsia="Times New Roman"/>
          <w:noProof/>
        </w:rPr>
        <w:t>B</w:t>
      </w:r>
      <w:r w:rsidRPr="00D4396B">
        <w:rPr>
          <w:rFonts w:eastAsia="Times New Roman"/>
          <w:noProof/>
        </w:rPr>
        <w:t xml:space="preserve"> would introduce new </w:t>
      </w:r>
      <w:r w:rsidR="002B79E7">
        <w:rPr>
          <w:rFonts w:eastAsia="Times New Roman"/>
          <w:noProof/>
        </w:rPr>
        <w:t xml:space="preserve">moderate </w:t>
      </w:r>
      <w:r w:rsidRPr="00D4396B">
        <w:rPr>
          <w:rFonts w:eastAsia="Times New Roman"/>
          <w:noProof/>
        </w:rPr>
        <w:t xml:space="preserve">costs and time commitments and a new layer in the institutional framework could create and burden: nevertheless, the </w:t>
      </w:r>
      <w:r w:rsidR="007114C5">
        <w:rPr>
          <w:rFonts w:eastAsia="Times New Roman"/>
          <w:noProof/>
        </w:rPr>
        <w:t xml:space="preserve">associated </w:t>
      </w:r>
      <w:r w:rsidRPr="00D4396B">
        <w:rPr>
          <w:rFonts w:eastAsia="Times New Roman"/>
          <w:noProof/>
        </w:rPr>
        <w:t xml:space="preserve">efficiency </w:t>
      </w:r>
      <w:r w:rsidR="31C0907F" w:rsidRPr="00D4396B">
        <w:rPr>
          <w:rFonts w:eastAsia="Times New Roman"/>
          <w:noProof/>
        </w:rPr>
        <w:t xml:space="preserve">gain </w:t>
      </w:r>
      <w:r w:rsidR="000A5A0A">
        <w:rPr>
          <w:rFonts w:eastAsia="Times New Roman"/>
          <w:noProof/>
        </w:rPr>
        <w:t>expected</w:t>
      </w:r>
      <w:r w:rsidR="00402E9F">
        <w:rPr>
          <w:rFonts w:eastAsia="Times New Roman"/>
          <w:noProof/>
        </w:rPr>
        <w:t xml:space="preserve"> (</w:t>
      </w:r>
      <w:r w:rsidR="001C655B">
        <w:rPr>
          <w:rFonts w:eastAsia="Times New Roman"/>
          <w:noProof/>
        </w:rPr>
        <w:t>1.46 FTE p.a.)</w:t>
      </w:r>
      <w:r w:rsidR="31C0907F" w:rsidRPr="00D4396B">
        <w:rPr>
          <w:rFonts w:eastAsia="Times New Roman"/>
          <w:noProof/>
        </w:rPr>
        <w:t xml:space="preserve"> </w:t>
      </w:r>
      <w:r w:rsidRPr="00D4396B">
        <w:rPr>
          <w:rFonts w:eastAsia="Times New Roman"/>
          <w:noProof/>
        </w:rPr>
        <w:t xml:space="preserve">is high due to the time saved for the EB and the College. In addition, the better involvement of Member States, with specific </w:t>
      </w:r>
      <w:r w:rsidR="6A445A78" w:rsidRPr="00D4396B">
        <w:rPr>
          <w:rFonts w:eastAsia="Times New Roman"/>
          <w:noProof/>
        </w:rPr>
        <w:t xml:space="preserve">supervisory </w:t>
      </w:r>
      <w:r w:rsidRPr="00D4396B">
        <w:rPr>
          <w:rFonts w:eastAsia="Times New Roman"/>
          <w:noProof/>
        </w:rPr>
        <w:t xml:space="preserve">skills from representatives, will improve </w:t>
      </w:r>
      <w:r w:rsidR="12A2AB44" w:rsidRPr="00D4396B">
        <w:rPr>
          <w:rFonts w:eastAsia="Times New Roman"/>
          <w:noProof/>
        </w:rPr>
        <w:t xml:space="preserve">oversight and </w:t>
      </w:r>
      <w:r w:rsidRPr="00D4396B">
        <w:rPr>
          <w:rFonts w:eastAsia="Times New Roman"/>
          <w:noProof/>
        </w:rPr>
        <w:t>the qualitative functioning of the agency.</w:t>
      </w:r>
      <w:r w:rsidR="00C4527A" w:rsidRPr="00D4396B">
        <w:rPr>
          <w:rStyle w:val="FootnoteReference"/>
          <w:rFonts w:eastAsia="Times New Roman"/>
          <w:noProof/>
        </w:rPr>
        <w:footnoteReference w:id="128"/>
      </w:r>
    </w:p>
    <w:p w14:paraId="33494632" w14:textId="09714718" w:rsidR="2FC2E8F4" w:rsidRPr="00C23564" w:rsidRDefault="2FC2E8F4" w:rsidP="300D80D8">
      <w:pPr>
        <w:spacing w:after="120"/>
        <w:rPr>
          <w:rFonts w:eastAsia="Times New Roman"/>
          <w:noProof/>
          <w:u w:val="single"/>
        </w:rPr>
      </w:pPr>
      <w:r w:rsidRPr="00C23564">
        <w:rPr>
          <w:rFonts w:eastAsia="Times New Roman"/>
          <w:noProof/>
          <w:u w:val="single"/>
        </w:rPr>
        <w:t xml:space="preserve">Table </w:t>
      </w:r>
      <w:r w:rsidR="001C2582">
        <w:rPr>
          <w:rFonts w:eastAsia="Times New Roman"/>
          <w:noProof/>
          <w:u w:val="single"/>
        </w:rPr>
        <w:t>7</w:t>
      </w:r>
      <w:r w:rsidRPr="00C23564">
        <w:rPr>
          <w:rFonts w:eastAsia="Times New Roman"/>
          <w:noProof/>
          <w:u w:val="single"/>
        </w:rPr>
        <w:t>:</w:t>
      </w:r>
      <w:r w:rsidR="00E324A3">
        <w:rPr>
          <w:rFonts w:eastAsia="Times New Roman"/>
          <w:noProof/>
          <w:u w:val="single"/>
        </w:rPr>
        <w:t xml:space="preserve"> </w:t>
      </w:r>
      <w:r w:rsidR="001C2582" w:rsidRPr="002140B7">
        <w:rPr>
          <w:rFonts w:eastAsia="Times New Roman"/>
          <w:noProof/>
          <w:u w:val="single"/>
        </w:rPr>
        <w:t xml:space="preserve">Impacts of policy option </w:t>
      </w:r>
      <w:r w:rsidR="001C2582">
        <w:rPr>
          <w:rFonts w:eastAsia="Times New Roman"/>
          <w:noProof/>
          <w:u w:val="single"/>
        </w:rPr>
        <w:t>in</w:t>
      </w:r>
      <w:r w:rsidR="001C2582" w:rsidRPr="002140B7">
        <w:rPr>
          <w:rFonts w:eastAsia="Times New Roman"/>
          <w:noProof/>
          <w:u w:val="single"/>
        </w:rPr>
        <w:t xml:space="preserve"> intervention area </w:t>
      </w:r>
      <w:r w:rsidR="001C2582">
        <w:rPr>
          <w:rFonts w:eastAsia="Times New Roman"/>
          <w:noProof/>
          <w:u w:val="single"/>
        </w:rPr>
        <w:t>C</w:t>
      </w:r>
    </w:p>
    <w:tbl>
      <w:tblPr>
        <w:tblW w:w="5000" w:type="pct"/>
        <w:tblCellMar>
          <w:left w:w="70" w:type="dxa"/>
          <w:right w:w="70" w:type="dxa"/>
        </w:tblCellMar>
        <w:tblLook w:val="04A0" w:firstRow="1" w:lastRow="0" w:firstColumn="1" w:lastColumn="0" w:noHBand="0" w:noVBand="1"/>
      </w:tblPr>
      <w:tblGrid>
        <w:gridCol w:w="2801"/>
        <w:gridCol w:w="389"/>
        <w:gridCol w:w="485"/>
        <w:gridCol w:w="970"/>
        <w:gridCol w:w="739"/>
        <w:gridCol w:w="576"/>
        <w:gridCol w:w="616"/>
        <w:gridCol w:w="765"/>
        <w:gridCol w:w="1257"/>
      </w:tblGrid>
      <w:tr w:rsidR="001C467A" w:rsidRPr="00D4396B" w14:paraId="4CA3A868" w14:textId="77777777" w:rsidTr="00C23564">
        <w:trPr>
          <w:trHeight w:val="637"/>
        </w:trPr>
        <w:tc>
          <w:tcPr>
            <w:tcW w:w="1629" w:type="pct"/>
            <w:tcBorders>
              <w:top w:val="single" w:sz="8" w:space="0" w:color="auto"/>
              <w:left w:val="single" w:sz="8" w:space="0" w:color="auto"/>
              <w:bottom w:val="nil"/>
              <w:right w:val="single" w:sz="8" w:space="0" w:color="auto"/>
            </w:tcBorders>
            <w:shd w:val="clear" w:color="auto" w:fill="FFF5EB"/>
            <w:vAlign w:val="center"/>
            <w:hideMark/>
          </w:tcPr>
          <w:p w14:paraId="0753B372" w14:textId="77777777" w:rsidR="0073528F" w:rsidRPr="00D4396B" w:rsidRDefault="0073528F" w:rsidP="0073528F">
            <w:pPr>
              <w:spacing w:after="0"/>
              <w:jc w:val="left"/>
              <w:rPr>
                <w:rFonts w:eastAsia="Times New Roman"/>
                <w:b/>
                <w:bCs/>
                <w:noProof/>
                <w:color w:val="000000"/>
                <w:sz w:val="14"/>
                <w:szCs w:val="14"/>
                <w:lang w:val="en-US" w:eastAsia="de-DE"/>
              </w:rPr>
            </w:pPr>
            <w:r w:rsidRPr="00D4396B">
              <w:rPr>
                <w:rFonts w:eastAsia="Times New Roman"/>
                <w:b/>
                <w:bCs/>
                <w:noProof/>
                <w:color w:val="000000"/>
                <w:sz w:val="14"/>
                <w:szCs w:val="14"/>
                <w:lang w:val="en-US" w:eastAsia="de-DE"/>
              </w:rPr>
              <w:t>C. Establishing a streamlined, coherent and role-clear governance system that accelerates decision-making </w:t>
            </w:r>
          </w:p>
        </w:tc>
        <w:tc>
          <w:tcPr>
            <w:tcW w:w="1072" w:type="pct"/>
            <w:gridSpan w:val="3"/>
            <w:tcBorders>
              <w:top w:val="single" w:sz="8" w:space="0" w:color="auto"/>
              <w:left w:val="nil"/>
              <w:bottom w:val="single" w:sz="8" w:space="0" w:color="auto"/>
              <w:right w:val="single" w:sz="8" w:space="0" w:color="000000" w:themeColor="text1"/>
            </w:tcBorders>
            <w:noWrap/>
            <w:vAlign w:val="center"/>
            <w:hideMark/>
          </w:tcPr>
          <w:p w14:paraId="3117E34C" w14:textId="77777777" w:rsidR="0073528F" w:rsidRPr="00D4396B" w:rsidRDefault="0073528F" w:rsidP="0073528F">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Effectiveness</w:t>
            </w:r>
          </w:p>
        </w:tc>
        <w:tc>
          <w:tcPr>
            <w:tcW w:w="430" w:type="pct"/>
            <w:tcBorders>
              <w:top w:val="single" w:sz="8" w:space="0" w:color="auto"/>
              <w:left w:val="nil"/>
              <w:bottom w:val="nil"/>
              <w:right w:val="single" w:sz="8" w:space="0" w:color="auto"/>
            </w:tcBorders>
            <w:noWrap/>
            <w:vAlign w:val="center"/>
            <w:hideMark/>
          </w:tcPr>
          <w:p w14:paraId="7C77AE00" w14:textId="77777777" w:rsidR="0073528F" w:rsidRPr="00D4396B" w:rsidRDefault="0073528F" w:rsidP="0073528F">
            <w:pPr>
              <w:spacing w:after="0"/>
              <w:jc w:val="left"/>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Efficiency</w:t>
            </w:r>
          </w:p>
        </w:tc>
        <w:tc>
          <w:tcPr>
            <w:tcW w:w="1137" w:type="pct"/>
            <w:gridSpan w:val="3"/>
            <w:tcBorders>
              <w:top w:val="single" w:sz="8" w:space="0" w:color="auto"/>
              <w:left w:val="nil"/>
              <w:bottom w:val="single" w:sz="8" w:space="0" w:color="auto"/>
              <w:right w:val="single" w:sz="8" w:space="0" w:color="000000" w:themeColor="text1"/>
            </w:tcBorders>
            <w:noWrap/>
            <w:vAlign w:val="center"/>
            <w:hideMark/>
          </w:tcPr>
          <w:p w14:paraId="165B3C93" w14:textId="77777777" w:rsidR="0073528F" w:rsidRPr="00D4396B" w:rsidRDefault="0073528F" w:rsidP="0073528F">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Coherence</w:t>
            </w:r>
          </w:p>
        </w:tc>
        <w:tc>
          <w:tcPr>
            <w:tcW w:w="731" w:type="pct"/>
            <w:tcBorders>
              <w:top w:val="single" w:sz="8" w:space="0" w:color="auto"/>
              <w:left w:val="nil"/>
              <w:bottom w:val="nil"/>
              <w:right w:val="single" w:sz="8" w:space="0" w:color="auto"/>
            </w:tcBorders>
            <w:vAlign w:val="center"/>
            <w:hideMark/>
          </w:tcPr>
          <w:p w14:paraId="452F8F92" w14:textId="77777777" w:rsidR="0073528F" w:rsidRPr="00D4396B" w:rsidRDefault="0073528F" w:rsidP="0073528F">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Total criteria score</w:t>
            </w:r>
            <w:r w:rsidRPr="00D4396B">
              <w:rPr>
                <w:rFonts w:eastAsia="Times New Roman"/>
                <w:b/>
                <w:bCs/>
                <w:noProof/>
                <w:color w:val="000000"/>
                <w:sz w:val="14"/>
                <w:szCs w:val="14"/>
                <w:lang w:val="de-DE" w:eastAsia="de-DE"/>
              </w:rPr>
              <w:br/>
              <w:t>Sensitivity 2</w:t>
            </w:r>
          </w:p>
        </w:tc>
      </w:tr>
      <w:tr w:rsidR="00777737" w:rsidRPr="00D4396B" w14:paraId="1766A50C" w14:textId="77777777" w:rsidTr="00C23564">
        <w:trPr>
          <w:trHeight w:val="1100"/>
        </w:trPr>
        <w:tc>
          <w:tcPr>
            <w:tcW w:w="1629" w:type="pct"/>
            <w:tcBorders>
              <w:top w:val="nil"/>
              <w:left w:val="single" w:sz="8" w:space="0" w:color="auto"/>
              <w:bottom w:val="nil"/>
              <w:right w:val="single" w:sz="8" w:space="0" w:color="auto"/>
            </w:tcBorders>
            <w:shd w:val="clear" w:color="auto" w:fill="FFF5EB"/>
            <w:vAlign w:val="center"/>
            <w:hideMark/>
          </w:tcPr>
          <w:p w14:paraId="3D808BDA" w14:textId="77777777" w:rsidR="0073528F" w:rsidRPr="00D4396B" w:rsidRDefault="0073528F" w:rsidP="0073528F">
            <w:pPr>
              <w:spacing w:after="0"/>
              <w:rPr>
                <w:rFonts w:eastAsia="Times New Roman"/>
                <w:i/>
                <w:iCs/>
                <w:noProof/>
                <w:color w:val="000000"/>
                <w:sz w:val="14"/>
                <w:szCs w:val="14"/>
                <w:lang w:val="en-US" w:eastAsia="de-DE"/>
              </w:rPr>
            </w:pPr>
            <w:r w:rsidRPr="00D4396B">
              <w:rPr>
                <w:rFonts w:eastAsia="Times New Roman"/>
                <w:i/>
                <w:iCs/>
                <w:noProof/>
                <w:color w:val="000000"/>
                <w:sz w:val="14"/>
                <w:szCs w:val="14"/>
                <w:lang w:val="en-US" w:eastAsia="de-DE"/>
              </w:rPr>
              <w:t>Addressing problem driver(s): </w:t>
            </w:r>
            <w:r w:rsidRPr="00D4396B">
              <w:rPr>
                <w:rFonts w:eastAsia="Times New Roman"/>
                <w:i/>
                <w:iCs/>
                <w:noProof/>
                <w:color w:val="000000"/>
                <w:sz w:val="14"/>
                <w:szCs w:val="14"/>
                <w:lang w:val="en-US" w:eastAsia="de-DE"/>
              </w:rPr>
              <w:br/>
              <w:t>#4 Lack of clear separation between operational and administrative responsibilities </w:t>
            </w:r>
            <w:r w:rsidRPr="00D4396B">
              <w:rPr>
                <w:rFonts w:eastAsia="Times New Roman"/>
                <w:i/>
                <w:iCs/>
                <w:noProof/>
                <w:color w:val="000000"/>
                <w:sz w:val="14"/>
                <w:szCs w:val="14"/>
                <w:lang w:val="en-US" w:eastAsia="de-DE"/>
              </w:rPr>
              <w:br/>
              <w:t>#5 Complex governance structure and outdated legacy organisational culture </w:t>
            </w:r>
          </w:p>
        </w:tc>
        <w:tc>
          <w:tcPr>
            <w:tcW w:w="226" w:type="pct"/>
            <w:tcBorders>
              <w:top w:val="nil"/>
              <w:left w:val="nil"/>
              <w:bottom w:val="single" w:sz="8" w:space="0" w:color="auto"/>
              <w:right w:val="single" w:sz="8" w:space="0" w:color="auto"/>
            </w:tcBorders>
            <w:noWrap/>
            <w:vAlign w:val="center"/>
            <w:hideMark/>
          </w:tcPr>
          <w:p w14:paraId="0781FD85" w14:textId="77777777" w:rsidR="0073528F" w:rsidRPr="00D4396B" w:rsidRDefault="0073528F" w:rsidP="0073528F">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SO1</w:t>
            </w:r>
          </w:p>
        </w:tc>
        <w:tc>
          <w:tcPr>
            <w:tcW w:w="282" w:type="pct"/>
            <w:tcBorders>
              <w:top w:val="nil"/>
              <w:left w:val="nil"/>
              <w:bottom w:val="single" w:sz="8" w:space="0" w:color="auto"/>
              <w:right w:val="single" w:sz="8" w:space="0" w:color="auto"/>
            </w:tcBorders>
            <w:noWrap/>
            <w:vAlign w:val="center"/>
            <w:hideMark/>
          </w:tcPr>
          <w:p w14:paraId="20E78A32" w14:textId="77777777" w:rsidR="0073528F" w:rsidRPr="00D4396B" w:rsidRDefault="0073528F" w:rsidP="0073528F">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GO</w:t>
            </w:r>
          </w:p>
        </w:tc>
        <w:tc>
          <w:tcPr>
            <w:tcW w:w="564" w:type="pct"/>
            <w:tcBorders>
              <w:top w:val="nil"/>
              <w:left w:val="nil"/>
              <w:bottom w:val="single" w:sz="8" w:space="0" w:color="auto"/>
              <w:right w:val="single" w:sz="8" w:space="0" w:color="auto"/>
            </w:tcBorders>
            <w:vAlign w:val="center"/>
            <w:hideMark/>
          </w:tcPr>
          <w:p w14:paraId="6DAD6073" w14:textId="77777777" w:rsidR="0073528F" w:rsidRPr="00D4396B" w:rsidRDefault="0073528F" w:rsidP="0073528F">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Effectiveness score </w:t>
            </w:r>
            <w:r w:rsidRPr="00D4396B">
              <w:rPr>
                <w:rFonts w:eastAsia="Times New Roman"/>
                <w:noProof/>
                <w:color w:val="000000"/>
                <w:sz w:val="14"/>
                <w:szCs w:val="14"/>
                <w:lang w:val="en-US" w:eastAsia="de-DE"/>
              </w:rPr>
              <w:br/>
              <w:t>= average SO1+GO</w:t>
            </w:r>
          </w:p>
        </w:tc>
        <w:tc>
          <w:tcPr>
            <w:tcW w:w="430" w:type="pct"/>
            <w:tcBorders>
              <w:top w:val="single" w:sz="8" w:space="0" w:color="auto"/>
              <w:left w:val="nil"/>
              <w:bottom w:val="single" w:sz="8" w:space="0" w:color="auto"/>
              <w:right w:val="single" w:sz="8" w:space="0" w:color="auto"/>
            </w:tcBorders>
            <w:noWrap/>
            <w:vAlign w:val="center"/>
            <w:hideMark/>
          </w:tcPr>
          <w:p w14:paraId="2F5A1623" w14:textId="77777777" w:rsidR="0073528F" w:rsidRPr="00D4396B" w:rsidRDefault="0073528F" w:rsidP="0073528F">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w:t>
            </w:r>
          </w:p>
        </w:tc>
        <w:tc>
          <w:tcPr>
            <w:tcW w:w="335" w:type="pct"/>
            <w:tcBorders>
              <w:top w:val="nil"/>
              <w:left w:val="nil"/>
              <w:bottom w:val="single" w:sz="8" w:space="0" w:color="auto"/>
              <w:right w:val="single" w:sz="8" w:space="0" w:color="auto"/>
            </w:tcBorders>
            <w:noWrap/>
            <w:vAlign w:val="center"/>
            <w:hideMark/>
          </w:tcPr>
          <w:p w14:paraId="2E100805" w14:textId="77777777" w:rsidR="0073528F" w:rsidRPr="00D4396B" w:rsidRDefault="0073528F" w:rsidP="0073528F">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Internal</w:t>
            </w:r>
          </w:p>
        </w:tc>
        <w:tc>
          <w:tcPr>
            <w:tcW w:w="358" w:type="pct"/>
            <w:tcBorders>
              <w:top w:val="nil"/>
              <w:left w:val="nil"/>
              <w:bottom w:val="single" w:sz="8" w:space="0" w:color="auto"/>
              <w:right w:val="single" w:sz="8" w:space="0" w:color="auto"/>
            </w:tcBorders>
            <w:noWrap/>
            <w:vAlign w:val="center"/>
            <w:hideMark/>
          </w:tcPr>
          <w:p w14:paraId="38107059" w14:textId="77777777" w:rsidR="0073528F" w:rsidRPr="00D4396B" w:rsidRDefault="0073528F" w:rsidP="0073528F">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External</w:t>
            </w:r>
          </w:p>
        </w:tc>
        <w:tc>
          <w:tcPr>
            <w:tcW w:w="445" w:type="pct"/>
            <w:tcBorders>
              <w:top w:val="nil"/>
              <w:left w:val="nil"/>
              <w:bottom w:val="single" w:sz="8" w:space="0" w:color="auto"/>
              <w:right w:val="single" w:sz="8" w:space="0" w:color="auto"/>
            </w:tcBorders>
            <w:vAlign w:val="center"/>
            <w:hideMark/>
          </w:tcPr>
          <w:p w14:paraId="69B2D993" w14:textId="77777777" w:rsidR="0073528F" w:rsidRPr="00D4396B" w:rsidRDefault="0073528F" w:rsidP="0073528F">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Coherence score </w:t>
            </w:r>
            <w:r w:rsidRPr="00D4396B">
              <w:rPr>
                <w:rFonts w:eastAsia="Times New Roman"/>
                <w:noProof/>
                <w:color w:val="000000"/>
                <w:sz w:val="14"/>
                <w:szCs w:val="14"/>
                <w:lang w:val="en-US" w:eastAsia="de-DE"/>
              </w:rPr>
              <w:br/>
              <w:t>= average Internal+ External</w:t>
            </w:r>
          </w:p>
        </w:tc>
        <w:tc>
          <w:tcPr>
            <w:tcW w:w="731" w:type="pct"/>
            <w:tcBorders>
              <w:top w:val="single" w:sz="8" w:space="0" w:color="auto"/>
              <w:left w:val="nil"/>
              <w:bottom w:val="single" w:sz="8" w:space="0" w:color="auto"/>
              <w:right w:val="single" w:sz="8" w:space="0" w:color="auto"/>
            </w:tcBorders>
            <w:vAlign w:val="center"/>
            <w:hideMark/>
          </w:tcPr>
          <w:p w14:paraId="0D51D50A" w14:textId="77777777" w:rsidR="0073528F" w:rsidRPr="00D4396B" w:rsidRDefault="0073528F" w:rsidP="0073528F">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Effectiveness = 0.5</w:t>
            </w:r>
            <w:r w:rsidRPr="00D4396B">
              <w:rPr>
                <w:rFonts w:eastAsia="Times New Roman"/>
                <w:noProof/>
                <w:color w:val="000000"/>
                <w:sz w:val="14"/>
                <w:szCs w:val="14"/>
                <w:lang w:val="de-DE" w:eastAsia="de-DE"/>
              </w:rPr>
              <w:br/>
              <w:t>Efficiency = 0.3</w:t>
            </w:r>
            <w:r w:rsidRPr="00D4396B">
              <w:rPr>
                <w:rFonts w:eastAsia="Times New Roman"/>
                <w:noProof/>
                <w:color w:val="000000"/>
                <w:sz w:val="14"/>
                <w:szCs w:val="14"/>
                <w:lang w:val="de-DE" w:eastAsia="de-DE"/>
              </w:rPr>
              <w:br/>
              <w:t>Coherence = 0.2</w:t>
            </w:r>
          </w:p>
        </w:tc>
      </w:tr>
      <w:tr w:rsidR="0073528F" w:rsidRPr="00D4396B" w14:paraId="644131B5" w14:textId="77777777" w:rsidTr="00C23564">
        <w:trPr>
          <w:trHeight w:val="278"/>
        </w:trPr>
        <w:tc>
          <w:tcPr>
            <w:tcW w:w="1629" w:type="pct"/>
            <w:tcBorders>
              <w:top w:val="single" w:sz="8" w:space="0" w:color="auto"/>
              <w:left w:val="single" w:sz="8" w:space="0" w:color="auto"/>
              <w:bottom w:val="single" w:sz="8" w:space="0" w:color="auto"/>
              <w:right w:val="nil"/>
            </w:tcBorders>
            <w:noWrap/>
            <w:vAlign w:val="bottom"/>
            <w:hideMark/>
          </w:tcPr>
          <w:p w14:paraId="57D66A9D" w14:textId="04F37BC3" w:rsidR="0073528F" w:rsidRPr="00D4396B" w:rsidRDefault="0073528F" w:rsidP="0073528F">
            <w:pPr>
              <w:spacing w:after="0"/>
              <w:jc w:val="left"/>
              <w:rPr>
                <w:rFonts w:eastAsia="Times New Roman"/>
                <w:noProof/>
                <w:color w:val="000000"/>
                <w:sz w:val="14"/>
                <w:szCs w:val="14"/>
                <w:lang w:val="de-DE" w:eastAsia="de-DE"/>
              </w:rPr>
            </w:pPr>
            <w:r w:rsidRPr="00D4396B">
              <w:rPr>
                <w:rFonts w:eastAsia="Times New Roman"/>
                <w:noProof/>
                <w:color w:val="000000"/>
                <w:sz w:val="14"/>
                <w:szCs w:val="14"/>
                <w:lang w:val="de-DE" w:eastAsia="de-DE"/>
              </w:rPr>
              <w:t>C</w:t>
            </w:r>
            <w:r w:rsidR="003B545D" w:rsidRPr="00D4396B">
              <w:rPr>
                <w:rFonts w:eastAsia="Times New Roman"/>
                <w:noProof/>
                <w:color w:val="000000"/>
                <w:sz w:val="14"/>
                <w:szCs w:val="14"/>
                <w:lang w:val="de-DE" w:eastAsia="de-DE"/>
              </w:rPr>
              <w:t>.</w:t>
            </w:r>
            <w:r w:rsidRPr="00D4396B">
              <w:rPr>
                <w:rFonts w:eastAsia="Times New Roman"/>
                <w:noProof/>
                <w:color w:val="000000"/>
                <w:sz w:val="14"/>
                <w:szCs w:val="14"/>
                <w:lang w:val="de-DE" w:eastAsia="de-DE"/>
              </w:rPr>
              <w:t>PO1 (i)</w:t>
            </w:r>
          </w:p>
        </w:tc>
        <w:tc>
          <w:tcPr>
            <w:tcW w:w="226" w:type="pct"/>
            <w:tcBorders>
              <w:top w:val="nil"/>
              <w:left w:val="single" w:sz="8" w:space="0" w:color="auto"/>
              <w:bottom w:val="single" w:sz="8" w:space="0" w:color="auto"/>
              <w:right w:val="nil"/>
            </w:tcBorders>
            <w:noWrap/>
            <w:vAlign w:val="bottom"/>
            <w:hideMark/>
          </w:tcPr>
          <w:p w14:paraId="57C4FE26"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282" w:type="pct"/>
            <w:tcBorders>
              <w:top w:val="nil"/>
              <w:left w:val="single" w:sz="8" w:space="0" w:color="auto"/>
              <w:bottom w:val="single" w:sz="8" w:space="0" w:color="auto"/>
              <w:right w:val="nil"/>
            </w:tcBorders>
            <w:noWrap/>
            <w:vAlign w:val="bottom"/>
            <w:hideMark/>
          </w:tcPr>
          <w:p w14:paraId="3B56CDF9"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564" w:type="pct"/>
            <w:tcBorders>
              <w:top w:val="nil"/>
              <w:left w:val="single" w:sz="8" w:space="0" w:color="auto"/>
              <w:bottom w:val="single" w:sz="8" w:space="0" w:color="auto"/>
              <w:right w:val="nil"/>
            </w:tcBorders>
            <w:noWrap/>
            <w:vAlign w:val="bottom"/>
            <w:hideMark/>
          </w:tcPr>
          <w:p w14:paraId="0C289EF4"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430" w:type="pct"/>
            <w:tcBorders>
              <w:top w:val="nil"/>
              <w:left w:val="single" w:sz="8" w:space="0" w:color="auto"/>
              <w:bottom w:val="single" w:sz="8" w:space="0" w:color="auto"/>
              <w:right w:val="nil"/>
            </w:tcBorders>
            <w:noWrap/>
            <w:vAlign w:val="bottom"/>
            <w:hideMark/>
          </w:tcPr>
          <w:p w14:paraId="0D66B3C9"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335" w:type="pct"/>
            <w:tcBorders>
              <w:top w:val="nil"/>
              <w:left w:val="single" w:sz="8" w:space="0" w:color="auto"/>
              <w:bottom w:val="single" w:sz="8" w:space="0" w:color="auto"/>
              <w:right w:val="nil"/>
            </w:tcBorders>
            <w:noWrap/>
            <w:vAlign w:val="bottom"/>
            <w:hideMark/>
          </w:tcPr>
          <w:p w14:paraId="380BE1E3"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358" w:type="pct"/>
            <w:tcBorders>
              <w:top w:val="nil"/>
              <w:left w:val="single" w:sz="8" w:space="0" w:color="auto"/>
              <w:bottom w:val="single" w:sz="8" w:space="0" w:color="auto"/>
              <w:right w:val="nil"/>
            </w:tcBorders>
            <w:noWrap/>
            <w:vAlign w:val="bottom"/>
            <w:hideMark/>
          </w:tcPr>
          <w:p w14:paraId="3AE5A053"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445" w:type="pct"/>
            <w:tcBorders>
              <w:top w:val="single" w:sz="8" w:space="0" w:color="auto"/>
              <w:left w:val="single" w:sz="8" w:space="0" w:color="auto"/>
              <w:bottom w:val="single" w:sz="8" w:space="0" w:color="auto"/>
              <w:right w:val="single" w:sz="8" w:space="0" w:color="auto"/>
            </w:tcBorders>
            <w:noWrap/>
            <w:vAlign w:val="bottom"/>
            <w:hideMark/>
          </w:tcPr>
          <w:p w14:paraId="16446859"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731" w:type="pct"/>
            <w:tcBorders>
              <w:top w:val="single" w:sz="8" w:space="0" w:color="auto"/>
              <w:left w:val="single" w:sz="8" w:space="0" w:color="auto"/>
              <w:bottom w:val="single" w:sz="8" w:space="0" w:color="auto"/>
              <w:right w:val="single" w:sz="8" w:space="0" w:color="auto"/>
            </w:tcBorders>
            <w:noWrap/>
            <w:vAlign w:val="center"/>
            <w:hideMark/>
          </w:tcPr>
          <w:p w14:paraId="5963C9CA" w14:textId="77777777" w:rsidR="0073528F" w:rsidRPr="00D4396B" w:rsidRDefault="0073528F" w:rsidP="0073528F">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r>
      <w:tr w:rsidR="0073528F" w:rsidRPr="00D4396B" w14:paraId="21AFD653" w14:textId="77777777" w:rsidTr="00C23564">
        <w:trPr>
          <w:trHeight w:val="278"/>
        </w:trPr>
        <w:tc>
          <w:tcPr>
            <w:tcW w:w="1629" w:type="pct"/>
            <w:tcBorders>
              <w:top w:val="nil"/>
              <w:left w:val="single" w:sz="8" w:space="0" w:color="auto"/>
              <w:bottom w:val="single" w:sz="8" w:space="0" w:color="auto"/>
              <w:right w:val="nil"/>
            </w:tcBorders>
            <w:noWrap/>
            <w:vAlign w:val="bottom"/>
            <w:hideMark/>
          </w:tcPr>
          <w:p w14:paraId="341CD91A" w14:textId="13F57A7E" w:rsidR="0073528F" w:rsidRPr="00D4396B" w:rsidRDefault="0073528F" w:rsidP="0073528F">
            <w:pPr>
              <w:spacing w:after="0"/>
              <w:jc w:val="left"/>
              <w:rPr>
                <w:rFonts w:eastAsia="Times New Roman"/>
                <w:noProof/>
                <w:color w:val="000000"/>
                <w:sz w:val="14"/>
                <w:szCs w:val="14"/>
                <w:lang w:val="de-DE" w:eastAsia="de-DE"/>
              </w:rPr>
            </w:pPr>
            <w:r w:rsidRPr="00D4396B">
              <w:rPr>
                <w:rFonts w:eastAsia="Times New Roman"/>
                <w:noProof/>
                <w:color w:val="000000"/>
                <w:sz w:val="14"/>
                <w:szCs w:val="14"/>
                <w:lang w:val="de-DE" w:eastAsia="de-DE"/>
              </w:rPr>
              <w:t>C</w:t>
            </w:r>
            <w:r w:rsidR="003B545D" w:rsidRPr="00D4396B">
              <w:rPr>
                <w:rFonts w:eastAsia="Times New Roman"/>
                <w:noProof/>
                <w:color w:val="000000"/>
                <w:sz w:val="14"/>
                <w:szCs w:val="14"/>
                <w:lang w:val="de-DE" w:eastAsia="de-DE"/>
              </w:rPr>
              <w:t>.</w:t>
            </w:r>
            <w:r w:rsidRPr="00D4396B">
              <w:rPr>
                <w:rFonts w:eastAsia="Times New Roman"/>
                <w:noProof/>
                <w:color w:val="000000"/>
                <w:sz w:val="14"/>
                <w:szCs w:val="14"/>
                <w:lang w:val="de-DE" w:eastAsia="de-DE"/>
              </w:rPr>
              <w:t>PO2 (i and ii)</w:t>
            </w:r>
          </w:p>
        </w:tc>
        <w:tc>
          <w:tcPr>
            <w:tcW w:w="226" w:type="pct"/>
            <w:tcBorders>
              <w:top w:val="nil"/>
              <w:left w:val="single" w:sz="8" w:space="0" w:color="auto"/>
              <w:bottom w:val="single" w:sz="8" w:space="0" w:color="auto"/>
              <w:right w:val="nil"/>
            </w:tcBorders>
            <w:noWrap/>
            <w:vAlign w:val="bottom"/>
            <w:hideMark/>
          </w:tcPr>
          <w:p w14:paraId="51C186F2"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1.50</w:t>
            </w:r>
          </w:p>
        </w:tc>
        <w:tc>
          <w:tcPr>
            <w:tcW w:w="282" w:type="pct"/>
            <w:tcBorders>
              <w:top w:val="nil"/>
              <w:left w:val="single" w:sz="8" w:space="0" w:color="auto"/>
              <w:bottom w:val="single" w:sz="8" w:space="0" w:color="auto"/>
              <w:right w:val="nil"/>
            </w:tcBorders>
            <w:noWrap/>
            <w:vAlign w:val="bottom"/>
            <w:hideMark/>
          </w:tcPr>
          <w:p w14:paraId="0862DD37"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564" w:type="pct"/>
            <w:tcBorders>
              <w:top w:val="nil"/>
              <w:left w:val="single" w:sz="8" w:space="0" w:color="auto"/>
              <w:bottom w:val="single" w:sz="8" w:space="0" w:color="auto"/>
              <w:right w:val="nil"/>
            </w:tcBorders>
            <w:noWrap/>
            <w:vAlign w:val="bottom"/>
            <w:hideMark/>
          </w:tcPr>
          <w:p w14:paraId="53CD3EA7"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1.25</w:t>
            </w:r>
          </w:p>
        </w:tc>
        <w:tc>
          <w:tcPr>
            <w:tcW w:w="430" w:type="pct"/>
            <w:tcBorders>
              <w:top w:val="nil"/>
              <w:left w:val="single" w:sz="8" w:space="0" w:color="auto"/>
              <w:bottom w:val="single" w:sz="8" w:space="0" w:color="auto"/>
              <w:right w:val="nil"/>
            </w:tcBorders>
            <w:noWrap/>
            <w:vAlign w:val="bottom"/>
            <w:hideMark/>
          </w:tcPr>
          <w:p w14:paraId="03E964F0"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335" w:type="pct"/>
            <w:tcBorders>
              <w:top w:val="nil"/>
              <w:left w:val="single" w:sz="8" w:space="0" w:color="auto"/>
              <w:bottom w:val="single" w:sz="8" w:space="0" w:color="auto"/>
              <w:right w:val="nil"/>
            </w:tcBorders>
            <w:noWrap/>
            <w:vAlign w:val="bottom"/>
            <w:hideMark/>
          </w:tcPr>
          <w:p w14:paraId="2BD1FD9E"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358" w:type="pct"/>
            <w:tcBorders>
              <w:top w:val="nil"/>
              <w:left w:val="single" w:sz="8" w:space="0" w:color="auto"/>
              <w:bottom w:val="single" w:sz="8" w:space="0" w:color="auto"/>
              <w:right w:val="nil"/>
            </w:tcBorders>
            <w:noWrap/>
            <w:vAlign w:val="bottom"/>
            <w:hideMark/>
          </w:tcPr>
          <w:p w14:paraId="31FB533E"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445" w:type="pct"/>
            <w:tcBorders>
              <w:top w:val="single" w:sz="8" w:space="0" w:color="auto"/>
              <w:left w:val="single" w:sz="8" w:space="0" w:color="auto"/>
              <w:bottom w:val="single" w:sz="8" w:space="0" w:color="auto"/>
              <w:right w:val="single" w:sz="8" w:space="0" w:color="auto"/>
            </w:tcBorders>
            <w:noWrap/>
            <w:vAlign w:val="bottom"/>
            <w:hideMark/>
          </w:tcPr>
          <w:p w14:paraId="11B537E2"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731" w:type="pct"/>
            <w:tcBorders>
              <w:top w:val="single" w:sz="8" w:space="0" w:color="auto"/>
              <w:left w:val="single" w:sz="8" w:space="0" w:color="auto"/>
              <w:bottom w:val="single" w:sz="8" w:space="0" w:color="auto"/>
              <w:right w:val="single" w:sz="8" w:space="0" w:color="auto"/>
            </w:tcBorders>
            <w:noWrap/>
            <w:vAlign w:val="center"/>
            <w:hideMark/>
          </w:tcPr>
          <w:p w14:paraId="702DA214" w14:textId="77777777" w:rsidR="0073528F" w:rsidRPr="00D4396B" w:rsidRDefault="0073528F" w:rsidP="0073528F">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1.13</w:t>
            </w:r>
          </w:p>
        </w:tc>
      </w:tr>
      <w:tr w:rsidR="00777737" w:rsidRPr="00D4396B" w14:paraId="3C834E83" w14:textId="77777777" w:rsidTr="00C23564">
        <w:trPr>
          <w:trHeight w:val="278"/>
        </w:trPr>
        <w:tc>
          <w:tcPr>
            <w:tcW w:w="1629" w:type="pct"/>
            <w:tcBorders>
              <w:top w:val="nil"/>
              <w:left w:val="single" w:sz="8" w:space="0" w:color="auto"/>
              <w:bottom w:val="single" w:sz="8" w:space="0" w:color="auto"/>
              <w:right w:val="nil"/>
            </w:tcBorders>
            <w:noWrap/>
            <w:vAlign w:val="bottom"/>
            <w:hideMark/>
          </w:tcPr>
          <w:p w14:paraId="71BDE7C5" w14:textId="5D96CB32" w:rsidR="0073528F" w:rsidRPr="00E028A0" w:rsidRDefault="0073528F" w:rsidP="0073528F">
            <w:pPr>
              <w:spacing w:after="0"/>
              <w:jc w:val="left"/>
              <w:rPr>
                <w:rFonts w:eastAsia="Times New Roman"/>
                <w:noProof/>
                <w:color w:val="000000"/>
                <w:sz w:val="14"/>
                <w:szCs w:val="14"/>
                <w:lang w:eastAsia="de-DE"/>
              </w:rPr>
            </w:pPr>
            <w:r w:rsidRPr="00E028A0">
              <w:rPr>
                <w:rFonts w:eastAsia="Times New Roman"/>
                <w:noProof/>
                <w:color w:val="000000"/>
                <w:sz w:val="14"/>
                <w:szCs w:val="14"/>
                <w:lang w:eastAsia="de-DE"/>
              </w:rPr>
              <w:t>C</w:t>
            </w:r>
            <w:r w:rsidR="003B545D" w:rsidRPr="00E028A0">
              <w:rPr>
                <w:rFonts w:eastAsia="Times New Roman"/>
                <w:noProof/>
                <w:color w:val="000000"/>
                <w:sz w:val="14"/>
                <w:szCs w:val="14"/>
                <w:lang w:eastAsia="de-DE"/>
              </w:rPr>
              <w:t>.</w:t>
            </w:r>
            <w:r w:rsidRPr="00E028A0">
              <w:rPr>
                <w:rFonts w:eastAsia="Times New Roman"/>
                <w:noProof/>
                <w:color w:val="000000"/>
                <w:sz w:val="14"/>
                <w:szCs w:val="14"/>
                <w:lang w:eastAsia="de-DE"/>
              </w:rPr>
              <w:t>PO3 (i, ii and iii)</w:t>
            </w:r>
          </w:p>
        </w:tc>
        <w:tc>
          <w:tcPr>
            <w:tcW w:w="226" w:type="pct"/>
            <w:tcBorders>
              <w:top w:val="nil"/>
              <w:left w:val="single" w:sz="8" w:space="0" w:color="auto"/>
              <w:bottom w:val="single" w:sz="8" w:space="0" w:color="auto"/>
              <w:right w:val="nil"/>
            </w:tcBorders>
            <w:noWrap/>
            <w:vAlign w:val="bottom"/>
            <w:hideMark/>
          </w:tcPr>
          <w:p w14:paraId="1D71648F"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3.00</w:t>
            </w:r>
          </w:p>
        </w:tc>
        <w:tc>
          <w:tcPr>
            <w:tcW w:w="282" w:type="pct"/>
            <w:tcBorders>
              <w:top w:val="nil"/>
              <w:left w:val="single" w:sz="8" w:space="0" w:color="auto"/>
              <w:bottom w:val="single" w:sz="8" w:space="0" w:color="auto"/>
              <w:right w:val="nil"/>
            </w:tcBorders>
            <w:noWrap/>
            <w:vAlign w:val="bottom"/>
            <w:hideMark/>
          </w:tcPr>
          <w:p w14:paraId="222B7C52"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2.50</w:t>
            </w:r>
          </w:p>
        </w:tc>
        <w:tc>
          <w:tcPr>
            <w:tcW w:w="564" w:type="pct"/>
            <w:tcBorders>
              <w:top w:val="nil"/>
              <w:left w:val="single" w:sz="8" w:space="0" w:color="auto"/>
              <w:bottom w:val="single" w:sz="8" w:space="0" w:color="auto"/>
              <w:right w:val="nil"/>
            </w:tcBorders>
            <w:noWrap/>
            <w:vAlign w:val="bottom"/>
            <w:hideMark/>
          </w:tcPr>
          <w:p w14:paraId="794D1C5E"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2.75</w:t>
            </w:r>
          </w:p>
        </w:tc>
        <w:tc>
          <w:tcPr>
            <w:tcW w:w="430" w:type="pct"/>
            <w:tcBorders>
              <w:top w:val="nil"/>
              <w:left w:val="single" w:sz="8" w:space="0" w:color="auto"/>
              <w:bottom w:val="single" w:sz="8" w:space="0" w:color="auto"/>
              <w:right w:val="nil"/>
            </w:tcBorders>
            <w:noWrap/>
            <w:vAlign w:val="bottom"/>
            <w:hideMark/>
          </w:tcPr>
          <w:p w14:paraId="1E464666"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2.50</w:t>
            </w:r>
          </w:p>
        </w:tc>
        <w:tc>
          <w:tcPr>
            <w:tcW w:w="335" w:type="pct"/>
            <w:tcBorders>
              <w:top w:val="nil"/>
              <w:left w:val="single" w:sz="8" w:space="0" w:color="auto"/>
              <w:bottom w:val="single" w:sz="8" w:space="0" w:color="auto"/>
              <w:right w:val="nil"/>
            </w:tcBorders>
            <w:noWrap/>
            <w:vAlign w:val="bottom"/>
            <w:hideMark/>
          </w:tcPr>
          <w:p w14:paraId="09078176"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2.00</w:t>
            </w:r>
          </w:p>
        </w:tc>
        <w:tc>
          <w:tcPr>
            <w:tcW w:w="358" w:type="pct"/>
            <w:tcBorders>
              <w:top w:val="nil"/>
              <w:left w:val="single" w:sz="8" w:space="0" w:color="auto"/>
              <w:bottom w:val="single" w:sz="8" w:space="0" w:color="auto"/>
              <w:right w:val="nil"/>
            </w:tcBorders>
            <w:noWrap/>
            <w:vAlign w:val="bottom"/>
            <w:hideMark/>
          </w:tcPr>
          <w:p w14:paraId="7FFE4D80"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2.00</w:t>
            </w:r>
          </w:p>
        </w:tc>
        <w:tc>
          <w:tcPr>
            <w:tcW w:w="445" w:type="pct"/>
            <w:tcBorders>
              <w:top w:val="single" w:sz="8" w:space="0" w:color="auto"/>
              <w:left w:val="single" w:sz="8" w:space="0" w:color="auto"/>
              <w:bottom w:val="single" w:sz="8" w:space="0" w:color="auto"/>
              <w:right w:val="single" w:sz="8" w:space="0" w:color="auto"/>
            </w:tcBorders>
            <w:noWrap/>
            <w:vAlign w:val="bottom"/>
            <w:hideMark/>
          </w:tcPr>
          <w:p w14:paraId="59F02C32" w14:textId="77777777" w:rsidR="0073528F" w:rsidRPr="00D4396B" w:rsidRDefault="0073528F" w:rsidP="0073528F">
            <w:pPr>
              <w:spacing w:after="0"/>
              <w:jc w:val="right"/>
              <w:rPr>
                <w:rFonts w:eastAsia="Times New Roman"/>
                <w:noProof/>
                <w:color w:val="000000"/>
                <w:sz w:val="14"/>
                <w:szCs w:val="14"/>
                <w:lang w:val="de-DE" w:eastAsia="de-DE"/>
              </w:rPr>
            </w:pPr>
            <w:r w:rsidRPr="00D4396B">
              <w:rPr>
                <w:rFonts w:eastAsia="Times New Roman"/>
                <w:noProof/>
                <w:color w:val="000000"/>
                <w:sz w:val="14"/>
                <w:szCs w:val="14"/>
                <w:lang w:val="de-DE" w:eastAsia="de-DE"/>
              </w:rPr>
              <w:t>2.00</w:t>
            </w:r>
          </w:p>
        </w:tc>
        <w:tc>
          <w:tcPr>
            <w:tcW w:w="731" w:type="pct"/>
            <w:tcBorders>
              <w:top w:val="single" w:sz="8" w:space="0" w:color="auto"/>
              <w:left w:val="single" w:sz="8" w:space="0" w:color="auto"/>
              <w:bottom w:val="single" w:sz="8" w:space="0" w:color="auto"/>
              <w:right w:val="single" w:sz="8" w:space="0" w:color="auto"/>
            </w:tcBorders>
            <w:shd w:val="clear" w:color="auto" w:fill="FFF5EB"/>
            <w:vAlign w:val="center"/>
            <w:hideMark/>
          </w:tcPr>
          <w:p w14:paraId="6DDC6E60" w14:textId="77777777" w:rsidR="0073528F" w:rsidRPr="00D4396B" w:rsidRDefault="0073528F" w:rsidP="0073528F">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2.53</w:t>
            </w:r>
          </w:p>
        </w:tc>
      </w:tr>
    </w:tbl>
    <w:p w14:paraId="38863BA6" w14:textId="77777777" w:rsidR="000C3545" w:rsidRDefault="000C3545" w:rsidP="000C3545">
      <w:pPr>
        <w:pStyle w:val="Heading2"/>
        <w:rPr>
          <w:noProof/>
        </w:rPr>
      </w:pPr>
    </w:p>
    <w:p w14:paraId="5733DB30" w14:textId="66C89843" w:rsidR="00084C1F" w:rsidRPr="00D4396B" w:rsidRDefault="414760BB" w:rsidP="000C3545">
      <w:pPr>
        <w:pStyle w:val="Heading2"/>
        <w:rPr>
          <w:noProof/>
        </w:rPr>
      </w:pPr>
      <w:bookmarkStart w:id="165" w:name="_Toc232176426"/>
      <w:r w:rsidRPr="00D4396B">
        <w:rPr>
          <w:noProof/>
        </w:rPr>
        <w:t>6.2</w:t>
      </w:r>
      <w:r w:rsidR="00EE4278" w:rsidRPr="00D4396B">
        <w:rPr>
          <w:noProof/>
        </w:rPr>
        <w:t>.</w:t>
      </w:r>
      <w:r w:rsidR="003B0D3B" w:rsidRPr="00D4396B">
        <w:rPr>
          <w:noProof/>
        </w:rPr>
        <w:tab/>
      </w:r>
      <w:r w:rsidR="326619DF" w:rsidRPr="00D4396B">
        <w:rPr>
          <w:noProof/>
        </w:rPr>
        <w:t xml:space="preserve">Specific </w:t>
      </w:r>
      <w:r w:rsidR="00B2155C" w:rsidRPr="00D4396B">
        <w:rPr>
          <w:noProof/>
        </w:rPr>
        <w:t>O</w:t>
      </w:r>
      <w:r w:rsidR="326619DF" w:rsidRPr="00D4396B">
        <w:rPr>
          <w:noProof/>
        </w:rPr>
        <w:t>bjective 2</w:t>
      </w:r>
      <w:bookmarkEnd w:id="165"/>
    </w:p>
    <w:p w14:paraId="1F4FEB1B" w14:textId="6E0E7B6A" w:rsidR="00763D12" w:rsidRDefault="273756A3" w:rsidP="00E028A0">
      <w:pPr>
        <w:spacing w:after="120"/>
        <w:rPr>
          <w:noProof/>
        </w:rPr>
      </w:pPr>
      <w:r w:rsidRPr="00D4396B">
        <w:rPr>
          <w:noProof/>
        </w:rPr>
        <w:t xml:space="preserve">The following policy options would contribute to </w:t>
      </w:r>
      <w:r w:rsidR="00B2155C" w:rsidRPr="00D4396B">
        <w:rPr>
          <w:noProof/>
        </w:rPr>
        <w:t>S</w:t>
      </w:r>
      <w:r w:rsidRPr="00D4396B">
        <w:rPr>
          <w:noProof/>
        </w:rPr>
        <w:t xml:space="preserve">pecific </w:t>
      </w:r>
      <w:r w:rsidR="00B2155C" w:rsidRPr="00D4396B">
        <w:rPr>
          <w:noProof/>
        </w:rPr>
        <w:t>O</w:t>
      </w:r>
      <w:r w:rsidRPr="00D4396B">
        <w:rPr>
          <w:noProof/>
        </w:rPr>
        <w:t>bjective 2 which aims at an optimal alignment</w:t>
      </w:r>
      <w:r w:rsidR="245933EB" w:rsidRPr="00D4396B">
        <w:rPr>
          <w:noProof/>
        </w:rPr>
        <w:t xml:space="preserve">, implementation </w:t>
      </w:r>
      <w:r w:rsidRPr="00D4396B">
        <w:rPr>
          <w:noProof/>
        </w:rPr>
        <w:t>and operational integration with Member States, EU partners and third countries, and would address the problem drivers #</w:t>
      </w:r>
      <w:r w:rsidR="00A46BE8" w:rsidRPr="00D4396B">
        <w:rPr>
          <w:noProof/>
        </w:rPr>
        <w:t>8</w:t>
      </w:r>
      <w:r w:rsidRPr="00D4396B">
        <w:rPr>
          <w:noProof/>
        </w:rPr>
        <w:t xml:space="preserve"> </w:t>
      </w:r>
      <w:r w:rsidR="5ED21CF4" w:rsidRPr="00D4396B">
        <w:rPr>
          <w:noProof/>
        </w:rPr>
        <w:t>to #</w:t>
      </w:r>
      <w:r w:rsidR="36E8F566" w:rsidRPr="00D4396B">
        <w:rPr>
          <w:noProof/>
        </w:rPr>
        <w:t>10</w:t>
      </w:r>
      <w:r w:rsidRPr="00D4396B">
        <w:rPr>
          <w:noProof/>
        </w:rPr>
        <w:t>.</w:t>
      </w:r>
    </w:p>
    <w:p w14:paraId="4F0BFA00" w14:textId="77777777" w:rsidR="00390347" w:rsidRPr="00D4396B" w:rsidRDefault="00390347" w:rsidP="00E028A0">
      <w:pPr>
        <w:spacing w:after="120"/>
        <w:rPr>
          <w:rFonts w:eastAsia="Times New Roman"/>
          <w:b/>
          <w:bCs/>
          <w:noProof/>
          <w:u w:val="single"/>
        </w:rPr>
      </w:pPr>
    </w:p>
    <w:p w14:paraId="64396BD5" w14:textId="2CC73628" w:rsidR="03477AA7" w:rsidRPr="00D4396B" w:rsidRDefault="03477AA7" w:rsidP="000F169A">
      <w:pPr>
        <w:pStyle w:val="ListParagraph"/>
        <w:numPr>
          <w:ilvl w:val="0"/>
          <w:numId w:val="10"/>
        </w:numPr>
        <w:spacing w:after="120"/>
        <w:ind w:left="567" w:hanging="567"/>
        <w:contextualSpacing w:val="0"/>
        <w:rPr>
          <w:rFonts w:eastAsia="Times New Roman"/>
          <w:b/>
          <w:bCs/>
          <w:i/>
          <w:iCs/>
          <w:noProof/>
          <w:u w:val="single"/>
          <w:lang w:val="en-US"/>
        </w:rPr>
      </w:pPr>
      <w:r w:rsidRPr="00D4396B">
        <w:rPr>
          <w:rFonts w:eastAsia="Times New Roman"/>
          <w:b/>
          <w:bCs/>
          <w:i/>
          <w:iCs/>
          <w:noProof/>
          <w:u w:val="single"/>
          <w:lang w:val="en-US"/>
        </w:rPr>
        <w:t xml:space="preserve">Options in intervention area </w:t>
      </w:r>
      <w:r w:rsidR="1368D766" w:rsidRPr="00D4396B">
        <w:rPr>
          <w:rFonts w:eastAsia="Times New Roman"/>
          <w:b/>
          <w:bCs/>
          <w:i/>
          <w:iCs/>
          <w:noProof/>
          <w:u w:val="single"/>
          <w:lang w:val="en-US"/>
        </w:rPr>
        <w:t>D</w:t>
      </w:r>
    </w:p>
    <w:p w14:paraId="4A33D68B" w14:textId="71757817" w:rsidR="03477AA7" w:rsidRPr="00D4396B" w:rsidRDefault="00BC53E7" w:rsidP="003B0D3B">
      <w:pPr>
        <w:spacing w:after="120"/>
        <w:rPr>
          <w:rFonts w:eastAsia="Times New Roman"/>
          <w:noProof/>
          <w:lang w:val="en-US"/>
        </w:rPr>
      </w:pPr>
      <w:r w:rsidRPr="00D4396B">
        <w:rPr>
          <w:rFonts w:eastAsia="Times New Roman"/>
          <w:b/>
          <w:bCs/>
          <w:noProof/>
          <w:lang w:val="en-US"/>
        </w:rPr>
        <w:t>D</w:t>
      </w:r>
      <w:r w:rsidR="008C5583" w:rsidRPr="00D4396B">
        <w:rPr>
          <w:rFonts w:eastAsia="Times New Roman"/>
          <w:b/>
          <w:bCs/>
          <w:noProof/>
          <w:lang w:val="en-US"/>
        </w:rPr>
        <w:t>.</w:t>
      </w:r>
      <w:r w:rsidR="202E16C6" w:rsidRPr="00D4396B">
        <w:rPr>
          <w:rFonts w:eastAsia="Times New Roman"/>
          <w:b/>
          <w:bCs/>
          <w:noProof/>
          <w:lang w:val="en-US"/>
        </w:rPr>
        <w:t>PO1</w:t>
      </w:r>
      <w:r w:rsidR="008C5583" w:rsidRPr="00D4396B">
        <w:rPr>
          <w:rFonts w:eastAsia="Times New Roman"/>
          <w:b/>
          <w:bCs/>
          <w:noProof/>
          <w:lang w:val="en-US"/>
        </w:rPr>
        <w:t>:</w:t>
      </w:r>
      <w:r w:rsidR="202E16C6" w:rsidRPr="00D4396B">
        <w:rPr>
          <w:rFonts w:eastAsia="Times New Roman"/>
          <w:b/>
          <w:bCs/>
          <w:noProof/>
          <w:lang w:val="en-US"/>
        </w:rPr>
        <w:t xml:space="preserve"> </w:t>
      </w:r>
      <w:r w:rsidR="202E16C6" w:rsidRPr="00D4396B">
        <w:rPr>
          <w:rFonts w:eastAsia="Times New Roman"/>
          <w:noProof/>
          <w:lang w:val="en-US"/>
        </w:rPr>
        <w:t xml:space="preserve">This package of technical measures and working arrangements represents the minimum option </w:t>
      </w:r>
      <w:r w:rsidR="33FAFF63" w:rsidRPr="00D4396B">
        <w:rPr>
          <w:rFonts w:eastAsia="Times New Roman"/>
          <w:noProof/>
          <w:lang w:val="en-US"/>
        </w:rPr>
        <w:t xml:space="preserve">proposed </w:t>
      </w:r>
      <w:r w:rsidR="202E16C6" w:rsidRPr="00D4396B">
        <w:rPr>
          <w:rFonts w:eastAsia="Times New Roman"/>
          <w:noProof/>
          <w:lang w:val="en-US"/>
        </w:rPr>
        <w:t xml:space="preserve">to strengthen cooperation between Eurojust and Europol. It could be implemented at </w:t>
      </w:r>
      <w:r w:rsidR="7144F664" w:rsidRPr="00D4396B">
        <w:rPr>
          <w:rFonts w:eastAsia="Times New Roman"/>
          <w:noProof/>
          <w:lang w:val="en-US"/>
        </w:rPr>
        <w:t>lo</w:t>
      </w:r>
      <w:r w:rsidR="7984D6F2" w:rsidRPr="00D4396B">
        <w:rPr>
          <w:rFonts w:eastAsia="Times New Roman"/>
          <w:noProof/>
          <w:lang w:val="en-US"/>
        </w:rPr>
        <w:t>w cost</w:t>
      </w:r>
      <w:r w:rsidR="202E16C6" w:rsidRPr="00D4396B">
        <w:rPr>
          <w:rFonts w:eastAsia="Times New Roman"/>
          <w:noProof/>
          <w:lang w:val="en-US"/>
        </w:rPr>
        <w:t>, although it would still require a certain commitment of material, human and time resources, notably to update the hit/no-hit system and negotiate the revision of the existing working arrangements.</w:t>
      </w:r>
    </w:p>
    <w:p w14:paraId="4DEE1B6D" w14:textId="31836068" w:rsidR="03477AA7" w:rsidRPr="00D4396B" w:rsidRDefault="4E9A71CF" w:rsidP="003B0D3B">
      <w:pPr>
        <w:spacing w:after="120"/>
        <w:rPr>
          <w:rFonts w:eastAsia="Times New Roman"/>
          <w:noProof/>
          <w:lang w:val="en-US"/>
        </w:rPr>
      </w:pPr>
      <w:r w:rsidRPr="00D4396B">
        <w:rPr>
          <w:rFonts w:eastAsia="Times New Roman"/>
          <w:noProof/>
          <w:lang w:val="en-US"/>
        </w:rPr>
        <w:t>The automation of the hit/no-hit system</w:t>
      </w:r>
      <w:r w:rsidR="59800A10" w:rsidRPr="00D4396B">
        <w:rPr>
          <w:rFonts w:eastAsia="Times New Roman"/>
          <w:noProof/>
          <w:lang w:val="en-US"/>
        </w:rPr>
        <w:t xml:space="preserve"> (i</w:t>
      </w:r>
      <w:r w:rsidR="32CDC206" w:rsidRPr="00D4396B">
        <w:rPr>
          <w:rFonts w:eastAsia="Times New Roman"/>
          <w:noProof/>
          <w:lang w:val="en-US"/>
        </w:rPr>
        <w:t>.a</w:t>
      </w:r>
      <w:r w:rsidR="59800A10" w:rsidRPr="00D4396B">
        <w:rPr>
          <w:rFonts w:eastAsia="Times New Roman"/>
          <w:noProof/>
          <w:lang w:val="en-US"/>
        </w:rPr>
        <w:t>)</w:t>
      </w:r>
      <w:r w:rsidRPr="00D4396B">
        <w:rPr>
          <w:rFonts w:eastAsia="Times New Roman"/>
          <w:noProof/>
          <w:lang w:val="en-US"/>
        </w:rPr>
        <w:t xml:space="preserve"> would reduce the risk of human error and accelerate follow-up actions. Moreover, the effectiveness of revised working arrangements</w:t>
      </w:r>
      <w:r w:rsidR="32CDC206" w:rsidRPr="00D4396B">
        <w:rPr>
          <w:rFonts w:eastAsia="Times New Roman"/>
          <w:noProof/>
          <w:lang w:val="en-US"/>
        </w:rPr>
        <w:t xml:space="preserve"> (ii.a)</w:t>
      </w:r>
      <w:r w:rsidRPr="00D4396B">
        <w:rPr>
          <w:rFonts w:eastAsia="Times New Roman"/>
          <w:noProof/>
          <w:lang w:val="en-US"/>
        </w:rPr>
        <w:t xml:space="preserve"> would largely depend on the substance of the changes introduced and on their effective implementation, with a risk that they remain largely ineffective in practice.</w:t>
      </w:r>
      <w:r w:rsidR="00553D55" w:rsidRPr="00D4396B">
        <w:rPr>
          <w:rStyle w:val="FootnoteReference"/>
          <w:rFonts w:eastAsia="Times New Roman"/>
          <w:noProof/>
          <w:lang w:val="en-US"/>
        </w:rPr>
        <w:footnoteReference w:id="129"/>
      </w:r>
    </w:p>
    <w:p w14:paraId="0A08639B" w14:textId="72486795" w:rsidR="03477AA7" w:rsidRPr="00D4396B" w:rsidRDefault="58D1BB3A" w:rsidP="003B0D3B">
      <w:pPr>
        <w:spacing w:after="120"/>
        <w:rPr>
          <w:noProof/>
        </w:rPr>
      </w:pPr>
      <w:r w:rsidRPr="00D4396B">
        <w:rPr>
          <w:rFonts w:eastAsia="Times New Roman"/>
          <w:noProof/>
          <w:lang w:val="en-US"/>
        </w:rPr>
        <w:t xml:space="preserve">Overall, this </w:t>
      </w:r>
      <w:r w:rsidRPr="522EFC56">
        <w:rPr>
          <w:rFonts w:eastAsia="Times New Roman"/>
          <w:noProof/>
          <w:lang w:val="en-US"/>
        </w:rPr>
        <w:t>option is expected to generate only a very limited impact on the support provided to national authorities. At the same time, its implementation could constitute a first step towards the development of a more integrated digital cooperation framewor</w:t>
      </w:r>
      <w:r w:rsidR="05CEEA40" w:rsidRPr="00D4396B">
        <w:rPr>
          <w:rFonts w:eastAsia="Times New Roman"/>
          <w:noProof/>
          <w:lang w:val="en-US"/>
        </w:rPr>
        <w:t>k</w:t>
      </w:r>
      <w:r w:rsidRPr="00D4396B">
        <w:rPr>
          <w:rFonts w:eastAsia="Times New Roman"/>
          <w:noProof/>
          <w:lang w:val="en-US"/>
        </w:rPr>
        <w:t>.</w:t>
      </w:r>
      <w:r w:rsidR="00553D55" w:rsidRPr="00D4396B">
        <w:rPr>
          <w:rStyle w:val="FootnoteReference"/>
          <w:rFonts w:eastAsia="Times New Roman"/>
          <w:noProof/>
          <w:lang w:val="en-US"/>
        </w:rPr>
        <w:footnoteReference w:id="130"/>
      </w:r>
    </w:p>
    <w:p w14:paraId="29FDC73D" w14:textId="00569EAE" w:rsidR="03477AA7" w:rsidRPr="00D4396B" w:rsidRDefault="00BC53E7" w:rsidP="003B0D3B">
      <w:pPr>
        <w:spacing w:after="120"/>
        <w:rPr>
          <w:rFonts w:eastAsia="Times New Roman"/>
          <w:noProof/>
          <w:lang w:val="en-US"/>
        </w:rPr>
      </w:pPr>
      <w:r w:rsidRPr="00D4396B">
        <w:rPr>
          <w:rFonts w:eastAsia="Times New Roman"/>
          <w:b/>
          <w:bCs/>
          <w:noProof/>
          <w:lang w:val="en-US"/>
        </w:rPr>
        <w:t>D</w:t>
      </w:r>
      <w:r w:rsidR="008C5583" w:rsidRPr="00D4396B">
        <w:rPr>
          <w:rFonts w:eastAsia="Times New Roman"/>
          <w:b/>
          <w:bCs/>
          <w:noProof/>
          <w:lang w:val="en-US"/>
        </w:rPr>
        <w:t>.</w:t>
      </w:r>
      <w:r w:rsidR="03477AA7" w:rsidRPr="00D4396B">
        <w:rPr>
          <w:rFonts w:eastAsia="Times New Roman"/>
          <w:b/>
          <w:bCs/>
          <w:noProof/>
          <w:lang w:val="en-US"/>
        </w:rPr>
        <w:t>PO2</w:t>
      </w:r>
      <w:r w:rsidR="008C5583" w:rsidRPr="00D4396B">
        <w:rPr>
          <w:rFonts w:eastAsia="Times New Roman"/>
          <w:b/>
          <w:bCs/>
          <w:noProof/>
          <w:lang w:val="en-US"/>
        </w:rPr>
        <w:t>:</w:t>
      </w:r>
      <w:r w:rsidR="03477AA7" w:rsidRPr="00D4396B">
        <w:rPr>
          <w:rFonts w:eastAsia="Times New Roman"/>
          <w:noProof/>
          <w:lang w:val="en-US"/>
        </w:rPr>
        <w:t xml:space="preserve"> This option introduces legal obligations for the two agencies to step up their cooperation</w:t>
      </w:r>
      <w:r w:rsidR="007E0561" w:rsidRPr="00D4396B">
        <w:rPr>
          <w:rFonts w:eastAsia="Times New Roman"/>
          <w:noProof/>
          <w:lang w:val="en-US"/>
        </w:rPr>
        <w:t xml:space="preserve"> (i.b, ii.b)</w:t>
      </w:r>
      <w:r w:rsidR="03477AA7" w:rsidRPr="00D4396B">
        <w:rPr>
          <w:rFonts w:eastAsia="Times New Roman"/>
          <w:noProof/>
          <w:lang w:val="en-US"/>
        </w:rPr>
        <w:t xml:space="preserve">, producing effects similar </w:t>
      </w:r>
      <w:r w:rsidR="0059621C">
        <w:rPr>
          <w:rFonts w:eastAsia="Times New Roman"/>
          <w:noProof/>
          <w:lang w:val="en-US"/>
        </w:rPr>
        <w:t>but higher</w:t>
      </w:r>
      <w:r w:rsidR="03477AA7" w:rsidRPr="00D4396B">
        <w:rPr>
          <w:rFonts w:eastAsia="Times New Roman"/>
          <w:noProof/>
          <w:lang w:val="en-US"/>
        </w:rPr>
        <w:t xml:space="preserve"> to those envisaged under </w:t>
      </w:r>
      <w:r w:rsidRPr="00D4396B">
        <w:rPr>
          <w:rFonts w:eastAsia="Times New Roman"/>
          <w:noProof/>
          <w:lang w:val="en-US"/>
        </w:rPr>
        <w:t>D</w:t>
      </w:r>
      <w:r w:rsidR="00D17315" w:rsidRPr="00D4396B">
        <w:rPr>
          <w:rFonts w:eastAsia="Times New Roman"/>
          <w:noProof/>
          <w:lang w:val="en-US"/>
        </w:rPr>
        <w:t>.</w:t>
      </w:r>
      <w:r w:rsidR="03477AA7" w:rsidRPr="00D4396B">
        <w:rPr>
          <w:rFonts w:eastAsia="Times New Roman"/>
          <w:noProof/>
          <w:lang w:val="en-US"/>
        </w:rPr>
        <w:t xml:space="preserve">PO1 </w:t>
      </w:r>
      <w:r w:rsidR="0059621C">
        <w:rPr>
          <w:rFonts w:eastAsia="Times New Roman"/>
          <w:noProof/>
          <w:lang w:val="en-US"/>
        </w:rPr>
        <w:t>as there is a</w:t>
      </w:r>
      <w:r w:rsidR="03477AA7" w:rsidRPr="00D4396B">
        <w:rPr>
          <w:rFonts w:eastAsia="Times New Roman"/>
          <w:noProof/>
          <w:lang w:val="en-US"/>
        </w:rPr>
        <w:t xml:space="preserve"> greater likelihood of higher level of reciprocal engagement and cooperation. It also provides for more structured coordination in relation to SIRIUS referrals</w:t>
      </w:r>
      <w:r w:rsidR="00155C2E" w:rsidRPr="00D4396B">
        <w:rPr>
          <w:rFonts w:eastAsia="Times New Roman"/>
          <w:noProof/>
          <w:lang w:val="en-US"/>
        </w:rPr>
        <w:t xml:space="preserve"> (</w:t>
      </w:r>
      <w:r w:rsidR="009653C3" w:rsidRPr="00D4396B">
        <w:rPr>
          <w:rFonts w:eastAsia="Times New Roman"/>
          <w:noProof/>
          <w:lang w:val="en-US"/>
        </w:rPr>
        <w:t>iii</w:t>
      </w:r>
      <w:r w:rsidR="00155C2E" w:rsidRPr="00D4396B">
        <w:rPr>
          <w:rFonts w:eastAsia="Times New Roman"/>
          <w:noProof/>
          <w:lang w:val="en-US"/>
        </w:rPr>
        <w:t>)</w:t>
      </w:r>
      <w:r w:rsidR="03477AA7" w:rsidRPr="00D4396B">
        <w:rPr>
          <w:rFonts w:eastAsia="Times New Roman"/>
          <w:noProof/>
          <w:lang w:val="en-US"/>
        </w:rPr>
        <w:t>, which would have a positive impact on the support provided to national authoritie</w:t>
      </w:r>
      <w:r w:rsidR="00B36BFE" w:rsidRPr="00D4396B">
        <w:rPr>
          <w:rFonts w:eastAsia="Times New Roman"/>
          <w:noProof/>
          <w:lang w:val="en-US"/>
        </w:rPr>
        <w:t xml:space="preserve">s, and further coordination </w:t>
      </w:r>
      <w:r w:rsidR="00B40503">
        <w:rPr>
          <w:rFonts w:eastAsia="Times New Roman"/>
          <w:noProof/>
          <w:lang w:val="en-US"/>
        </w:rPr>
        <w:t xml:space="preserve">and improved coherence </w:t>
      </w:r>
      <w:r w:rsidR="00B36BFE" w:rsidRPr="00D4396B">
        <w:rPr>
          <w:rFonts w:eastAsia="Times New Roman"/>
          <w:noProof/>
          <w:lang w:val="en-US"/>
        </w:rPr>
        <w:t xml:space="preserve">through </w:t>
      </w:r>
      <w:r w:rsidR="00AF1AD7" w:rsidRPr="00D4396B">
        <w:rPr>
          <w:rFonts w:eastAsia="Times New Roman"/>
          <w:noProof/>
          <w:lang w:val="en-US"/>
        </w:rPr>
        <w:t>involvement of Europol liaison officers in the College (iv).</w:t>
      </w:r>
    </w:p>
    <w:p w14:paraId="43E78E58" w14:textId="4CDD4A83" w:rsidR="03477AA7" w:rsidRPr="00D4396B" w:rsidRDefault="4E9A71CF" w:rsidP="003B0D3B">
      <w:pPr>
        <w:spacing w:after="120"/>
        <w:rPr>
          <w:rFonts w:eastAsia="Times New Roman"/>
          <w:noProof/>
          <w:lang w:val="en-US"/>
        </w:rPr>
      </w:pPr>
      <w:r w:rsidRPr="00D4396B">
        <w:rPr>
          <w:rFonts w:eastAsia="Times New Roman"/>
          <w:noProof/>
          <w:lang w:val="en-US"/>
        </w:rPr>
        <w:t xml:space="preserve">The increased level of coordination would improve operational output, notably by enabling the identification of a higher number of </w:t>
      </w:r>
      <w:r w:rsidR="199270BA" w:rsidRPr="6737A7E3">
        <w:rPr>
          <w:rFonts w:eastAsia="Times New Roman"/>
          <w:noProof/>
          <w:lang w:val="en-US"/>
        </w:rPr>
        <w:t>connected</w:t>
      </w:r>
      <w:r w:rsidR="199270BA" w:rsidRPr="00D4396B">
        <w:rPr>
          <w:rFonts w:eastAsia="Times New Roman"/>
          <w:noProof/>
          <w:lang w:val="en-US"/>
        </w:rPr>
        <w:t xml:space="preserve"> </w:t>
      </w:r>
      <w:r w:rsidRPr="00D4396B">
        <w:rPr>
          <w:rFonts w:eastAsia="Times New Roman"/>
          <w:noProof/>
          <w:lang w:val="en-US"/>
        </w:rPr>
        <w:t>cases. At the same time, the larger number of identified cases may generate additional resource needs for Member States, both at the level of national desks and within prosecution authorities.</w:t>
      </w:r>
      <w:r w:rsidR="00553D55" w:rsidRPr="00D4396B">
        <w:rPr>
          <w:rStyle w:val="FootnoteReference"/>
          <w:rFonts w:eastAsia="Times New Roman"/>
          <w:noProof/>
          <w:lang w:val="en-US"/>
        </w:rPr>
        <w:footnoteReference w:id="131"/>
      </w:r>
    </w:p>
    <w:p w14:paraId="2A152A54" w14:textId="4BDFA7A1" w:rsidR="03477AA7" w:rsidRPr="00D4396B" w:rsidRDefault="03477AA7" w:rsidP="003B0D3B">
      <w:pPr>
        <w:spacing w:after="120"/>
        <w:rPr>
          <w:rFonts w:eastAsia="Times New Roman"/>
          <w:noProof/>
          <w:lang w:val="en-US"/>
        </w:rPr>
      </w:pPr>
      <w:r w:rsidRPr="00D4396B">
        <w:rPr>
          <w:rFonts w:eastAsia="Times New Roman"/>
          <w:noProof/>
          <w:lang w:val="en-US"/>
        </w:rPr>
        <w:t>The effectiveness of this option would depend on adequate inter</w:t>
      </w:r>
      <w:r w:rsidR="4AF50B44" w:rsidRPr="00D4396B">
        <w:rPr>
          <w:rFonts w:eastAsia="Times New Roman"/>
          <w:noProof/>
          <w:lang w:val="en-US"/>
        </w:rPr>
        <w:t>-agency</w:t>
      </w:r>
      <w:r w:rsidRPr="00D4396B">
        <w:rPr>
          <w:rFonts w:eastAsia="Times New Roman"/>
          <w:noProof/>
          <w:lang w:val="en-US"/>
        </w:rPr>
        <w:t xml:space="preserve"> coordination, </w:t>
      </w:r>
      <w:r w:rsidR="007F7742">
        <w:rPr>
          <w:rFonts w:eastAsia="Times New Roman"/>
          <w:noProof/>
          <w:lang w:val="en-US"/>
        </w:rPr>
        <w:t xml:space="preserve">such as </w:t>
      </w:r>
      <w:r w:rsidRPr="00D4396B">
        <w:rPr>
          <w:rFonts w:eastAsia="Times New Roman"/>
          <w:noProof/>
          <w:lang w:val="en-US"/>
        </w:rPr>
        <w:t>introducing corresponding provisions in the Europol Regulation.</w:t>
      </w:r>
    </w:p>
    <w:p w14:paraId="53AB1F40" w14:textId="67AC9EEA" w:rsidR="03477AA7" w:rsidRPr="00D4396B" w:rsidRDefault="4E9A71CF" w:rsidP="003B0D3B">
      <w:pPr>
        <w:spacing w:after="120"/>
        <w:rPr>
          <w:noProof/>
        </w:rPr>
      </w:pPr>
      <w:r w:rsidRPr="00D4396B">
        <w:rPr>
          <w:rFonts w:eastAsia="Times New Roman"/>
          <w:noProof/>
          <w:lang w:val="en-US"/>
        </w:rPr>
        <w:t xml:space="preserve">Overall, this option is expected to </w:t>
      </w:r>
      <w:r w:rsidR="5EE1034D" w:rsidRPr="00D4396B">
        <w:rPr>
          <w:rFonts w:eastAsia="Times New Roman"/>
          <w:noProof/>
          <w:lang w:val="en-US"/>
        </w:rPr>
        <w:t xml:space="preserve">have </w:t>
      </w:r>
      <w:r w:rsidRPr="00D4396B">
        <w:rPr>
          <w:rFonts w:eastAsia="Times New Roman"/>
          <w:noProof/>
          <w:lang w:val="en-US"/>
        </w:rPr>
        <w:t>a moderately positive impact on the fight against crime and on digitalisation, while entailing moderately higher transactional costs.</w:t>
      </w:r>
      <w:r w:rsidR="00553D55" w:rsidRPr="00D4396B">
        <w:rPr>
          <w:rStyle w:val="FootnoteReference"/>
          <w:rFonts w:eastAsia="Times New Roman"/>
          <w:noProof/>
          <w:lang w:val="en-US"/>
        </w:rPr>
        <w:footnoteReference w:id="132"/>
      </w:r>
      <w:r w:rsidR="00E613D0">
        <w:rPr>
          <w:rFonts w:eastAsia="Times New Roman"/>
          <w:noProof/>
          <w:lang w:val="en-US"/>
        </w:rPr>
        <w:t xml:space="preserve"> </w:t>
      </w:r>
    </w:p>
    <w:p w14:paraId="5739AD13" w14:textId="556EC014" w:rsidR="03477AA7" w:rsidRPr="00D4396B" w:rsidRDefault="00BC53E7" w:rsidP="003B0D3B">
      <w:pPr>
        <w:spacing w:after="120"/>
        <w:rPr>
          <w:rFonts w:eastAsia="Times New Roman"/>
          <w:b/>
          <w:bCs/>
          <w:noProof/>
          <w:lang w:val="en-US"/>
        </w:rPr>
      </w:pPr>
      <w:r w:rsidRPr="00D4396B">
        <w:rPr>
          <w:rFonts w:eastAsia="Times New Roman"/>
          <w:b/>
          <w:bCs/>
          <w:noProof/>
          <w:lang w:val="en-US"/>
        </w:rPr>
        <w:t>D</w:t>
      </w:r>
      <w:r w:rsidR="00D17315" w:rsidRPr="00D4396B">
        <w:rPr>
          <w:rFonts w:eastAsia="Times New Roman"/>
          <w:b/>
          <w:bCs/>
          <w:noProof/>
          <w:lang w:val="en-US"/>
        </w:rPr>
        <w:t>.</w:t>
      </w:r>
      <w:r w:rsidR="03477AA7" w:rsidRPr="00D4396B">
        <w:rPr>
          <w:rFonts w:eastAsia="Times New Roman"/>
          <w:b/>
          <w:bCs/>
          <w:noProof/>
          <w:lang w:val="en-US"/>
        </w:rPr>
        <w:t>PO3</w:t>
      </w:r>
      <w:r w:rsidR="00D17315" w:rsidRPr="00D4396B">
        <w:rPr>
          <w:rFonts w:eastAsia="Times New Roman"/>
          <w:b/>
          <w:bCs/>
          <w:noProof/>
          <w:lang w:val="en-US"/>
        </w:rPr>
        <w:t>:</w:t>
      </w:r>
      <w:r w:rsidR="03477AA7" w:rsidRPr="00D4396B">
        <w:rPr>
          <w:rFonts w:eastAsia="Times New Roman"/>
          <w:b/>
          <w:bCs/>
          <w:noProof/>
          <w:lang w:val="en-US"/>
        </w:rPr>
        <w:t xml:space="preserve"> </w:t>
      </w:r>
      <w:r w:rsidR="03477AA7" w:rsidRPr="00D4396B">
        <w:rPr>
          <w:rFonts w:eastAsia="Times New Roman"/>
          <w:noProof/>
          <w:lang w:val="en-US"/>
        </w:rPr>
        <w:t>This option envisages the highest level of structur</w:t>
      </w:r>
      <w:r w:rsidR="087B5A86" w:rsidRPr="00D4396B">
        <w:rPr>
          <w:rFonts w:eastAsia="Times New Roman"/>
          <w:noProof/>
          <w:lang w:val="en-US"/>
        </w:rPr>
        <w:t>ed</w:t>
      </w:r>
      <w:r w:rsidR="03477AA7" w:rsidRPr="00D4396B">
        <w:rPr>
          <w:rFonts w:eastAsia="Times New Roman"/>
          <w:noProof/>
          <w:lang w:val="en-US"/>
        </w:rPr>
        <w:t xml:space="preserve"> working arrangements between Europol and Eurojust. In addition to the measures under </w:t>
      </w:r>
      <w:r w:rsidRPr="00D4396B">
        <w:rPr>
          <w:rFonts w:eastAsia="Times New Roman"/>
          <w:noProof/>
          <w:lang w:val="en-US"/>
        </w:rPr>
        <w:t>D</w:t>
      </w:r>
      <w:r w:rsidR="00D17315" w:rsidRPr="00D4396B">
        <w:rPr>
          <w:rFonts w:eastAsia="Times New Roman"/>
          <w:noProof/>
          <w:lang w:val="en-US"/>
        </w:rPr>
        <w:t>.</w:t>
      </w:r>
      <w:r w:rsidR="03477AA7" w:rsidRPr="00D4396B">
        <w:rPr>
          <w:rFonts w:eastAsia="Times New Roman"/>
          <w:noProof/>
          <w:lang w:val="en-US"/>
        </w:rPr>
        <w:t>PO2, it introduces the codification of a series of operational modalities governing their cooperation</w:t>
      </w:r>
      <w:r w:rsidR="000D1939" w:rsidRPr="00D4396B">
        <w:rPr>
          <w:rFonts w:eastAsia="Times New Roman"/>
          <w:noProof/>
          <w:lang w:val="en-US"/>
        </w:rPr>
        <w:t xml:space="preserve"> (v)</w:t>
      </w:r>
      <w:r w:rsidR="03477AA7" w:rsidRPr="00D4396B">
        <w:rPr>
          <w:rFonts w:eastAsia="Times New Roman"/>
          <w:noProof/>
          <w:lang w:val="en-US"/>
        </w:rPr>
        <w:t>.</w:t>
      </w:r>
    </w:p>
    <w:p w14:paraId="3258588E" w14:textId="15922475" w:rsidR="03477AA7" w:rsidRPr="00D4396B" w:rsidRDefault="03477AA7" w:rsidP="003B0D3B">
      <w:pPr>
        <w:spacing w:after="120"/>
        <w:rPr>
          <w:rFonts w:eastAsia="Times New Roman"/>
          <w:noProof/>
          <w:lang w:val="en-US"/>
        </w:rPr>
      </w:pPr>
      <w:r w:rsidRPr="00D4396B">
        <w:rPr>
          <w:rFonts w:eastAsia="Times New Roman"/>
          <w:noProof/>
          <w:lang w:val="en-US"/>
        </w:rPr>
        <w:t xml:space="preserve">These measures would structure the early involvement of Eurojust in investigations and are expected to further strengthen cooperation </w:t>
      </w:r>
      <w:r w:rsidR="00456A2D">
        <w:rPr>
          <w:rFonts w:eastAsia="Times New Roman"/>
          <w:noProof/>
          <w:lang w:val="en-US"/>
        </w:rPr>
        <w:t>and coherence</w:t>
      </w:r>
      <w:r w:rsidRPr="00D4396B">
        <w:rPr>
          <w:rFonts w:eastAsia="Times New Roman"/>
          <w:noProof/>
          <w:lang w:val="en-US"/>
        </w:rPr>
        <w:t xml:space="preserve"> by fostering greater mutual understanding and more systematic institutional coordination. They would also clarify the respective roles of the two agencies, helping to avoid duplication of work while increasing the number of operational links detected and potential </w:t>
      </w:r>
      <w:r w:rsidR="1068B55D" w:rsidRPr="00D4396B">
        <w:rPr>
          <w:rFonts w:eastAsia="Times New Roman"/>
          <w:noProof/>
          <w:lang w:val="en-US"/>
        </w:rPr>
        <w:t xml:space="preserve">connected </w:t>
      </w:r>
      <w:r w:rsidRPr="00D4396B">
        <w:rPr>
          <w:rFonts w:eastAsia="Times New Roman"/>
          <w:noProof/>
          <w:lang w:val="en-US"/>
        </w:rPr>
        <w:t>cases identified</w:t>
      </w:r>
      <w:r w:rsidR="4428C850" w:rsidRPr="00D4396B">
        <w:rPr>
          <w:rFonts w:eastAsia="Times New Roman"/>
          <w:noProof/>
          <w:lang w:val="en-US"/>
        </w:rPr>
        <w:t xml:space="preserve">, ultimately ensuring operational continuity between their </w:t>
      </w:r>
      <w:r w:rsidR="4BFC884A" w:rsidRPr="00D4396B">
        <w:rPr>
          <w:rFonts w:eastAsia="Times New Roman"/>
          <w:noProof/>
          <w:lang w:val="en-US"/>
        </w:rPr>
        <w:t>actions</w:t>
      </w:r>
      <w:r w:rsidRPr="00D4396B">
        <w:rPr>
          <w:rFonts w:eastAsia="Times New Roman"/>
          <w:noProof/>
          <w:lang w:val="en-US"/>
        </w:rPr>
        <w:t>.</w:t>
      </w:r>
    </w:p>
    <w:p w14:paraId="55083C34" w14:textId="406F39CC" w:rsidR="03477AA7" w:rsidRPr="00D4396B" w:rsidRDefault="4E9A71CF" w:rsidP="003B0D3B">
      <w:pPr>
        <w:spacing w:after="120"/>
        <w:rPr>
          <w:noProof/>
        </w:rPr>
      </w:pPr>
      <w:r w:rsidRPr="00D4396B">
        <w:rPr>
          <w:rFonts w:eastAsia="Times New Roman"/>
          <w:noProof/>
          <w:lang w:val="en-US"/>
        </w:rPr>
        <w:t>As a result, this option would have a positive impact on the fight against crime and on the protection of citizens. At the same time, the increased number of identified cases may create additional resource needs for Member States, particularly in relation to investigations and prosecutions.</w:t>
      </w:r>
      <w:r w:rsidR="00553D55" w:rsidRPr="00D4396B">
        <w:rPr>
          <w:rStyle w:val="FootnoteReference"/>
          <w:rFonts w:eastAsia="Times New Roman"/>
          <w:noProof/>
          <w:lang w:val="en-US"/>
        </w:rPr>
        <w:footnoteReference w:id="133"/>
      </w:r>
    </w:p>
    <w:p w14:paraId="784900D3" w14:textId="4B56BAAD" w:rsidR="00C76475" w:rsidRDefault="4E9A71CF" w:rsidP="003B0D3B">
      <w:pPr>
        <w:spacing w:after="120"/>
        <w:rPr>
          <w:rFonts w:eastAsia="Times New Roman"/>
          <w:noProof/>
          <w:lang w:val="en-US"/>
        </w:rPr>
      </w:pPr>
      <w:r w:rsidRPr="00D4396B">
        <w:rPr>
          <w:rFonts w:eastAsia="Times New Roman"/>
          <w:noProof/>
          <w:lang w:val="en-US"/>
        </w:rPr>
        <w:t>Overall, this option is expected to generate the strongest positive impact among the available policy options. However, it would entail higher feasibility costs, as it would require amendments to the Europol</w:t>
      </w:r>
      <w:r w:rsidR="00A32F49" w:rsidRPr="00D4396B">
        <w:rPr>
          <w:rFonts w:eastAsia="Times New Roman"/>
          <w:noProof/>
          <w:lang w:val="en-US"/>
        </w:rPr>
        <w:t xml:space="preserve"> and E</w:t>
      </w:r>
      <w:r w:rsidRPr="6BFE730C" w:rsidDel="4E9A71CF">
        <w:rPr>
          <w:rFonts w:eastAsia="Times New Roman"/>
          <w:noProof/>
          <w:lang w:val="en-US"/>
        </w:rPr>
        <w:t>urojust</w:t>
      </w:r>
      <w:r w:rsidRPr="00D4396B">
        <w:rPr>
          <w:rFonts w:eastAsia="Times New Roman"/>
          <w:noProof/>
          <w:lang w:val="en-US"/>
        </w:rPr>
        <w:t xml:space="preserve"> Regulation</w:t>
      </w:r>
      <w:r w:rsidR="00A00AD6" w:rsidRPr="00D4396B">
        <w:rPr>
          <w:rFonts w:eastAsia="Times New Roman"/>
          <w:noProof/>
          <w:lang w:val="en-US"/>
        </w:rPr>
        <w:t>s</w:t>
      </w:r>
      <w:r w:rsidRPr="00D4396B">
        <w:rPr>
          <w:rFonts w:eastAsia="Times New Roman"/>
          <w:noProof/>
          <w:lang w:val="en-US"/>
        </w:rPr>
        <w:t>, as well as sustained operational engagement from Europol and</w:t>
      </w:r>
      <w:r w:rsidR="00E35442" w:rsidRPr="00D4396B">
        <w:rPr>
          <w:rFonts w:eastAsia="Times New Roman"/>
          <w:noProof/>
          <w:lang w:val="en-US"/>
        </w:rPr>
        <w:t xml:space="preserve"> Eurojust and</w:t>
      </w:r>
      <w:r w:rsidRPr="00D4396B">
        <w:rPr>
          <w:rFonts w:eastAsia="Times New Roman"/>
          <w:noProof/>
          <w:lang w:val="en-US"/>
        </w:rPr>
        <w:t xml:space="preserve"> the </w:t>
      </w:r>
      <w:r w:rsidR="3881816E" w:rsidRPr="00D4396B">
        <w:rPr>
          <w:rFonts w:eastAsia="Times New Roman"/>
          <w:noProof/>
          <w:lang w:val="en-US"/>
        </w:rPr>
        <w:t>mobili</w:t>
      </w:r>
      <w:r w:rsidR="00CD373E">
        <w:rPr>
          <w:rFonts w:eastAsia="Times New Roman"/>
          <w:noProof/>
          <w:lang w:val="en-US"/>
        </w:rPr>
        <w:t>s</w:t>
      </w:r>
      <w:r w:rsidR="3881816E" w:rsidRPr="00D4396B">
        <w:rPr>
          <w:rFonts w:eastAsia="Times New Roman"/>
          <w:noProof/>
          <w:lang w:val="en-US"/>
        </w:rPr>
        <w:t>ation</w:t>
      </w:r>
      <w:r w:rsidRPr="00D4396B">
        <w:rPr>
          <w:rFonts w:eastAsia="Times New Roman"/>
          <w:noProof/>
          <w:lang w:val="en-US"/>
        </w:rPr>
        <w:t xml:space="preserve"> of additional resource</w:t>
      </w:r>
      <w:r w:rsidR="5A3BCD92" w:rsidRPr="00D4396B">
        <w:rPr>
          <w:rFonts w:eastAsia="Times New Roman"/>
          <w:noProof/>
          <w:lang w:val="en-US"/>
        </w:rPr>
        <w:t>s</w:t>
      </w:r>
      <w:r w:rsidRPr="00D4396B">
        <w:rPr>
          <w:rFonts w:eastAsia="Times New Roman"/>
          <w:noProof/>
          <w:lang w:val="en-US"/>
        </w:rPr>
        <w:t>.</w:t>
      </w:r>
      <w:r w:rsidR="00C53E41" w:rsidRPr="00D4396B">
        <w:rPr>
          <w:rStyle w:val="FootnoteReference"/>
          <w:rFonts w:eastAsia="Times New Roman"/>
          <w:noProof/>
          <w:lang w:val="en-US"/>
        </w:rPr>
        <w:footnoteReference w:id="134"/>
      </w:r>
    </w:p>
    <w:p w14:paraId="52295837" w14:textId="610C93B2" w:rsidR="634705DD" w:rsidRPr="00C23564" w:rsidRDefault="634705DD" w:rsidP="300D80D8">
      <w:pPr>
        <w:spacing w:after="120"/>
        <w:rPr>
          <w:rFonts w:eastAsia="Times New Roman"/>
          <w:noProof/>
          <w:u w:val="single"/>
          <w:lang w:val="en-US"/>
        </w:rPr>
      </w:pPr>
      <w:r w:rsidRPr="00C23564">
        <w:rPr>
          <w:rFonts w:eastAsia="Times New Roman"/>
          <w:noProof/>
          <w:u w:val="single"/>
          <w:lang w:val="en-US"/>
        </w:rPr>
        <w:t xml:space="preserve">Table </w:t>
      </w:r>
      <w:r w:rsidR="001C2582">
        <w:rPr>
          <w:rFonts w:eastAsia="Times New Roman"/>
          <w:noProof/>
          <w:u w:val="single"/>
          <w:lang w:val="en-US"/>
        </w:rPr>
        <w:t>8</w:t>
      </w:r>
      <w:r w:rsidRPr="00C23564">
        <w:rPr>
          <w:rFonts w:eastAsia="Times New Roman"/>
          <w:noProof/>
          <w:u w:val="single"/>
          <w:lang w:val="en-US"/>
        </w:rPr>
        <w:t>:</w:t>
      </w:r>
      <w:r w:rsidR="00E324A3" w:rsidRPr="00C23564">
        <w:rPr>
          <w:rFonts w:eastAsia="Times New Roman"/>
          <w:noProof/>
          <w:u w:val="single"/>
          <w:lang w:val="en-US"/>
        </w:rPr>
        <w:t xml:space="preserve"> </w:t>
      </w:r>
      <w:r w:rsidR="001C2582" w:rsidRPr="002140B7">
        <w:rPr>
          <w:rFonts w:eastAsia="Times New Roman"/>
          <w:noProof/>
          <w:u w:val="single"/>
        </w:rPr>
        <w:t xml:space="preserve">Impacts of policy option </w:t>
      </w:r>
      <w:r w:rsidR="001C2582">
        <w:rPr>
          <w:rFonts w:eastAsia="Times New Roman"/>
          <w:noProof/>
          <w:u w:val="single"/>
        </w:rPr>
        <w:t>in</w:t>
      </w:r>
      <w:r w:rsidR="001C2582" w:rsidRPr="002140B7">
        <w:rPr>
          <w:rFonts w:eastAsia="Times New Roman"/>
          <w:noProof/>
          <w:u w:val="single"/>
        </w:rPr>
        <w:t xml:space="preserve"> intervention area </w:t>
      </w:r>
      <w:r w:rsidR="001C2582">
        <w:rPr>
          <w:rFonts w:eastAsia="Times New Roman"/>
          <w:noProof/>
          <w:u w:val="single"/>
        </w:rPr>
        <w:t>D</w:t>
      </w:r>
    </w:p>
    <w:tbl>
      <w:tblPr>
        <w:tblW w:w="5000" w:type="pct"/>
        <w:tblCellMar>
          <w:left w:w="70" w:type="dxa"/>
          <w:right w:w="70" w:type="dxa"/>
        </w:tblCellMar>
        <w:tblLook w:val="04A0" w:firstRow="1" w:lastRow="0" w:firstColumn="1" w:lastColumn="0" w:noHBand="0" w:noVBand="1"/>
      </w:tblPr>
      <w:tblGrid>
        <w:gridCol w:w="2747"/>
        <w:gridCol w:w="389"/>
        <w:gridCol w:w="537"/>
        <w:gridCol w:w="910"/>
        <w:gridCol w:w="774"/>
        <w:gridCol w:w="592"/>
        <w:gridCol w:w="635"/>
        <w:gridCol w:w="774"/>
        <w:gridCol w:w="1240"/>
      </w:tblGrid>
      <w:tr w:rsidR="00777737" w:rsidRPr="00D4396B" w14:paraId="7E4939A2" w14:textId="77777777" w:rsidTr="00C23564">
        <w:trPr>
          <w:trHeight w:val="595"/>
        </w:trPr>
        <w:tc>
          <w:tcPr>
            <w:tcW w:w="1598" w:type="pct"/>
            <w:tcBorders>
              <w:top w:val="single" w:sz="8" w:space="0" w:color="auto"/>
              <w:left w:val="single" w:sz="8" w:space="0" w:color="auto"/>
              <w:bottom w:val="nil"/>
              <w:right w:val="single" w:sz="8" w:space="0" w:color="auto"/>
            </w:tcBorders>
            <w:shd w:val="clear" w:color="auto" w:fill="EBF8F8"/>
            <w:vAlign w:val="center"/>
            <w:hideMark/>
          </w:tcPr>
          <w:p w14:paraId="10D92B16" w14:textId="5FD306E8" w:rsidR="00576270" w:rsidRPr="00D4396B" w:rsidRDefault="00433ECF" w:rsidP="00576270">
            <w:pPr>
              <w:spacing w:after="0"/>
              <w:jc w:val="left"/>
              <w:rPr>
                <w:rFonts w:eastAsia="Times New Roman"/>
                <w:b/>
                <w:bCs/>
                <w:noProof/>
                <w:sz w:val="14"/>
                <w:szCs w:val="14"/>
                <w:lang w:val="en-US" w:eastAsia="de-DE"/>
              </w:rPr>
            </w:pPr>
            <w:r>
              <w:rPr>
                <w:rFonts w:eastAsia="Times New Roman"/>
                <w:b/>
                <w:bCs/>
                <w:noProof/>
                <w:sz w:val="14"/>
                <w:szCs w:val="14"/>
                <w:lang w:val="en-US" w:eastAsia="de-DE"/>
              </w:rPr>
              <w:t>D</w:t>
            </w:r>
            <w:r w:rsidR="00576270" w:rsidRPr="00D4396B">
              <w:rPr>
                <w:rFonts w:eastAsia="Times New Roman"/>
                <w:b/>
                <w:bCs/>
                <w:noProof/>
                <w:sz w:val="14"/>
                <w:szCs w:val="14"/>
                <w:lang w:val="en-US" w:eastAsia="de-DE"/>
              </w:rPr>
              <w:t>. Fostering and strengthening structured operational cooperation with Europol </w:t>
            </w:r>
          </w:p>
        </w:tc>
        <w:tc>
          <w:tcPr>
            <w:tcW w:w="1068" w:type="pct"/>
            <w:gridSpan w:val="3"/>
            <w:tcBorders>
              <w:top w:val="single" w:sz="8" w:space="0" w:color="auto"/>
              <w:left w:val="nil"/>
              <w:bottom w:val="single" w:sz="8" w:space="0" w:color="auto"/>
              <w:right w:val="single" w:sz="8" w:space="0" w:color="000000" w:themeColor="text1"/>
            </w:tcBorders>
            <w:noWrap/>
            <w:vAlign w:val="center"/>
            <w:hideMark/>
          </w:tcPr>
          <w:p w14:paraId="7656B372" w14:textId="77777777" w:rsidR="00576270" w:rsidRPr="00D4396B" w:rsidRDefault="00576270" w:rsidP="00576270">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Effectiveness</w:t>
            </w:r>
          </w:p>
        </w:tc>
        <w:tc>
          <w:tcPr>
            <w:tcW w:w="450" w:type="pct"/>
            <w:tcBorders>
              <w:top w:val="single" w:sz="8" w:space="0" w:color="auto"/>
              <w:left w:val="nil"/>
              <w:bottom w:val="nil"/>
              <w:right w:val="single" w:sz="8" w:space="0" w:color="auto"/>
            </w:tcBorders>
            <w:noWrap/>
            <w:vAlign w:val="center"/>
            <w:hideMark/>
          </w:tcPr>
          <w:p w14:paraId="772F0F0D" w14:textId="77777777" w:rsidR="00576270" w:rsidRPr="00D4396B" w:rsidRDefault="00576270" w:rsidP="00576270">
            <w:pPr>
              <w:spacing w:after="0"/>
              <w:jc w:val="left"/>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Efficiency</w:t>
            </w:r>
          </w:p>
        </w:tc>
        <w:tc>
          <w:tcPr>
            <w:tcW w:w="1162" w:type="pct"/>
            <w:gridSpan w:val="3"/>
            <w:tcBorders>
              <w:top w:val="single" w:sz="8" w:space="0" w:color="auto"/>
              <w:left w:val="nil"/>
              <w:bottom w:val="single" w:sz="8" w:space="0" w:color="auto"/>
              <w:right w:val="single" w:sz="8" w:space="0" w:color="000000" w:themeColor="text1"/>
            </w:tcBorders>
            <w:noWrap/>
            <w:vAlign w:val="center"/>
            <w:hideMark/>
          </w:tcPr>
          <w:p w14:paraId="636162A0" w14:textId="77777777" w:rsidR="00576270" w:rsidRPr="00D4396B" w:rsidRDefault="00576270" w:rsidP="00576270">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Coherence</w:t>
            </w:r>
          </w:p>
        </w:tc>
        <w:tc>
          <w:tcPr>
            <w:tcW w:w="722" w:type="pct"/>
            <w:tcBorders>
              <w:top w:val="single" w:sz="8" w:space="0" w:color="auto"/>
              <w:left w:val="nil"/>
              <w:bottom w:val="nil"/>
              <w:right w:val="single" w:sz="8" w:space="0" w:color="auto"/>
            </w:tcBorders>
            <w:vAlign w:val="center"/>
            <w:hideMark/>
          </w:tcPr>
          <w:p w14:paraId="2A118C89" w14:textId="77777777" w:rsidR="00576270" w:rsidRPr="00D4396B" w:rsidRDefault="00576270" w:rsidP="00576270">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Total criteria score</w:t>
            </w:r>
            <w:r w:rsidRPr="00D4396B">
              <w:rPr>
                <w:rFonts w:eastAsia="Times New Roman"/>
                <w:b/>
                <w:bCs/>
                <w:noProof/>
                <w:color w:val="000000"/>
                <w:sz w:val="14"/>
                <w:szCs w:val="14"/>
                <w:lang w:val="de-DE" w:eastAsia="de-DE"/>
              </w:rPr>
              <w:br/>
              <w:t>Sensitivity 2</w:t>
            </w:r>
          </w:p>
        </w:tc>
      </w:tr>
      <w:tr w:rsidR="00777737" w:rsidRPr="00D4396B" w14:paraId="09EA5F34" w14:textId="77777777" w:rsidTr="00C23564">
        <w:trPr>
          <w:trHeight w:val="972"/>
        </w:trPr>
        <w:tc>
          <w:tcPr>
            <w:tcW w:w="1598" w:type="pct"/>
            <w:tcBorders>
              <w:top w:val="nil"/>
              <w:left w:val="single" w:sz="8" w:space="0" w:color="auto"/>
              <w:bottom w:val="single" w:sz="8" w:space="0" w:color="auto"/>
              <w:right w:val="single" w:sz="8" w:space="0" w:color="auto"/>
            </w:tcBorders>
            <w:shd w:val="clear" w:color="auto" w:fill="EBF8F8"/>
            <w:vAlign w:val="center"/>
            <w:hideMark/>
          </w:tcPr>
          <w:p w14:paraId="5A350232" w14:textId="77777777" w:rsidR="00576270" w:rsidRPr="00D4396B" w:rsidRDefault="00576270" w:rsidP="00576270">
            <w:pPr>
              <w:spacing w:after="0"/>
              <w:rPr>
                <w:rFonts w:eastAsia="Times New Roman"/>
                <w:i/>
                <w:iCs/>
                <w:noProof/>
                <w:sz w:val="14"/>
                <w:szCs w:val="14"/>
                <w:lang w:val="en-US" w:eastAsia="de-DE"/>
              </w:rPr>
            </w:pPr>
            <w:r w:rsidRPr="00D4396B">
              <w:rPr>
                <w:rFonts w:eastAsia="Times New Roman"/>
                <w:i/>
                <w:iCs/>
                <w:noProof/>
                <w:sz w:val="14"/>
                <w:szCs w:val="14"/>
                <w:lang w:val="en-US" w:eastAsia="de-DE"/>
              </w:rPr>
              <w:t>Addressing problem driver(s): </w:t>
            </w:r>
            <w:r w:rsidRPr="00D4396B">
              <w:rPr>
                <w:rFonts w:eastAsia="Times New Roman"/>
                <w:i/>
                <w:iCs/>
                <w:noProof/>
                <w:sz w:val="14"/>
                <w:szCs w:val="14"/>
                <w:lang w:val="en-US" w:eastAsia="de-DE"/>
              </w:rPr>
              <w:br/>
              <w:t>#8 Absence of a structurally embedded cooperation with Europol </w:t>
            </w:r>
          </w:p>
        </w:tc>
        <w:tc>
          <w:tcPr>
            <w:tcW w:w="226" w:type="pct"/>
            <w:tcBorders>
              <w:top w:val="nil"/>
              <w:left w:val="nil"/>
              <w:bottom w:val="single" w:sz="8" w:space="0" w:color="auto"/>
              <w:right w:val="single" w:sz="8" w:space="0" w:color="auto"/>
            </w:tcBorders>
            <w:noWrap/>
            <w:vAlign w:val="center"/>
            <w:hideMark/>
          </w:tcPr>
          <w:p w14:paraId="3EA22C3A"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SO2</w:t>
            </w:r>
          </w:p>
        </w:tc>
        <w:tc>
          <w:tcPr>
            <w:tcW w:w="313" w:type="pct"/>
            <w:tcBorders>
              <w:top w:val="nil"/>
              <w:left w:val="nil"/>
              <w:bottom w:val="single" w:sz="8" w:space="0" w:color="auto"/>
              <w:right w:val="single" w:sz="8" w:space="0" w:color="auto"/>
            </w:tcBorders>
            <w:noWrap/>
            <w:vAlign w:val="center"/>
            <w:hideMark/>
          </w:tcPr>
          <w:p w14:paraId="6E8794C5"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GO</w:t>
            </w:r>
          </w:p>
        </w:tc>
        <w:tc>
          <w:tcPr>
            <w:tcW w:w="528" w:type="pct"/>
            <w:tcBorders>
              <w:top w:val="nil"/>
              <w:left w:val="nil"/>
              <w:bottom w:val="single" w:sz="8" w:space="0" w:color="auto"/>
              <w:right w:val="single" w:sz="8" w:space="0" w:color="auto"/>
            </w:tcBorders>
            <w:vAlign w:val="center"/>
            <w:hideMark/>
          </w:tcPr>
          <w:p w14:paraId="62633264" w14:textId="77777777" w:rsidR="00576270" w:rsidRPr="00D4396B" w:rsidRDefault="00576270" w:rsidP="00576270">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Effectiveness score </w:t>
            </w:r>
            <w:r w:rsidRPr="00D4396B">
              <w:rPr>
                <w:rFonts w:eastAsia="Times New Roman"/>
                <w:noProof/>
                <w:color w:val="000000"/>
                <w:sz w:val="14"/>
                <w:szCs w:val="14"/>
                <w:lang w:val="en-US" w:eastAsia="de-DE"/>
              </w:rPr>
              <w:br/>
              <w:t>= average SO2+GO</w:t>
            </w:r>
          </w:p>
        </w:tc>
        <w:tc>
          <w:tcPr>
            <w:tcW w:w="450" w:type="pct"/>
            <w:tcBorders>
              <w:top w:val="single" w:sz="8" w:space="0" w:color="auto"/>
              <w:left w:val="nil"/>
              <w:bottom w:val="single" w:sz="8" w:space="0" w:color="auto"/>
              <w:right w:val="single" w:sz="8" w:space="0" w:color="auto"/>
            </w:tcBorders>
            <w:noWrap/>
            <w:vAlign w:val="center"/>
            <w:hideMark/>
          </w:tcPr>
          <w:p w14:paraId="129104AA" w14:textId="77777777" w:rsidR="00576270" w:rsidRPr="00D4396B" w:rsidRDefault="00576270" w:rsidP="00576270">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w:t>
            </w:r>
          </w:p>
        </w:tc>
        <w:tc>
          <w:tcPr>
            <w:tcW w:w="344" w:type="pct"/>
            <w:tcBorders>
              <w:top w:val="nil"/>
              <w:left w:val="nil"/>
              <w:bottom w:val="single" w:sz="8" w:space="0" w:color="auto"/>
              <w:right w:val="single" w:sz="8" w:space="0" w:color="auto"/>
            </w:tcBorders>
            <w:noWrap/>
            <w:vAlign w:val="center"/>
            <w:hideMark/>
          </w:tcPr>
          <w:p w14:paraId="606CBB88"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Internal</w:t>
            </w:r>
          </w:p>
        </w:tc>
        <w:tc>
          <w:tcPr>
            <w:tcW w:w="369" w:type="pct"/>
            <w:tcBorders>
              <w:top w:val="nil"/>
              <w:left w:val="nil"/>
              <w:bottom w:val="single" w:sz="8" w:space="0" w:color="auto"/>
              <w:right w:val="single" w:sz="8" w:space="0" w:color="auto"/>
            </w:tcBorders>
            <w:noWrap/>
            <w:vAlign w:val="center"/>
            <w:hideMark/>
          </w:tcPr>
          <w:p w14:paraId="46633F13"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External</w:t>
            </w:r>
          </w:p>
        </w:tc>
        <w:tc>
          <w:tcPr>
            <w:tcW w:w="450" w:type="pct"/>
            <w:tcBorders>
              <w:top w:val="nil"/>
              <w:left w:val="nil"/>
              <w:bottom w:val="single" w:sz="8" w:space="0" w:color="auto"/>
              <w:right w:val="single" w:sz="8" w:space="0" w:color="auto"/>
            </w:tcBorders>
            <w:vAlign w:val="center"/>
            <w:hideMark/>
          </w:tcPr>
          <w:p w14:paraId="6877A09B" w14:textId="77777777" w:rsidR="00576270" w:rsidRPr="00D4396B" w:rsidRDefault="00576270" w:rsidP="00576270">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Coherence score </w:t>
            </w:r>
            <w:r w:rsidRPr="00D4396B">
              <w:rPr>
                <w:rFonts w:eastAsia="Times New Roman"/>
                <w:noProof/>
                <w:color w:val="000000"/>
                <w:sz w:val="14"/>
                <w:szCs w:val="14"/>
                <w:lang w:val="en-US" w:eastAsia="de-DE"/>
              </w:rPr>
              <w:br/>
              <w:t>= average Internal+ External</w:t>
            </w:r>
          </w:p>
        </w:tc>
        <w:tc>
          <w:tcPr>
            <w:tcW w:w="722" w:type="pct"/>
            <w:tcBorders>
              <w:top w:val="single" w:sz="8" w:space="0" w:color="auto"/>
              <w:left w:val="nil"/>
              <w:bottom w:val="single" w:sz="8" w:space="0" w:color="auto"/>
              <w:right w:val="single" w:sz="8" w:space="0" w:color="auto"/>
            </w:tcBorders>
            <w:vAlign w:val="center"/>
            <w:hideMark/>
          </w:tcPr>
          <w:p w14:paraId="505938F1"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Effectiveness = 0.5</w:t>
            </w:r>
            <w:r w:rsidRPr="00D4396B">
              <w:rPr>
                <w:rFonts w:eastAsia="Times New Roman"/>
                <w:noProof/>
                <w:color w:val="000000"/>
                <w:sz w:val="14"/>
                <w:szCs w:val="14"/>
                <w:lang w:val="de-DE" w:eastAsia="de-DE"/>
              </w:rPr>
              <w:br/>
              <w:t>Efficiency = 0.3</w:t>
            </w:r>
            <w:r w:rsidRPr="00D4396B">
              <w:rPr>
                <w:rFonts w:eastAsia="Times New Roman"/>
                <w:noProof/>
                <w:color w:val="000000"/>
                <w:sz w:val="14"/>
                <w:szCs w:val="14"/>
                <w:lang w:val="de-DE" w:eastAsia="de-DE"/>
              </w:rPr>
              <w:br/>
              <w:t>Coherence = 0.2</w:t>
            </w:r>
          </w:p>
        </w:tc>
      </w:tr>
      <w:tr w:rsidR="00576270" w:rsidRPr="00D4396B" w14:paraId="5D398054" w14:textId="77777777" w:rsidTr="00C23564">
        <w:trPr>
          <w:trHeight w:val="278"/>
        </w:trPr>
        <w:tc>
          <w:tcPr>
            <w:tcW w:w="1598" w:type="pct"/>
            <w:tcBorders>
              <w:top w:val="nil"/>
              <w:left w:val="single" w:sz="8" w:space="0" w:color="auto"/>
              <w:bottom w:val="single" w:sz="8" w:space="0" w:color="auto"/>
              <w:right w:val="nil"/>
            </w:tcBorders>
            <w:noWrap/>
            <w:vAlign w:val="bottom"/>
            <w:hideMark/>
          </w:tcPr>
          <w:p w14:paraId="7F5305B5" w14:textId="23DDC8FB" w:rsidR="00576270" w:rsidRPr="00D4396B" w:rsidRDefault="00547931" w:rsidP="00576270">
            <w:pPr>
              <w:spacing w:after="0"/>
              <w:jc w:val="left"/>
              <w:rPr>
                <w:rFonts w:eastAsia="Times New Roman"/>
                <w:noProof/>
                <w:color w:val="000000"/>
                <w:sz w:val="14"/>
                <w:szCs w:val="14"/>
                <w:lang w:val="de-DE" w:eastAsia="de-DE"/>
              </w:rPr>
            </w:pPr>
            <w:r w:rsidRPr="00D4396B">
              <w:rPr>
                <w:rFonts w:eastAsia="Times New Roman"/>
                <w:noProof/>
                <w:color w:val="000000"/>
                <w:sz w:val="14"/>
                <w:szCs w:val="14"/>
                <w:lang w:val="de-DE" w:eastAsia="de-DE"/>
              </w:rPr>
              <w:t>D</w:t>
            </w:r>
            <w:r w:rsidR="00D17315" w:rsidRPr="00D4396B">
              <w:rPr>
                <w:rFonts w:eastAsia="Times New Roman"/>
                <w:noProof/>
                <w:color w:val="000000"/>
                <w:sz w:val="14"/>
                <w:szCs w:val="14"/>
                <w:lang w:val="de-DE" w:eastAsia="de-DE"/>
              </w:rPr>
              <w:t>.</w:t>
            </w:r>
            <w:r w:rsidR="00576270" w:rsidRPr="00D4396B">
              <w:rPr>
                <w:rFonts w:eastAsia="Times New Roman"/>
                <w:noProof/>
                <w:color w:val="000000"/>
                <w:sz w:val="14"/>
                <w:szCs w:val="14"/>
                <w:lang w:val="de-DE" w:eastAsia="de-DE"/>
              </w:rPr>
              <w:t>PO1 (i.a, ii.a)</w:t>
            </w:r>
          </w:p>
        </w:tc>
        <w:tc>
          <w:tcPr>
            <w:tcW w:w="226" w:type="pct"/>
            <w:tcBorders>
              <w:top w:val="nil"/>
              <w:left w:val="single" w:sz="8" w:space="0" w:color="auto"/>
              <w:bottom w:val="single" w:sz="8" w:space="0" w:color="auto"/>
              <w:right w:val="single" w:sz="8" w:space="0" w:color="auto"/>
            </w:tcBorders>
            <w:noWrap/>
            <w:vAlign w:val="center"/>
            <w:hideMark/>
          </w:tcPr>
          <w:p w14:paraId="2F0EFD52"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313" w:type="pct"/>
            <w:tcBorders>
              <w:top w:val="nil"/>
              <w:left w:val="nil"/>
              <w:bottom w:val="single" w:sz="8" w:space="0" w:color="auto"/>
              <w:right w:val="single" w:sz="8" w:space="0" w:color="auto"/>
            </w:tcBorders>
            <w:noWrap/>
            <w:vAlign w:val="center"/>
            <w:hideMark/>
          </w:tcPr>
          <w:p w14:paraId="6D190356"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0.00</w:t>
            </w:r>
          </w:p>
        </w:tc>
        <w:tc>
          <w:tcPr>
            <w:tcW w:w="528" w:type="pct"/>
            <w:tcBorders>
              <w:top w:val="nil"/>
              <w:left w:val="nil"/>
              <w:bottom w:val="single" w:sz="8" w:space="0" w:color="auto"/>
              <w:right w:val="single" w:sz="8" w:space="0" w:color="auto"/>
            </w:tcBorders>
            <w:noWrap/>
            <w:vAlign w:val="center"/>
            <w:hideMark/>
          </w:tcPr>
          <w:p w14:paraId="73A1DE32"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0.25</w:t>
            </w:r>
          </w:p>
        </w:tc>
        <w:tc>
          <w:tcPr>
            <w:tcW w:w="450" w:type="pct"/>
            <w:tcBorders>
              <w:top w:val="nil"/>
              <w:left w:val="nil"/>
              <w:bottom w:val="single" w:sz="8" w:space="0" w:color="auto"/>
              <w:right w:val="single" w:sz="8" w:space="0" w:color="auto"/>
            </w:tcBorders>
            <w:noWrap/>
            <w:vAlign w:val="center"/>
            <w:hideMark/>
          </w:tcPr>
          <w:p w14:paraId="23D609FE"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344" w:type="pct"/>
            <w:tcBorders>
              <w:top w:val="nil"/>
              <w:left w:val="nil"/>
              <w:bottom w:val="single" w:sz="8" w:space="0" w:color="auto"/>
              <w:right w:val="single" w:sz="8" w:space="0" w:color="auto"/>
            </w:tcBorders>
            <w:noWrap/>
            <w:vAlign w:val="center"/>
            <w:hideMark/>
          </w:tcPr>
          <w:p w14:paraId="654A296A"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0.75</w:t>
            </w:r>
          </w:p>
        </w:tc>
        <w:tc>
          <w:tcPr>
            <w:tcW w:w="369" w:type="pct"/>
            <w:tcBorders>
              <w:top w:val="nil"/>
              <w:left w:val="nil"/>
              <w:bottom w:val="single" w:sz="8" w:space="0" w:color="auto"/>
              <w:right w:val="single" w:sz="8" w:space="0" w:color="auto"/>
            </w:tcBorders>
            <w:noWrap/>
            <w:vAlign w:val="center"/>
            <w:hideMark/>
          </w:tcPr>
          <w:p w14:paraId="6923C709"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0.75</w:t>
            </w:r>
          </w:p>
        </w:tc>
        <w:tc>
          <w:tcPr>
            <w:tcW w:w="450" w:type="pct"/>
            <w:tcBorders>
              <w:top w:val="nil"/>
              <w:left w:val="nil"/>
              <w:bottom w:val="single" w:sz="8" w:space="0" w:color="auto"/>
              <w:right w:val="single" w:sz="8" w:space="0" w:color="auto"/>
            </w:tcBorders>
            <w:noWrap/>
            <w:vAlign w:val="center"/>
            <w:hideMark/>
          </w:tcPr>
          <w:p w14:paraId="1C9783F5"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0.75</w:t>
            </w:r>
          </w:p>
        </w:tc>
        <w:tc>
          <w:tcPr>
            <w:tcW w:w="722" w:type="pct"/>
            <w:tcBorders>
              <w:top w:val="nil"/>
              <w:left w:val="nil"/>
              <w:bottom w:val="single" w:sz="8" w:space="0" w:color="auto"/>
              <w:right w:val="single" w:sz="8" w:space="0" w:color="auto"/>
            </w:tcBorders>
            <w:noWrap/>
            <w:vAlign w:val="center"/>
            <w:hideMark/>
          </w:tcPr>
          <w:p w14:paraId="7BADFFC1"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0.43</w:t>
            </w:r>
          </w:p>
        </w:tc>
      </w:tr>
      <w:tr w:rsidR="00576270" w:rsidRPr="00D4396B" w14:paraId="5901A8E0" w14:textId="77777777" w:rsidTr="00C23564">
        <w:trPr>
          <w:trHeight w:val="278"/>
        </w:trPr>
        <w:tc>
          <w:tcPr>
            <w:tcW w:w="1598" w:type="pct"/>
            <w:tcBorders>
              <w:top w:val="nil"/>
              <w:left w:val="single" w:sz="8" w:space="0" w:color="auto"/>
              <w:bottom w:val="single" w:sz="8" w:space="0" w:color="auto"/>
              <w:right w:val="nil"/>
            </w:tcBorders>
            <w:noWrap/>
            <w:vAlign w:val="bottom"/>
            <w:hideMark/>
          </w:tcPr>
          <w:p w14:paraId="01FD020B" w14:textId="0E740CBE" w:rsidR="00576270" w:rsidRPr="00E028A0" w:rsidRDefault="00547931" w:rsidP="00576270">
            <w:pPr>
              <w:spacing w:after="0"/>
              <w:jc w:val="left"/>
              <w:rPr>
                <w:rFonts w:eastAsia="Times New Roman"/>
                <w:noProof/>
                <w:color w:val="000000"/>
                <w:sz w:val="14"/>
                <w:szCs w:val="14"/>
                <w:lang w:eastAsia="de-DE"/>
              </w:rPr>
            </w:pPr>
            <w:r w:rsidRPr="00E028A0">
              <w:rPr>
                <w:rFonts w:eastAsia="Times New Roman"/>
                <w:noProof/>
                <w:color w:val="000000"/>
                <w:sz w:val="14"/>
                <w:szCs w:val="14"/>
                <w:lang w:eastAsia="de-DE"/>
              </w:rPr>
              <w:t>D</w:t>
            </w:r>
            <w:r w:rsidR="00D17315" w:rsidRPr="00E028A0">
              <w:rPr>
                <w:rFonts w:eastAsia="Times New Roman"/>
                <w:noProof/>
                <w:color w:val="000000"/>
                <w:sz w:val="14"/>
                <w:szCs w:val="14"/>
                <w:lang w:eastAsia="de-DE"/>
              </w:rPr>
              <w:t>.</w:t>
            </w:r>
            <w:r w:rsidR="00576270" w:rsidRPr="00E028A0">
              <w:rPr>
                <w:rFonts w:eastAsia="Times New Roman"/>
                <w:noProof/>
                <w:color w:val="000000"/>
                <w:sz w:val="14"/>
                <w:szCs w:val="14"/>
                <w:lang w:eastAsia="de-DE"/>
              </w:rPr>
              <w:t>PO2 (i.b, ii.b, iii, iv)</w:t>
            </w:r>
          </w:p>
        </w:tc>
        <w:tc>
          <w:tcPr>
            <w:tcW w:w="226" w:type="pct"/>
            <w:tcBorders>
              <w:top w:val="nil"/>
              <w:left w:val="single" w:sz="8" w:space="0" w:color="auto"/>
              <w:bottom w:val="single" w:sz="8" w:space="0" w:color="auto"/>
              <w:right w:val="single" w:sz="8" w:space="0" w:color="auto"/>
            </w:tcBorders>
            <w:noWrap/>
            <w:vAlign w:val="center"/>
            <w:hideMark/>
          </w:tcPr>
          <w:p w14:paraId="62440635"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1.13</w:t>
            </w:r>
          </w:p>
        </w:tc>
        <w:tc>
          <w:tcPr>
            <w:tcW w:w="313" w:type="pct"/>
            <w:tcBorders>
              <w:top w:val="nil"/>
              <w:left w:val="nil"/>
              <w:bottom w:val="single" w:sz="8" w:space="0" w:color="auto"/>
              <w:right w:val="single" w:sz="8" w:space="0" w:color="auto"/>
            </w:tcBorders>
            <w:noWrap/>
            <w:vAlign w:val="center"/>
            <w:hideMark/>
          </w:tcPr>
          <w:p w14:paraId="66AF1185"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0.88</w:t>
            </w:r>
          </w:p>
        </w:tc>
        <w:tc>
          <w:tcPr>
            <w:tcW w:w="528" w:type="pct"/>
            <w:tcBorders>
              <w:top w:val="nil"/>
              <w:left w:val="nil"/>
              <w:bottom w:val="single" w:sz="8" w:space="0" w:color="auto"/>
              <w:right w:val="single" w:sz="8" w:space="0" w:color="auto"/>
            </w:tcBorders>
            <w:noWrap/>
            <w:vAlign w:val="center"/>
            <w:hideMark/>
          </w:tcPr>
          <w:p w14:paraId="65400C3B"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450" w:type="pct"/>
            <w:tcBorders>
              <w:top w:val="nil"/>
              <w:left w:val="nil"/>
              <w:bottom w:val="single" w:sz="8" w:space="0" w:color="auto"/>
              <w:right w:val="single" w:sz="8" w:space="0" w:color="auto"/>
            </w:tcBorders>
            <w:noWrap/>
            <w:vAlign w:val="center"/>
            <w:hideMark/>
          </w:tcPr>
          <w:p w14:paraId="6522295E"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1.38</w:t>
            </w:r>
          </w:p>
        </w:tc>
        <w:tc>
          <w:tcPr>
            <w:tcW w:w="344" w:type="pct"/>
            <w:tcBorders>
              <w:top w:val="nil"/>
              <w:left w:val="nil"/>
              <w:bottom w:val="single" w:sz="8" w:space="0" w:color="auto"/>
              <w:right w:val="single" w:sz="8" w:space="0" w:color="auto"/>
            </w:tcBorders>
            <w:noWrap/>
            <w:vAlign w:val="center"/>
            <w:hideMark/>
          </w:tcPr>
          <w:p w14:paraId="6A99F79A"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1.25</w:t>
            </w:r>
          </w:p>
        </w:tc>
        <w:tc>
          <w:tcPr>
            <w:tcW w:w="369" w:type="pct"/>
            <w:tcBorders>
              <w:top w:val="nil"/>
              <w:left w:val="nil"/>
              <w:bottom w:val="single" w:sz="8" w:space="0" w:color="auto"/>
              <w:right w:val="single" w:sz="8" w:space="0" w:color="auto"/>
            </w:tcBorders>
            <w:noWrap/>
            <w:vAlign w:val="center"/>
            <w:hideMark/>
          </w:tcPr>
          <w:p w14:paraId="2FBCC3D6"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1.88</w:t>
            </w:r>
          </w:p>
        </w:tc>
        <w:tc>
          <w:tcPr>
            <w:tcW w:w="450" w:type="pct"/>
            <w:tcBorders>
              <w:top w:val="nil"/>
              <w:left w:val="nil"/>
              <w:bottom w:val="single" w:sz="8" w:space="0" w:color="auto"/>
              <w:right w:val="single" w:sz="8" w:space="0" w:color="auto"/>
            </w:tcBorders>
            <w:noWrap/>
            <w:vAlign w:val="center"/>
            <w:hideMark/>
          </w:tcPr>
          <w:p w14:paraId="77B1AA00"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1.56</w:t>
            </w:r>
          </w:p>
        </w:tc>
        <w:tc>
          <w:tcPr>
            <w:tcW w:w="722" w:type="pct"/>
            <w:tcBorders>
              <w:top w:val="nil"/>
              <w:left w:val="nil"/>
              <w:bottom w:val="single" w:sz="8" w:space="0" w:color="auto"/>
              <w:right w:val="single" w:sz="8" w:space="0" w:color="auto"/>
            </w:tcBorders>
            <w:noWrap/>
            <w:vAlign w:val="center"/>
            <w:hideMark/>
          </w:tcPr>
          <w:p w14:paraId="75D3CA37"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1.23</w:t>
            </w:r>
          </w:p>
        </w:tc>
      </w:tr>
      <w:tr w:rsidR="00777737" w:rsidRPr="00D4396B" w14:paraId="0C0393AD" w14:textId="77777777" w:rsidTr="00C23564">
        <w:trPr>
          <w:trHeight w:val="278"/>
        </w:trPr>
        <w:tc>
          <w:tcPr>
            <w:tcW w:w="1598" w:type="pct"/>
            <w:tcBorders>
              <w:top w:val="nil"/>
              <w:left w:val="single" w:sz="8" w:space="0" w:color="auto"/>
              <w:bottom w:val="single" w:sz="8" w:space="0" w:color="auto"/>
              <w:right w:val="nil"/>
            </w:tcBorders>
            <w:noWrap/>
            <w:vAlign w:val="bottom"/>
            <w:hideMark/>
          </w:tcPr>
          <w:p w14:paraId="2FB86DD2" w14:textId="15199A69" w:rsidR="00576270" w:rsidRPr="00E028A0" w:rsidRDefault="00547931" w:rsidP="00576270">
            <w:pPr>
              <w:spacing w:after="0"/>
              <w:jc w:val="left"/>
              <w:rPr>
                <w:rFonts w:eastAsia="Times New Roman"/>
                <w:noProof/>
                <w:color w:val="000000"/>
                <w:sz w:val="14"/>
                <w:szCs w:val="14"/>
                <w:lang w:eastAsia="de-DE"/>
              </w:rPr>
            </w:pPr>
            <w:r w:rsidRPr="00E028A0">
              <w:rPr>
                <w:rFonts w:eastAsia="Times New Roman"/>
                <w:noProof/>
                <w:color w:val="000000"/>
                <w:sz w:val="14"/>
                <w:szCs w:val="14"/>
                <w:lang w:eastAsia="de-DE"/>
              </w:rPr>
              <w:t>D</w:t>
            </w:r>
            <w:r w:rsidR="00D17315" w:rsidRPr="00E028A0">
              <w:rPr>
                <w:rFonts w:eastAsia="Times New Roman"/>
                <w:noProof/>
                <w:color w:val="000000"/>
                <w:sz w:val="14"/>
                <w:szCs w:val="14"/>
                <w:lang w:eastAsia="de-DE"/>
              </w:rPr>
              <w:t>.</w:t>
            </w:r>
            <w:r w:rsidR="00576270" w:rsidRPr="00E028A0">
              <w:rPr>
                <w:rFonts w:eastAsia="Times New Roman"/>
                <w:noProof/>
                <w:color w:val="000000"/>
                <w:sz w:val="14"/>
                <w:szCs w:val="14"/>
                <w:lang w:eastAsia="de-DE"/>
              </w:rPr>
              <w:t>PO3 (i.b, ii.b, iii, iv, v)</w:t>
            </w:r>
          </w:p>
        </w:tc>
        <w:tc>
          <w:tcPr>
            <w:tcW w:w="226" w:type="pct"/>
            <w:tcBorders>
              <w:top w:val="nil"/>
              <w:left w:val="single" w:sz="8" w:space="0" w:color="auto"/>
              <w:bottom w:val="single" w:sz="8" w:space="0" w:color="auto"/>
              <w:right w:val="single" w:sz="8" w:space="0" w:color="auto"/>
            </w:tcBorders>
            <w:noWrap/>
            <w:vAlign w:val="center"/>
            <w:hideMark/>
          </w:tcPr>
          <w:p w14:paraId="5159DFF7"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1.50</w:t>
            </w:r>
          </w:p>
        </w:tc>
        <w:tc>
          <w:tcPr>
            <w:tcW w:w="313" w:type="pct"/>
            <w:tcBorders>
              <w:top w:val="nil"/>
              <w:left w:val="nil"/>
              <w:bottom w:val="single" w:sz="8" w:space="0" w:color="auto"/>
              <w:right w:val="single" w:sz="8" w:space="0" w:color="auto"/>
            </w:tcBorders>
            <w:noWrap/>
            <w:vAlign w:val="center"/>
            <w:hideMark/>
          </w:tcPr>
          <w:p w14:paraId="7FF1D5ED"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1.30</w:t>
            </w:r>
          </w:p>
        </w:tc>
        <w:tc>
          <w:tcPr>
            <w:tcW w:w="528" w:type="pct"/>
            <w:tcBorders>
              <w:top w:val="nil"/>
              <w:left w:val="nil"/>
              <w:bottom w:val="single" w:sz="8" w:space="0" w:color="auto"/>
              <w:right w:val="single" w:sz="8" w:space="0" w:color="auto"/>
            </w:tcBorders>
            <w:noWrap/>
            <w:vAlign w:val="center"/>
            <w:hideMark/>
          </w:tcPr>
          <w:p w14:paraId="7BA8E512"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1.40</w:t>
            </w:r>
          </w:p>
        </w:tc>
        <w:tc>
          <w:tcPr>
            <w:tcW w:w="450" w:type="pct"/>
            <w:tcBorders>
              <w:top w:val="nil"/>
              <w:left w:val="nil"/>
              <w:bottom w:val="single" w:sz="8" w:space="0" w:color="auto"/>
              <w:right w:val="single" w:sz="8" w:space="0" w:color="auto"/>
            </w:tcBorders>
            <w:noWrap/>
            <w:vAlign w:val="center"/>
            <w:hideMark/>
          </w:tcPr>
          <w:p w14:paraId="1968ED09"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1.50</w:t>
            </w:r>
          </w:p>
        </w:tc>
        <w:tc>
          <w:tcPr>
            <w:tcW w:w="344" w:type="pct"/>
            <w:tcBorders>
              <w:top w:val="nil"/>
              <w:left w:val="nil"/>
              <w:bottom w:val="single" w:sz="8" w:space="0" w:color="auto"/>
              <w:right w:val="single" w:sz="8" w:space="0" w:color="auto"/>
            </w:tcBorders>
            <w:noWrap/>
            <w:vAlign w:val="center"/>
            <w:hideMark/>
          </w:tcPr>
          <w:p w14:paraId="695A31BB"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1.40</w:t>
            </w:r>
          </w:p>
        </w:tc>
        <w:tc>
          <w:tcPr>
            <w:tcW w:w="369" w:type="pct"/>
            <w:tcBorders>
              <w:top w:val="nil"/>
              <w:left w:val="nil"/>
              <w:bottom w:val="single" w:sz="8" w:space="0" w:color="auto"/>
              <w:right w:val="single" w:sz="8" w:space="0" w:color="auto"/>
            </w:tcBorders>
            <w:noWrap/>
            <w:vAlign w:val="center"/>
            <w:hideMark/>
          </w:tcPr>
          <w:p w14:paraId="4432CD5E"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1.90</w:t>
            </w:r>
          </w:p>
        </w:tc>
        <w:tc>
          <w:tcPr>
            <w:tcW w:w="450" w:type="pct"/>
            <w:tcBorders>
              <w:top w:val="nil"/>
              <w:left w:val="nil"/>
              <w:bottom w:val="single" w:sz="8" w:space="0" w:color="auto"/>
              <w:right w:val="single" w:sz="8" w:space="0" w:color="auto"/>
            </w:tcBorders>
            <w:noWrap/>
            <w:vAlign w:val="center"/>
            <w:hideMark/>
          </w:tcPr>
          <w:p w14:paraId="6BFD6158" w14:textId="77777777" w:rsidR="00576270" w:rsidRPr="00D4396B" w:rsidRDefault="00576270" w:rsidP="00576270">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1.65</w:t>
            </w:r>
          </w:p>
        </w:tc>
        <w:tc>
          <w:tcPr>
            <w:tcW w:w="722" w:type="pct"/>
            <w:tcBorders>
              <w:top w:val="nil"/>
              <w:left w:val="nil"/>
              <w:bottom w:val="single" w:sz="8" w:space="0" w:color="auto"/>
              <w:right w:val="single" w:sz="8" w:space="0" w:color="auto"/>
            </w:tcBorders>
            <w:shd w:val="clear" w:color="auto" w:fill="EBF8F8"/>
            <w:vAlign w:val="center"/>
            <w:hideMark/>
          </w:tcPr>
          <w:p w14:paraId="728C50C5" w14:textId="77777777" w:rsidR="00576270" w:rsidRPr="00D4396B" w:rsidRDefault="00576270" w:rsidP="00576270">
            <w:pPr>
              <w:spacing w:after="0"/>
              <w:jc w:val="center"/>
              <w:rPr>
                <w:rFonts w:eastAsia="Times New Roman"/>
                <w:noProof/>
                <w:sz w:val="14"/>
                <w:szCs w:val="14"/>
                <w:lang w:val="de-DE" w:eastAsia="de-DE"/>
              </w:rPr>
            </w:pPr>
            <w:r w:rsidRPr="00D4396B">
              <w:rPr>
                <w:rFonts w:eastAsia="Times New Roman"/>
                <w:noProof/>
                <w:sz w:val="14"/>
                <w:szCs w:val="14"/>
                <w:lang w:val="de-DE" w:eastAsia="de-DE"/>
              </w:rPr>
              <w:t>1.48</w:t>
            </w:r>
          </w:p>
        </w:tc>
      </w:tr>
    </w:tbl>
    <w:p w14:paraId="44D13A0E" w14:textId="77777777" w:rsidR="004A5753" w:rsidRPr="00D4396B" w:rsidRDefault="004A5753" w:rsidP="000C3545">
      <w:pPr>
        <w:spacing w:after="0"/>
        <w:rPr>
          <w:noProof/>
        </w:rPr>
      </w:pPr>
    </w:p>
    <w:p w14:paraId="00CFDF09" w14:textId="61AD9B27" w:rsidR="004321BC" w:rsidRPr="00D4396B" w:rsidRDefault="3FED2C70" w:rsidP="000F169A">
      <w:pPr>
        <w:pStyle w:val="ListParagraph"/>
        <w:numPr>
          <w:ilvl w:val="0"/>
          <w:numId w:val="10"/>
        </w:numPr>
        <w:spacing w:after="120"/>
        <w:ind w:left="567" w:hanging="567"/>
        <w:contextualSpacing w:val="0"/>
        <w:rPr>
          <w:rFonts w:eastAsia="Times New Roman"/>
          <w:b/>
          <w:bCs/>
          <w:i/>
          <w:iCs/>
          <w:noProof/>
          <w:u w:val="single"/>
          <w:lang w:val="en-US"/>
        </w:rPr>
      </w:pPr>
      <w:r w:rsidRPr="00D4396B">
        <w:rPr>
          <w:rFonts w:eastAsia="Times New Roman"/>
          <w:b/>
          <w:bCs/>
          <w:i/>
          <w:iCs/>
          <w:noProof/>
          <w:u w:val="single"/>
          <w:lang w:val="en-US"/>
        </w:rPr>
        <w:t xml:space="preserve">Options in intervention area </w:t>
      </w:r>
      <w:r w:rsidR="695C9002" w:rsidRPr="00D4396B">
        <w:rPr>
          <w:rFonts w:eastAsia="Times New Roman"/>
          <w:b/>
          <w:bCs/>
          <w:i/>
          <w:iCs/>
          <w:noProof/>
          <w:u w:val="single"/>
          <w:lang w:val="en-US"/>
        </w:rPr>
        <w:t>E</w:t>
      </w:r>
    </w:p>
    <w:p w14:paraId="1C2C4A52" w14:textId="033C9178" w:rsidR="004321BC" w:rsidRPr="00D4396B" w:rsidRDefault="00B05231" w:rsidP="003B0D3B">
      <w:pPr>
        <w:spacing w:after="120"/>
        <w:rPr>
          <w:rFonts w:eastAsia="Times New Roman"/>
          <w:noProof/>
        </w:rPr>
      </w:pPr>
      <w:r w:rsidRPr="00D4396B">
        <w:rPr>
          <w:rFonts w:eastAsia="Times New Roman"/>
          <w:b/>
          <w:bCs/>
          <w:noProof/>
        </w:rPr>
        <w:t>E</w:t>
      </w:r>
      <w:r w:rsidR="00D17315" w:rsidRPr="00D4396B">
        <w:rPr>
          <w:rFonts w:eastAsia="Times New Roman"/>
          <w:b/>
          <w:bCs/>
          <w:noProof/>
        </w:rPr>
        <w:t>.</w:t>
      </w:r>
      <w:r w:rsidR="3FED2C70" w:rsidRPr="00D4396B">
        <w:rPr>
          <w:rFonts w:eastAsia="Times New Roman"/>
          <w:b/>
          <w:bCs/>
          <w:noProof/>
        </w:rPr>
        <w:t>PO1</w:t>
      </w:r>
      <w:r w:rsidR="00D17315" w:rsidRPr="00D4396B">
        <w:rPr>
          <w:rFonts w:eastAsia="Times New Roman"/>
          <w:b/>
          <w:bCs/>
          <w:noProof/>
        </w:rPr>
        <w:t>:</w:t>
      </w:r>
      <w:r w:rsidR="3FED2C70" w:rsidRPr="00D4396B">
        <w:rPr>
          <w:rFonts w:eastAsia="Times New Roman"/>
          <w:b/>
          <w:bCs/>
          <w:noProof/>
        </w:rPr>
        <w:t xml:space="preserve"> </w:t>
      </w:r>
      <w:r w:rsidR="3FED2C70" w:rsidRPr="00D4396B">
        <w:rPr>
          <w:rFonts w:eastAsia="Times New Roman"/>
          <w:noProof/>
        </w:rPr>
        <w:t xml:space="preserve">This option introduces a minimum set of measures, notably the further automation of the hit/no-hit system (i.a), mirroring the approach envisaged for Europol under </w:t>
      </w:r>
      <w:r w:rsidR="00547931" w:rsidRPr="00D4396B">
        <w:rPr>
          <w:rFonts w:eastAsia="Times New Roman"/>
          <w:noProof/>
        </w:rPr>
        <w:t>D</w:t>
      </w:r>
      <w:r w:rsidR="00D17315" w:rsidRPr="00D4396B">
        <w:rPr>
          <w:rFonts w:eastAsia="Times New Roman"/>
          <w:noProof/>
        </w:rPr>
        <w:t>.</w:t>
      </w:r>
      <w:r w:rsidR="3FED2C70" w:rsidRPr="00D4396B">
        <w:rPr>
          <w:rFonts w:eastAsia="Times New Roman"/>
          <w:noProof/>
        </w:rPr>
        <w:t>PO1. These technical adjustments could be implemented at relatively low cost and would streamline existing processes.</w:t>
      </w:r>
    </w:p>
    <w:p w14:paraId="583E2B14" w14:textId="2DE0939F" w:rsidR="004321BC" w:rsidRPr="00D4396B" w:rsidRDefault="3FED2C70" w:rsidP="003B0D3B">
      <w:pPr>
        <w:spacing w:after="120"/>
        <w:rPr>
          <w:noProof/>
        </w:rPr>
      </w:pPr>
      <w:r w:rsidRPr="00D4396B">
        <w:rPr>
          <w:rFonts w:eastAsia="Times New Roman"/>
          <w:noProof/>
        </w:rPr>
        <w:t>While the automation of the system would reduce the risk of human error and improve the efficiency of follow-up actions, it is not expected to significantly increase the number of queries or hits. Nevertheless, the optimisation of the current system could represent an important building block for the future development of a more integrated digital cooperation tool.</w:t>
      </w:r>
    </w:p>
    <w:p w14:paraId="1DDA9ADC" w14:textId="7702B7B3" w:rsidR="004321BC" w:rsidRPr="00D4396B" w:rsidRDefault="3FED2C70" w:rsidP="003B0D3B">
      <w:pPr>
        <w:spacing w:after="120"/>
        <w:rPr>
          <w:noProof/>
        </w:rPr>
      </w:pPr>
      <w:r w:rsidRPr="00D4396B">
        <w:rPr>
          <w:rFonts w:eastAsia="Times New Roman"/>
          <w:noProof/>
        </w:rPr>
        <w:t>Overall, this option is expected to generate a limited impact on digitalisation and a very limited impact on operational effectiveness, while entailing relatively low implementation costs.</w:t>
      </w:r>
    </w:p>
    <w:p w14:paraId="4D8AC293" w14:textId="3B8F2F1F" w:rsidR="004321BC" w:rsidRPr="00D4396B" w:rsidRDefault="00B05231" w:rsidP="003B0D3B">
      <w:pPr>
        <w:spacing w:after="120"/>
        <w:rPr>
          <w:rFonts w:eastAsia="Times New Roman"/>
          <w:noProof/>
        </w:rPr>
      </w:pPr>
      <w:r w:rsidRPr="00D4396B">
        <w:rPr>
          <w:rFonts w:eastAsia="Times New Roman"/>
          <w:b/>
          <w:bCs/>
          <w:noProof/>
        </w:rPr>
        <w:t>E</w:t>
      </w:r>
      <w:r w:rsidR="00D17315" w:rsidRPr="00D4396B">
        <w:rPr>
          <w:rFonts w:eastAsia="Times New Roman"/>
          <w:b/>
          <w:bCs/>
          <w:noProof/>
        </w:rPr>
        <w:t>.</w:t>
      </w:r>
      <w:r w:rsidR="3FED2C70" w:rsidRPr="00D4396B">
        <w:rPr>
          <w:rFonts w:eastAsia="Times New Roman"/>
          <w:b/>
          <w:bCs/>
          <w:noProof/>
        </w:rPr>
        <w:t>PO2</w:t>
      </w:r>
      <w:r w:rsidR="00D17315" w:rsidRPr="00D4396B">
        <w:rPr>
          <w:rFonts w:eastAsia="Times New Roman"/>
          <w:b/>
          <w:bCs/>
          <w:noProof/>
        </w:rPr>
        <w:t>:</w:t>
      </w:r>
      <w:r w:rsidR="3FED2C70" w:rsidRPr="00D4396B">
        <w:rPr>
          <w:rFonts w:eastAsia="Times New Roman"/>
          <w:b/>
          <w:bCs/>
          <w:noProof/>
        </w:rPr>
        <w:t xml:space="preserve"> </w:t>
      </w:r>
      <w:r w:rsidR="3FED2C70" w:rsidRPr="00D4396B">
        <w:rPr>
          <w:rFonts w:eastAsia="Times New Roman"/>
          <w:noProof/>
        </w:rPr>
        <w:t xml:space="preserve">In addition to the measures envisaged under </w:t>
      </w:r>
      <w:r w:rsidRPr="00D4396B">
        <w:rPr>
          <w:rFonts w:eastAsia="Times New Roman"/>
          <w:noProof/>
        </w:rPr>
        <w:t>E</w:t>
      </w:r>
      <w:r w:rsidR="00D17315" w:rsidRPr="00D4396B">
        <w:rPr>
          <w:rFonts w:eastAsia="Times New Roman"/>
          <w:noProof/>
        </w:rPr>
        <w:t>.</w:t>
      </w:r>
      <w:r w:rsidR="3FED2C70" w:rsidRPr="00D4396B">
        <w:rPr>
          <w:rFonts w:eastAsia="Times New Roman"/>
          <w:noProof/>
        </w:rPr>
        <w:t xml:space="preserve">PO1, this option introduces a cross-agency information exchange and link detection mechanism (inter-agency </w:t>
      </w:r>
      <w:r w:rsidR="52081535" w:rsidRPr="00D4396B">
        <w:rPr>
          <w:rFonts w:eastAsia="Times New Roman"/>
          <w:noProof/>
        </w:rPr>
        <w:t>hit/no hit mechanism</w:t>
      </w:r>
      <w:r w:rsidR="3FED2C70" w:rsidRPr="00D4396B">
        <w:rPr>
          <w:rFonts w:eastAsia="Times New Roman"/>
          <w:noProof/>
        </w:rPr>
        <w:t xml:space="preserve">) (i.b). It also </w:t>
      </w:r>
      <w:r w:rsidR="005C6A09" w:rsidRPr="00D4396B">
        <w:rPr>
          <w:rFonts w:eastAsia="Times New Roman"/>
          <w:noProof/>
        </w:rPr>
        <w:t>envisages</w:t>
      </w:r>
      <w:r w:rsidR="3FED2C70" w:rsidRPr="00D4396B">
        <w:rPr>
          <w:rFonts w:eastAsia="Times New Roman"/>
          <w:noProof/>
        </w:rPr>
        <w:t xml:space="preserve"> granting Eurojust an explicit mandate to provide reinforced support to the EPPO (ii) and enabling EPPO liaison officers to participate in the Eurojust College (iii).</w:t>
      </w:r>
    </w:p>
    <w:p w14:paraId="76054954" w14:textId="5870387B" w:rsidR="004321BC" w:rsidRPr="00D4396B" w:rsidRDefault="3FED2C70" w:rsidP="003B0D3B">
      <w:pPr>
        <w:spacing w:after="120"/>
        <w:rPr>
          <w:rFonts w:eastAsia="Times New Roman"/>
          <w:noProof/>
        </w:rPr>
      </w:pPr>
      <w:r w:rsidRPr="00D4396B">
        <w:rPr>
          <w:rFonts w:eastAsia="Times New Roman"/>
          <w:noProof/>
        </w:rPr>
        <w:t xml:space="preserve">These measures would enhance operational cooperation between Eurojust and the EPPO, notably by strengthening digital information exchange and fostering greater mutual engagement, understanding and operational alignment between the two bodies. The reinforced mandate for Eurojust to support EPPO cases would also contribute positively to the fight against </w:t>
      </w:r>
      <w:r w:rsidR="510BC206" w:rsidRPr="00D4396B">
        <w:rPr>
          <w:rFonts w:eastAsia="Times New Roman"/>
          <w:noProof/>
        </w:rPr>
        <w:t xml:space="preserve">cross-border </w:t>
      </w:r>
      <w:r w:rsidRPr="00D4396B">
        <w:rPr>
          <w:rFonts w:eastAsia="Times New Roman"/>
          <w:noProof/>
        </w:rPr>
        <w:t xml:space="preserve">crime, particularly by increasing the capacity to detect offences affecting the financial interests of the Union and related criminal activities, </w:t>
      </w:r>
      <w:r w:rsidR="5E038B34" w:rsidRPr="00D4396B">
        <w:rPr>
          <w:rFonts w:eastAsia="Times New Roman"/>
          <w:noProof/>
        </w:rPr>
        <w:t xml:space="preserve">such as organised crime, </w:t>
      </w:r>
      <w:r w:rsidRPr="00D4396B">
        <w:rPr>
          <w:rFonts w:eastAsia="Times New Roman"/>
          <w:noProof/>
        </w:rPr>
        <w:t>thereby potentially leading to the opening of additional cases</w:t>
      </w:r>
      <w:r w:rsidR="006C3E65" w:rsidRPr="00D4396B">
        <w:rPr>
          <w:rFonts w:eastAsia="Times New Roman"/>
          <w:noProof/>
        </w:rPr>
        <w:t xml:space="preserve"> at Eurojust</w:t>
      </w:r>
      <w:r w:rsidRPr="00D4396B">
        <w:rPr>
          <w:rFonts w:eastAsia="Times New Roman"/>
          <w:noProof/>
        </w:rPr>
        <w:t xml:space="preserve">. While the material competence of the EPPO remains </w:t>
      </w:r>
      <w:r w:rsidR="006C3E65" w:rsidRPr="00D4396B">
        <w:rPr>
          <w:rFonts w:eastAsia="Times New Roman"/>
          <w:noProof/>
        </w:rPr>
        <w:t>limited to crimes affecting the Union’s financial interests</w:t>
      </w:r>
      <w:r w:rsidRPr="00D4396B">
        <w:rPr>
          <w:rFonts w:eastAsia="Times New Roman"/>
          <w:noProof/>
        </w:rPr>
        <w:t xml:space="preserve">, Eurojust’s involvement </w:t>
      </w:r>
      <w:r w:rsidR="006C3E65" w:rsidRPr="00D4396B">
        <w:rPr>
          <w:rFonts w:eastAsia="Times New Roman"/>
          <w:noProof/>
        </w:rPr>
        <w:t>in EPPO cases</w:t>
      </w:r>
      <w:r w:rsidRPr="00D4396B">
        <w:rPr>
          <w:rFonts w:eastAsia="Times New Roman"/>
          <w:noProof/>
        </w:rPr>
        <w:t xml:space="preserve"> could facilitate the identification of additional linked criminal conduct beyond </w:t>
      </w:r>
      <w:r w:rsidR="007772F0" w:rsidRPr="00D4396B">
        <w:rPr>
          <w:rFonts w:eastAsia="Times New Roman"/>
          <w:noProof/>
        </w:rPr>
        <w:t xml:space="preserve">the </w:t>
      </w:r>
      <w:r w:rsidRPr="00D4396B">
        <w:rPr>
          <w:rFonts w:eastAsia="Times New Roman"/>
          <w:noProof/>
        </w:rPr>
        <w:t>EPPO’s core mandate</w:t>
      </w:r>
      <w:r w:rsidR="4C4C9D72" w:rsidRPr="74B3B146">
        <w:rPr>
          <w:rFonts w:eastAsia="Times New Roman"/>
          <w:noProof/>
        </w:rPr>
        <w:t xml:space="preserve">, in </w:t>
      </w:r>
      <w:r w:rsidR="4C4C9D72" w:rsidRPr="28C00C53">
        <w:rPr>
          <w:rFonts w:eastAsia="Times New Roman"/>
          <w:noProof/>
        </w:rPr>
        <w:t xml:space="preserve">particular in the area of organised </w:t>
      </w:r>
      <w:r w:rsidR="4C4C9D72" w:rsidRPr="35E39DDC">
        <w:rPr>
          <w:rFonts w:eastAsia="Times New Roman"/>
          <w:noProof/>
        </w:rPr>
        <w:t>crime</w:t>
      </w:r>
      <w:r w:rsidRPr="35E39DDC">
        <w:rPr>
          <w:rFonts w:eastAsia="Times New Roman"/>
          <w:noProof/>
        </w:rPr>
        <w:t>.</w:t>
      </w:r>
      <w:r w:rsidRPr="00D4396B">
        <w:rPr>
          <w:rFonts w:eastAsia="Times New Roman"/>
          <w:noProof/>
        </w:rPr>
        <w:t xml:space="preserve"> At the same time, deeper engagement with the EPPO would require the allocation of additional human, financial and time resources.</w:t>
      </w:r>
    </w:p>
    <w:p w14:paraId="40A0BAE3" w14:textId="51738958" w:rsidR="004321BC" w:rsidRPr="00D4396B" w:rsidRDefault="3FED2C70" w:rsidP="003B0D3B">
      <w:pPr>
        <w:spacing w:after="120"/>
        <w:rPr>
          <w:noProof/>
        </w:rPr>
      </w:pPr>
      <w:r w:rsidRPr="00D4396B">
        <w:rPr>
          <w:rFonts w:eastAsia="Times New Roman"/>
          <w:noProof/>
        </w:rPr>
        <w:t>Overall, this option is expected to generate a significantly positive impact on the fight against crime and on operational cooperation, with costs primarily linked to the additional resources that Eurojust would need to mobilise to fulfil these tasks.</w:t>
      </w:r>
    </w:p>
    <w:p w14:paraId="016C44EE" w14:textId="3D364A6D" w:rsidR="004321BC" w:rsidRPr="00D4396B" w:rsidRDefault="00CE6C58" w:rsidP="003B0D3B">
      <w:pPr>
        <w:spacing w:after="120"/>
        <w:rPr>
          <w:rFonts w:eastAsia="Times New Roman"/>
          <w:b/>
          <w:bCs/>
          <w:noProof/>
        </w:rPr>
      </w:pPr>
      <w:r w:rsidRPr="00D4396B">
        <w:rPr>
          <w:rFonts w:eastAsia="Times New Roman"/>
          <w:b/>
          <w:bCs/>
          <w:noProof/>
        </w:rPr>
        <w:t>E</w:t>
      </w:r>
      <w:r w:rsidR="00D17315" w:rsidRPr="00D4396B">
        <w:rPr>
          <w:rFonts w:eastAsia="Times New Roman"/>
          <w:b/>
          <w:bCs/>
          <w:noProof/>
        </w:rPr>
        <w:t>.</w:t>
      </w:r>
      <w:r w:rsidR="3FED2C70" w:rsidRPr="00D4396B">
        <w:rPr>
          <w:rFonts w:eastAsia="Times New Roman"/>
          <w:b/>
          <w:bCs/>
          <w:noProof/>
        </w:rPr>
        <w:t>PO3</w:t>
      </w:r>
      <w:r w:rsidR="00D17315" w:rsidRPr="00D4396B">
        <w:rPr>
          <w:rFonts w:eastAsia="Times New Roman"/>
          <w:b/>
          <w:bCs/>
          <w:noProof/>
        </w:rPr>
        <w:t>:</w:t>
      </w:r>
      <w:r w:rsidR="3FED2C70" w:rsidRPr="00D4396B">
        <w:rPr>
          <w:rFonts w:eastAsia="Times New Roman"/>
          <w:b/>
          <w:bCs/>
          <w:noProof/>
        </w:rPr>
        <w:t xml:space="preserve"> </w:t>
      </w:r>
      <w:r w:rsidR="3FED2C70" w:rsidRPr="00D4396B">
        <w:rPr>
          <w:rFonts w:eastAsia="Times New Roman"/>
          <w:noProof/>
        </w:rPr>
        <w:t xml:space="preserve">Building on the measures under </w:t>
      </w:r>
      <w:r w:rsidRPr="00D4396B">
        <w:rPr>
          <w:rFonts w:eastAsia="Times New Roman"/>
          <w:noProof/>
        </w:rPr>
        <w:t>E</w:t>
      </w:r>
      <w:r w:rsidR="00D17315" w:rsidRPr="00D4396B">
        <w:rPr>
          <w:rFonts w:eastAsia="Times New Roman"/>
          <w:noProof/>
        </w:rPr>
        <w:t>.</w:t>
      </w:r>
      <w:r w:rsidR="3FED2C70" w:rsidRPr="00D4396B">
        <w:rPr>
          <w:rFonts w:eastAsia="Times New Roman"/>
          <w:noProof/>
        </w:rPr>
        <w:t>PO2, this option introduces the establishment of a Eurojust</w:t>
      </w:r>
      <w:r w:rsidR="004543DD" w:rsidRPr="00D4396B">
        <w:rPr>
          <w:rFonts w:eastAsia="Times New Roman"/>
          <w:noProof/>
        </w:rPr>
        <w:t>-</w:t>
      </w:r>
      <w:r w:rsidR="3FED2C70" w:rsidRPr="00D4396B">
        <w:rPr>
          <w:rFonts w:eastAsia="Times New Roman"/>
          <w:noProof/>
        </w:rPr>
        <w:t>EPPO clearing-house mechanism for case allocation (iv).</w:t>
      </w:r>
    </w:p>
    <w:p w14:paraId="2BC5B201" w14:textId="64459215" w:rsidR="004321BC" w:rsidRPr="00D4396B" w:rsidRDefault="3FED2C70" w:rsidP="003B0D3B">
      <w:pPr>
        <w:spacing w:after="120"/>
        <w:rPr>
          <w:noProof/>
        </w:rPr>
      </w:pPr>
      <w:r w:rsidRPr="00D4396B">
        <w:rPr>
          <w:rFonts w:eastAsia="Times New Roman"/>
          <w:noProof/>
        </w:rPr>
        <w:t>In addition to the impacts described above, this mechanism would be expected to improve operational efficiency by providing greater clarity on the respective spheres of competence of Eurojust and the EPPO. A more structured allocation of cases would facilitate coordination between the two bodies and help ensure that cases are handled by the authority best placed to act. At the same time, the establishment and maintenance of a clearing-house mechanism would entail comparatively higher costs, notably in terms of the human and financial resources required to operate and sustain the mechanism. It would also require the adoption of mirroring provision in the EPPO Regulation.</w:t>
      </w:r>
    </w:p>
    <w:p w14:paraId="1FDE5380" w14:textId="7920FCFF" w:rsidR="004321BC" w:rsidRPr="00D4396B" w:rsidRDefault="2A4EF80D" w:rsidP="003B0D3B">
      <w:pPr>
        <w:spacing w:after="120"/>
        <w:rPr>
          <w:rFonts w:eastAsia="Times New Roman"/>
          <w:noProof/>
        </w:rPr>
      </w:pPr>
      <w:r w:rsidRPr="00D4396B">
        <w:rPr>
          <w:rFonts w:eastAsia="Times New Roman"/>
          <w:noProof/>
        </w:rPr>
        <w:t>This option would generate a strong positive impact on operational coordination and efficiency, while involving higher implementation and resource costs.</w:t>
      </w:r>
    </w:p>
    <w:p w14:paraId="76A95036" w14:textId="018879AC" w:rsidR="2E91FDAC" w:rsidRPr="00C23564" w:rsidRDefault="2E91FDAC" w:rsidP="300D80D8">
      <w:pPr>
        <w:spacing w:after="120"/>
        <w:rPr>
          <w:rFonts w:eastAsia="Times New Roman"/>
          <w:noProof/>
          <w:u w:val="single"/>
        </w:rPr>
      </w:pPr>
      <w:r w:rsidRPr="00C23564">
        <w:rPr>
          <w:rFonts w:eastAsia="Times New Roman"/>
          <w:noProof/>
          <w:u w:val="single"/>
        </w:rPr>
        <w:t xml:space="preserve">Table </w:t>
      </w:r>
      <w:r w:rsidR="001C2582">
        <w:rPr>
          <w:rFonts w:eastAsia="Times New Roman"/>
          <w:noProof/>
          <w:u w:val="single"/>
        </w:rPr>
        <w:t>9</w:t>
      </w:r>
      <w:r w:rsidRPr="00C23564">
        <w:rPr>
          <w:rFonts w:eastAsia="Times New Roman"/>
          <w:noProof/>
          <w:u w:val="single"/>
        </w:rPr>
        <w:t>:</w:t>
      </w:r>
      <w:r w:rsidR="00E324A3" w:rsidRPr="00C23564">
        <w:rPr>
          <w:rFonts w:eastAsia="Times New Roman"/>
          <w:noProof/>
          <w:u w:val="single"/>
        </w:rPr>
        <w:t xml:space="preserve"> </w:t>
      </w:r>
      <w:r w:rsidR="001C2582" w:rsidRPr="002140B7">
        <w:rPr>
          <w:rFonts w:eastAsia="Times New Roman"/>
          <w:noProof/>
          <w:u w:val="single"/>
        </w:rPr>
        <w:t xml:space="preserve">Impacts of policy option </w:t>
      </w:r>
      <w:r w:rsidR="001C2582">
        <w:rPr>
          <w:rFonts w:eastAsia="Times New Roman"/>
          <w:noProof/>
          <w:u w:val="single"/>
        </w:rPr>
        <w:t>in</w:t>
      </w:r>
      <w:r w:rsidR="001C2582" w:rsidRPr="002140B7">
        <w:rPr>
          <w:rFonts w:eastAsia="Times New Roman"/>
          <w:noProof/>
          <w:u w:val="single"/>
        </w:rPr>
        <w:t xml:space="preserve"> intervention area </w:t>
      </w:r>
      <w:r w:rsidR="006831E8">
        <w:rPr>
          <w:rFonts w:eastAsia="Times New Roman"/>
          <w:noProof/>
          <w:u w:val="single"/>
        </w:rPr>
        <w:t>E</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748"/>
        <w:gridCol w:w="389"/>
        <w:gridCol w:w="385"/>
        <w:gridCol w:w="1062"/>
        <w:gridCol w:w="773"/>
        <w:gridCol w:w="591"/>
        <w:gridCol w:w="635"/>
        <w:gridCol w:w="773"/>
        <w:gridCol w:w="1242"/>
      </w:tblGrid>
      <w:tr w:rsidR="001C467A" w:rsidRPr="00D4396B" w14:paraId="6012E4A4" w14:textId="77777777" w:rsidTr="00C23564">
        <w:trPr>
          <w:trHeight w:val="493"/>
        </w:trPr>
        <w:tc>
          <w:tcPr>
            <w:tcW w:w="1599" w:type="pct"/>
            <w:tcBorders>
              <w:bottom w:val="nil"/>
            </w:tcBorders>
            <w:shd w:val="clear" w:color="000000" w:fill="FFEEEE"/>
            <w:vAlign w:val="center"/>
            <w:hideMark/>
          </w:tcPr>
          <w:p w14:paraId="0BFACC70" w14:textId="014D67F2" w:rsidR="005B420C" w:rsidRPr="00D4396B" w:rsidRDefault="00CE6C58" w:rsidP="005B420C">
            <w:pPr>
              <w:spacing w:after="0"/>
              <w:jc w:val="left"/>
              <w:rPr>
                <w:rFonts w:eastAsia="Times New Roman"/>
                <w:b/>
                <w:bCs/>
                <w:noProof/>
                <w:sz w:val="14"/>
                <w:szCs w:val="14"/>
                <w:lang w:val="en-US" w:eastAsia="de-DE"/>
              </w:rPr>
            </w:pPr>
            <w:r w:rsidRPr="00D4396B">
              <w:rPr>
                <w:rFonts w:eastAsia="Times New Roman"/>
                <w:b/>
                <w:bCs/>
                <w:noProof/>
                <w:sz w:val="14"/>
                <w:szCs w:val="14"/>
                <w:lang w:val="en-US" w:eastAsia="de-DE"/>
              </w:rPr>
              <w:t>E</w:t>
            </w:r>
            <w:r w:rsidR="005B420C" w:rsidRPr="00D4396B">
              <w:rPr>
                <w:rFonts w:eastAsia="Times New Roman"/>
                <w:b/>
                <w:bCs/>
                <w:noProof/>
                <w:sz w:val="14"/>
                <w:szCs w:val="14"/>
                <w:lang w:val="en-US" w:eastAsia="de-DE"/>
              </w:rPr>
              <w:t>. Promoting fully developed cooperation with the EPPO </w:t>
            </w:r>
          </w:p>
        </w:tc>
        <w:tc>
          <w:tcPr>
            <w:tcW w:w="1063" w:type="pct"/>
            <w:gridSpan w:val="3"/>
            <w:noWrap/>
            <w:vAlign w:val="center"/>
            <w:hideMark/>
          </w:tcPr>
          <w:p w14:paraId="2F8194A5" w14:textId="77777777" w:rsidR="005B420C" w:rsidRPr="00D4396B" w:rsidRDefault="005B420C" w:rsidP="005B420C">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Effectiveness</w:t>
            </w:r>
          </w:p>
        </w:tc>
        <w:tc>
          <w:tcPr>
            <w:tcW w:w="450" w:type="pct"/>
            <w:noWrap/>
            <w:vAlign w:val="center"/>
            <w:hideMark/>
          </w:tcPr>
          <w:p w14:paraId="19303B03" w14:textId="77777777" w:rsidR="005B420C" w:rsidRPr="00D4396B" w:rsidRDefault="005B420C" w:rsidP="005B420C">
            <w:pPr>
              <w:spacing w:after="0"/>
              <w:jc w:val="left"/>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Efficiency</w:t>
            </w:r>
          </w:p>
        </w:tc>
        <w:tc>
          <w:tcPr>
            <w:tcW w:w="1164" w:type="pct"/>
            <w:gridSpan w:val="3"/>
            <w:noWrap/>
            <w:vAlign w:val="center"/>
            <w:hideMark/>
          </w:tcPr>
          <w:p w14:paraId="6A5496FD" w14:textId="77777777" w:rsidR="005B420C" w:rsidRPr="00D4396B" w:rsidRDefault="005B420C" w:rsidP="005B420C">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Coherence</w:t>
            </w:r>
          </w:p>
        </w:tc>
        <w:tc>
          <w:tcPr>
            <w:tcW w:w="723" w:type="pct"/>
            <w:vAlign w:val="center"/>
            <w:hideMark/>
          </w:tcPr>
          <w:p w14:paraId="4A314AE4" w14:textId="77777777" w:rsidR="005B420C" w:rsidRPr="00D4396B" w:rsidRDefault="005B420C" w:rsidP="005B420C">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Total criteria score</w:t>
            </w:r>
            <w:r w:rsidRPr="00D4396B">
              <w:rPr>
                <w:rFonts w:eastAsia="Times New Roman"/>
                <w:b/>
                <w:bCs/>
                <w:noProof/>
                <w:color w:val="000000"/>
                <w:sz w:val="14"/>
                <w:szCs w:val="14"/>
                <w:lang w:val="de-DE" w:eastAsia="de-DE"/>
              </w:rPr>
              <w:br/>
              <w:t>Sensitivity 2</w:t>
            </w:r>
          </w:p>
        </w:tc>
      </w:tr>
      <w:tr w:rsidR="005B420C" w:rsidRPr="00D4396B" w14:paraId="4575D4CF" w14:textId="77777777" w:rsidTr="00C23564">
        <w:trPr>
          <w:trHeight w:val="983"/>
        </w:trPr>
        <w:tc>
          <w:tcPr>
            <w:tcW w:w="1599" w:type="pct"/>
            <w:tcBorders>
              <w:top w:val="nil"/>
            </w:tcBorders>
            <w:shd w:val="clear" w:color="000000" w:fill="FFEEEE"/>
            <w:vAlign w:val="center"/>
            <w:hideMark/>
          </w:tcPr>
          <w:p w14:paraId="4FDA6349" w14:textId="77777777" w:rsidR="005B420C" w:rsidRPr="00D4396B" w:rsidRDefault="005B420C" w:rsidP="005B420C">
            <w:pPr>
              <w:spacing w:after="0"/>
              <w:rPr>
                <w:rFonts w:eastAsia="Times New Roman"/>
                <w:i/>
                <w:iCs/>
                <w:noProof/>
                <w:sz w:val="14"/>
                <w:szCs w:val="14"/>
                <w:lang w:val="en-US" w:eastAsia="de-DE"/>
              </w:rPr>
            </w:pPr>
            <w:r w:rsidRPr="00D4396B">
              <w:rPr>
                <w:rFonts w:eastAsia="Times New Roman"/>
                <w:i/>
                <w:iCs/>
                <w:noProof/>
                <w:sz w:val="14"/>
                <w:szCs w:val="14"/>
                <w:lang w:val="en-US" w:eastAsia="de-DE"/>
              </w:rPr>
              <w:t>Addressing problem driver(s): </w:t>
            </w:r>
            <w:r w:rsidRPr="00D4396B">
              <w:rPr>
                <w:rFonts w:eastAsia="Times New Roman"/>
                <w:i/>
                <w:iCs/>
                <w:noProof/>
                <w:sz w:val="14"/>
                <w:szCs w:val="14"/>
                <w:lang w:val="en-US" w:eastAsia="de-DE"/>
              </w:rPr>
              <w:br/>
              <w:t>#9 Constrained cooperation with the EPPO </w:t>
            </w:r>
          </w:p>
        </w:tc>
        <w:tc>
          <w:tcPr>
            <w:tcW w:w="224" w:type="pct"/>
            <w:noWrap/>
            <w:vAlign w:val="center"/>
            <w:hideMark/>
          </w:tcPr>
          <w:p w14:paraId="081FBD17"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SO2</w:t>
            </w:r>
          </w:p>
        </w:tc>
        <w:tc>
          <w:tcPr>
            <w:tcW w:w="221" w:type="pct"/>
            <w:noWrap/>
            <w:vAlign w:val="center"/>
            <w:hideMark/>
          </w:tcPr>
          <w:p w14:paraId="44A5DF77"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GO</w:t>
            </w:r>
          </w:p>
        </w:tc>
        <w:tc>
          <w:tcPr>
            <w:tcW w:w="618" w:type="pct"/>
            <w:vAlign w:val="center"/>
            <w:hideMark/>
          </w:tcPr>
          <w:p w14:paraId="2A7AB658" w14:textId="77777777" w:rsidR="005B420C" w:rsidRPr="00D4396B" w:rsidRDefault="005B420C" w:rsidP="005B420C">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Effectiveness score </w:t>
            </w:r>
            <w:r w:rsidRPr="00D4396B">
              <w:rPr>
                <w:rFonts w:eastAsia="Times New Roman"/>
                <w:noProof/>
                <w:color w:val="000000"/>
                <w:sz w:val="14"/>
                <w:szCs w:val="14"/>
                <w:lang w:val="en-US" w:eastAsia="de-DE"/>
              </w:rPr>
              <w:br/>
              <w:t>= average SO2+GO</w:t>
            </w:r>
          </w:p>
        </w:tc>
        <w:tc>
          <w:tcPr>
            <w:tcW w:w="450" w:type="pct"/>
            <w:noWrap/>
            <w:vAlign w:val="center"/>
            <w:hideMark/>
          </w:tcPr>
          <w:p w14:paraId="40B206D7" w14:textId="77777777" w:rsidR="005B420C" w:rsidRPr="00D4396B" w:rsidRDefault="005B420C" w:rsidP="005B420C">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w:t>
            </w:r>
          </w:p>
        </w:tc>
        <w:tc>
          <w:tcPr>
            <w:tcW w:w="344" w:type="pct"/>
            <w:noWrap/>
            <w:vAlign w:val="center"/>
            <w:hideMark/>
          </w:tcPr>
          <w:p w14:paraId="08BD3AC7"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Internal</w:t>
            </w:r>
          </w:p>
        </w:tc>
        <w:tc>
          <w:tcPr>
            <w:tcW w:w="370" w:type="pct"/>
            <w:noWrap/>
            <w:vAlign w:val="center"/>
            <w:hideMark/>
          </w:tcPr>
          <w:p w14:paraId="5E84A182"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External</w:t>
            </w:r>
          </w:p>
        </w:tc>
        <w:tc>
          <w:tcPr>
            <w:tcW w:w="450" w:type="pct"/>
            <w:vAlign w:val="center"/>
            <w:hideMark/>
          </w:tcPr>
          <w:p w14:paraId="2134E16E" w14:textId="77777777" w:rsidR="005B420C" w:rsidRPr="00D4396B" w:rsidRDefault="005B420C" w:rsidP="005B420C">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Coherence score </w:t>
            </w:r>
            <w:r w:rsidRPr="00D4396B">
              <w:rPr>
                <w:rFonts w:eastAsia="Times New Roman"/>
                <w:noProof/>
                <w:color w:val="000000"/>
                <w:sz w:val="14"/>
                <w:szCs w:val="14"/>
                <w:lang w:val="en-US" w:eastAsia="de-DE"/>
              </w:rPr>
              <w:br/>
              <w:t>= average Internal+ External</w:t>
            </w:r>
          </w:p>
        </w:tc>
        <w:tc>
          <w:tcPr>
            <w:tcW w:w="723" w:type="pct"/>
            <w:vAlign w:val="center"/>
            <w:hideMark/>
          </w:tcPr>
          <w:p w14:paraId="04B8ED57"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Effectiveness = 0.5</w:t>
            </w:r>
            <w:r w:rsidRPr="00D4396B">
              <w:rPr>
                <w:rFonts w:eastAsia="Times New Roman"/>
                <w:noProof/>
                <w:color w:val="000000"/>
                <w:sz w:val="14"/>
                <w:szCs w:val="14"/>
                <w:lang w:val="de-DE" w:eastAsia="de-DE"/>
              </w:rPr>
              <w:br/>
              <w:t>Efficiency = 0.3</w:t>
            </w:r>
            <w:r w:rsidRPr="00D4396B">
              <w:rPr>
                <w:rFonts w:eastAsia="Times New Roman"/>
                <w:noProof/>
                <w:color w:val="000000"/>
                <w:sz w:val="14"/>
                <w:szCs w:val="14"/>
                <w:lang w:val="de-DE" w:eastAsia="de-DE"/>
              </w:rPr>
              <w:br/>
              <w:t>Coherence = 0.2</w:t>
            </w:r>
          </w:p>
        </w:tc>
      </w:tr>
      <w:tr w:rsidR="005B420C" w:rsidRPr="00D4396B" w14:paraId="38500F0D" w14:textId="77777777" w:rsidTr="00C23564">
        <w:trPr>
          <w:trHeight w:val="278"/>
        </w:trPr>
        <w:tc>
          <w:tcPr>
            <w:tcW w:w="1599" w:type="pct"/>
            <w:noWrap/>
            <w:vAlign w:val="bottom"/>
            <w:hideMark/>
          </w:tcPr>
          <w:p w14:paraId="5471D780" w14:textId="119954D5" w:rsidR="005B420C" w:rsidRPr="00D4396B" w:rsidRDefault="00CE6C58" w:rsidP="005B420C">
            <w:pPr>
              <w:spacing w:after="0"/>
              <w:jc w:val="left"/>
              <w:rPr>
                <w:rFonts w:eastAsia="Times New Roman"/>
                <w:noProof/>
                <w:color w:val="000000"/>
                <w:sz w:val="14"/>
                <w:szCs w:val="14"/>
                <w:lang w:val="de-DE" w:eastAsia="de-DE"/>
              </w:rPr>
            </w:pPr>
            <w:r w:rsidRPr="00D4396B">
              <w:rPr>
                <w:rFonts w:eastAsia="Times New Roman"/>
                <w:noProof/>
                <w:color w:val="000000"/>
                <w:sz w:val="14"/>
                <w:szCs w:val="14"/>
                <w:lang w:val="de-DE" w:eastAsia="de-DE"/>
              </w:rPr>
              <w:t>E</w:t>
            </w:r>
            <w:r w:rsidR="004A630D" w:rsidRPr="00D4396B">
              <w:rPr>
                <w:rFonts w:eastAsia="Times New Roman"/>
                <w:noProof/>
                <w:color w:val="000000"/>
                <w:sz w:val="14"/>
                <w:szCs w:val="14"/>
                <w:lang w:val="de-DE" w:eastAsia="de-DE"/>
              </w:rPr>
              <w:t>.</w:t>
            </w:r>
            <w:r w:rsidR="005B420C" w:rsidRPr="00D4396B">
              <w:rPr>
                <w:rFonts w:eastAsia="Times New Roman"/>
                <w:noProof/>
                <w:color w:val="000000"/>
                <w:sz w:val="14"/>
                <w:szCs w:val="14"/>
                <w:lang w:val="de-DE" w:eastAsia="de-DE"/>
              </w:rPr>
              <w:t>PO1 (i.a)</w:t>
            </w:r>
          </w:p>
        </w:tc>
        <w:tc>
          <w:tcPr>
            <w:tcW w:w="224" w:type="pct"/>
            <w:noWrap/>
            <w:vAlign w:val="center"/>
            <w:hideMark/>
          </w:tcPr>
          <w:p w14:paraId="2E651C39"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221" w:type="pct"/>
            <w:noWrap/>
            <w:vAlign w:val="center"/>
            <w:hideMark/>
          </w:tcPr>
          <w:p w14:paraId="77F87E8F"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0.00</w:t>
            </w:r>
          </w:p>
        </w:tc>
        <w:tc>
          <w:tcPr>
            <w:tcW w:w="618" w:type="pct"/>
            <w:noWrap/>
            <w:vAlign w:val="center"/>
            <w:hideMark/>
          </w:tcPr>
          <w:p w14:paraId="131C3B93"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0.25</w:t>
            </w:r>
          </w:p>
        </w:tc>
        <w:tc>
          <w:tcPr>
            <w:tcW w:w="450" w:type="pct"/>
            <w:noWrap/>
            <w:vAlign w:val="center"/>
            <w:hideMark/>
          </w:tcPr>
          <w:p w14:paraId="3D262130"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0.75</w:t>
            </w:r>
          </w:p>
        </w:tc>
        <w:tc>
          <w:tcPr>
            <w:tcW w:w="344" w:type="pct"/>
            <w:noWrap/>
            <w:vAlign w:val="center"/>
            <w:hideMark/>
          </w:tcPr>
          <w:p w14:paraId="7AD3FD69"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370" w:type="pct"/>
            <w:noWrap/>
            <w:vAlign w:val="center"/>
            <w:hideMark/>
          </w:tcPr>
          <w:p w14:paraId="31AD9038"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450" w:type="pct"/>
            <w:noWrap/>
            <w:vAlign w:val="center"/>
            <w:hideMark/>
          </w:tcPr>
          <w:p w14:paraId="6A827D8C"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0.75</w:t>
            </w:r>
          </w:p>
        </w:tc>
        <w:tc>
          <w:tcPr>
            <w:tcW w:w="723" w:type="pct"/>
            <w:noWrap/>
            <w:vAlign w:val="center"/>
            <w:hideMark/>
          </w:tcPr>
          <w:p w14:paraId="2B174F75"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r>
      <w:tr w:rsidR="005253BE" w:rsidRPr="00D4396B" w14:paraId="7C350C56" w14:textId="77777777" w:rsidTr="00C23564">
        <w:trPr>
          <w:trHeight w:val="278"/>
        </w:trPr>
        <w:tc>
          <w:tcPr>
            <w:tcW w:w="1599" w:type="pct"/>
            <w:tcBorders>
              <w:bottom w:val="single" w:sz="8" w:space="0" w:color="auto"/>
            </w:tcBorders>
            <w:noWrap/>
            <w:vAlign w:val="bottom"/>
            <w:hideMark/>
          </w:tcPr>
          <w:p w14:paraId="725E2D80" w14:textId="42581F69" w:rsidR="005B420C" w:rsidRPr="005A15D6" w:rsidRDefault="00CE6C58" w:rsidP="005B420C">
            <w:pPr>
              <w:spacing w:after="0"/>
              <w:jc w:val="left"/>
              <w:rPr>
                <w:rFonts w:eastAsia="Times New Roman"/>
                <w:noProof/>
                <w:color w:val="000000"/>
                <w:sz w:val="14"/>
                <w:szCs w:val="14"/>
                <w:lang w:val="de-DE" w:eastAsia="de-DE"/>
              </w:rPr>
            </w:pPr>
            <w:r w:rsidRPr="005A15D6">
              <w:rPr>
                <w:rFonts w:eastAsia="Times New Roman"/>
                <w:noProof/>
                <w:color w:val="000000"/>
                <w:sz w:val="14"/>
                <w:szCs w:val="14"/>
                <w:lang w:val="de-DE" w:eastAsia="de-DE"/>
              </w:rPr>
              <w:t>E</w:t>
            </w:r>
            <w:r w:rsidR="008817CA" w:rsidRPr="005A15D6">
              <w:rPr>
                <w:rFonts w:eastAsia="Times New Roman"/>
                <w:noProof/>
                <w:color w:val="000000"/>
                <w:sz w:val="14"/>
                <w:szCs w:val="14"/>
                <w:lang w:val="de-DE" w:eastAsia="de-DE"/>
              </w:rPr>
              <w:t>.</w:t>
            </w:r>
            <w:r w:rsidR="005B420C" w:rsidRPr="005A15D6">
              <w:rPr>
                <w:rFonts w:eastAsia="Times New Roman"/>
                <w:noProof/>
                <w:color w:val="000000"/>
                <w:sz w:val="14"/>
                <w:szCs w:val="14"/>
                <w:lang w:val="de-DE" w:eastAsia="de-DE"/>
              </w:rPr>
              <w:t>PO2 (i.b, ii, iii)</w:t>
            </w:r>
          </w:p>
        </w:tc>
        <w:tc>
          <w:tcPr>
            <w:tcW w:w="224" w:type="pct"/>
            <w:tcBorders>
              <w:bottom w:val="single" w:sz="8" w:space="0" w:color="auto"/>
            </w:tcBorders>
            <w:noWrap/>
            <w:vAlign w:val="center"/>
            <w:hideMark/>
          </w:tcPr>
          <w:p w14:paraId="22048827"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1.33</w:t>
            </w:r>
          </w:p>
        </w:tc>
        <w:tc>
          <w:tcPr>
            <w:tcW w:w="221" w:type="pct"/>
            <w:tcBorders>
              <w:bottom w:val="single" w:sz="8" w:space="0" w:color="auto"/>
            </w:tcBorders>
            <w:noWrap/>
            <w:vAlign w:val="center"/>
            <w:hideMark/>
          </w:tcPr>
          <w:p w14:paraId="22E8155D"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0.83</w:t>
            </w:r>
          </w:p>
        </w:tc>
        <w:tc>
          <w:tcPr>
            <w:tcW w:w="618" w:type="pct"/>
            <w:tcBorders>
              <w:bottom w:val="single" w:sz="8" w:space="0" w:color="auto"/>
            </w:tcBorders>
            <w:noWrap/>
            <w:vAlign w:val="center"/>
            <w:hideMark/>
          </w:tcPr>
          <w:p w14:paraId="3C88586B"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1.08</w:t>
            </w:r>
          </w:p>
        </w:tc>
        <w:tc>
          <w:tcPr>
            <w:tcW w:w="450" w:type="pct"/>
            <w:tcBorders>
              <w:bottom w:val="single" w:sz="8" w:space="0" w:color="auto"/>
            </w:tcBorders>
            <w:noWrap/>
            <w:vAlign w:val="center"/>
            <w:hideMark/>
          </w:tcPr>
          <w:p w14:paraId="55B4CD39"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1.50</w:t>
            </w:r>
          </w:p>
        </w:tc>
        <w:tc>
          <w:tcPr>
            <w:tcW w:w="344" w:type="pct"/>
            <w:tcBorders>
              <w:bottom w:val="single" w:sz="8" w:space="0" w:color="auto"/>
            </w:tcBorders>
            <w:noWrap/>
            <w:vAlign w:val="center"/>
            <w:hideMark/>
          </w:tcPr>
          <w:p w14:paraId="1431E112"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1.67</w:t>
            </w:r>
          </w:p>
        </w:tc>
        <w:tc>
          <w:tcPr>
            <w:tcW w:w="370" w:type="pct"/>
            <w:tcBorders>
              <w:bottom w:val="single" w:sz="8" w:space="0" w:color="auto"/>
            </w:tcBorders>
            <w:noWrap/>
            <w:vAlign w:val="center"/>
            <w:hideMark/>
          </w:tcPr>
          <w:p w14:paraId="58942F74"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450" w:type="pct"/>
            <w:tcBorders>
              <w:bottom w:val="single" w:sz="8" w:space="0" w:color="auto"/>
            </w:tcBorders>
            <w:noWrap/>
            <w:vAlign w:val="center"/>
            <w:hideMark/>
          </w:tcPr>
          <w:p w14:paraId="47ED4CA8"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1.33</w:t>
            </w:r>
          </w:p>
        </w:tc>
        <w:tc>
          <w:tcPr>
            <w:tcW w:w="723" w:type="pct"/>
            <w:tcBorders>
              <w:bottom w:val="single" w:sz="8" w:space="0" w:color="auto"/>
            </w:tcBorders>
            <w:shd w:val="clear" w:color="000000" w:fill="FFEEEE"/>
            <w:vAlign w:val="center"/>
            <w:hideMark/>
          </w:tcPr>
          <w:p w14:paraId="75A2A8DD" w14:textId="77777777" w:rsidR="005B420C" w:rsidRPr="00D4396B" w:rsidRDefault="005B420C" w:rsidP="005B420C">
            <w:pPr>
              <w:spacing w:after="0"/>
              <w:jc w:val="center"/>
              <w:rPr>
                <w:rFonts w:eastAsia="Times New Roman"/>
                <w:noProof/>
                <w:sz w:val="14"/>
                <w:szCs w:val="14"/>
                <w:lang w:val="de-DE" w:eastAsia="de-DE"/>
              </w:rPr>
            </w:pPr>
            <w:r w:rsidRPr="00D4396B">
              <w:rPr>
                <w:rFonts w:eastAsia="Times New Roman"/>
                <w:noProof/>
                <w:sz w:val="14"/>
                <w:szCs w:val="14"/>
                <w:lang w:val="de-DE" w:eastAsia="de-DE"/>
              </w:rPr>
              <w:t>1.26</w:t>
            </w:r>
          </w:p>
        </w:tc>
      </w:tr>
      <w:tr w:rsidR="005B420C" w:rsidRPr="00D4396B" w14:paraId="5C6E6305" w14:textId="77777777" w:rsidTr="00C23564">
        <w:trPr>
          <w:trHeight w:val="278"/>
        </w:trPr>
        <w:tc>
          <w:tcPr>
            <w:tcW w:w="1599" w:type="pct"/>
            <w:noWrap/>
            <w:vAlign w:val="bottom"/>
            <w:hideMark/>
          </w:tcPr>
          <w:p w14:paraId="1A27285F" w14:textId="277DC1E1" w:rsidR="005B420C" w:rsidRPr="005A15D6" w:rsidRDefault="00CE6C58" w:rsidP="005B420C">
            <w:pPr>
              <w:spacing w:after="0"/>
              <w:jc w:val="left"/>
              <w:rPr>
                <w:rFonts w:eastAsia="Times New Roman"/>
                <w:noProof/>
                <w:color w:val="000000"/>
                <w:sz w:val="14"/>
                <w:szCs w:val="14"/>
                <w:lang w:val="de-DE" w:eastAsia="de-DE"/>
              </w:rPr>
            </w:pPr>
            <w:r w:rsidRPr="005A15D6">
              <w:rPr>
                <w:rFonts w:eastAsia="Times New Roman"/>
                <w:noProof/>
                <w:color w:val="000000"/>
                <w:sz w:val="14"/>
                <w:szCs w:val="14"/>
                <w:lang w:val="de-DE" w:eastAsia="de-DE"/>
              </w:rPr>
              <w:t>E</w:t>
            </w:r>
            <w:r w:rsidR="00805ECF" w:rsidRPr="005A15D6">
              <w:rPr>
                <w:rFonts w:eastAsia="Times New Roman"/>
                <w:noProof/>
                <w:color w:val="000000"/>
                <w:sz w:val="14"/>
                <w:szCs w:val="14"/>
                <w:lang w:val="de-DE" w:eastAsia="de-DE"/>
              </w:rPr>
              <w:t>.</w:t>
            </w:r>
            <w:r w:rsidR="005B420C" w:rsidRPr="005A15D6">
              <w:rPr>
                <w:rFonts w:eastAsia="Times New Roman"/>
                <w:noProof/>
                <w:color w:val="000000"/>
                <w:sz w:val="14"/>
                <w:szCs w:val="14"/>
                <w:lang w:val="de-DE" w:eastAsia="de-DE"/>
              </w:rPr>
              <w:t>PO3 (i.b, ii, iii, iv)</w:t>
            </w:r>
          </w:p>
        </w:tc>
        <w:tc>
          <w:tcPr>
            <w:tcW w:w="224" w:type="pct"/>
            <w:noWrap/>
            <w:vAlign w:val="center"/>
            <w:hideMark/>
          </w:tcPr>
          <w:p w14:paraId="6B4471FE"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1.38</w:t>
            </w:r>
          </w:p>
        </w:tc>
        <w:tc>
          <w:tcPr>
            <w:tcW w:w="221" w:type="pct"/>
            <w:noWrap/>
            <w:vAlign w:val="center"/>
            <w:hideMark/>
          </w:tcPr>
          <w:p w14:paraId="3BD600EE"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0.75</w:t>
            </w:r>
          </w:p>
        </w:tc>
        <w:tc>
          <w:tcPr>
            <w:tcW w:w="618" w:type="pct"/>
            <w:noWrap/>
            <w:vAlign w:val="center"/>
            <w:hideMark/>
          </w:tcPr>
          <w:p w14:paraId="1BEE746B"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1.06</w:t>
            </w:r>
          </w:p>
        </w:tc>
        <w:tc>
          <w:tcPr>
            <w:tcW w:w="450" w:type="pct"/>
            <w:noWrap/>
            <w:vAlign w:val="center"/>
            <w:hideMark/>
          </w:tcPr>
          <w:p w14:paraId="25F4EB10"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1.31</w:t>
            </w:r>
          </w:p>
        </w:tc>
        <w:tc>
          <w:tcPr>
            <w:tcW w:w="344" w:type="pct"/>
            <w:noWrap/>
            <w:vAlign w:val="center"/>
            <w:hideMark/>
          </w:tcPr>
          <w:p w14:paraId="3FEA9583"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1.63</w:t>
            </w:r>
          </w:p>
        </w:tc>
        <w:tc>
          <w:tcPr>
            <w:tcW w:w="370" w:type="pct"/>
            <w:noWrap/>
            <w:vAlign w:val="center"/>
            <w:hideMark/>
          </w:tcPr>
          <w:p w14:paraId="25768E1F"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450" w:type="pct"/>
            <w:noWrap/>
            <w:vAlign w:val="center"/>
            <w:hideMark/>
          </w:tcPr>
          <w:p w14:paraId="5036F255"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1.31</w:t>
            </w:r>
          </w:p>
        </w:tc>
        <w:tc>
          <w:tcPr>
            <w:tcW w:w="723" w:type="pct"/>
            <w:noWrap/>
            <w:vAlign w:val="center"/>
            <w:hideMark/>
          </w:tcPr>
          <w:p w14:paraId="66FB941F" w14:textId="77777777" w:rsidR="005B420C" w:rsidRPr="00D4396B" w:rsidRDefault="005B420C" w:rsidP="005B420C">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1.19</w:t>
            </w:r>
          </w:p>
        </w:tc>
      </w:tr>
    </w:tbl>
    <w:p w14:paraId="460B1BEA" w14:textId="77777777" w:rsidR="001617D1" w:rsidRPr="001617D1" w:rsidRDefault="001617D1" w:rsidP="000C3545">
      <w:pPr>
        <w:spacing w:after="0"/>
        <w:rPr>
          <w:b/>
          <w:bCs/>
          <w:i/>
          <w:iCs/>
          <w:noProof/>
          <w:u w:val="single"/>
        </w:rPr>
      </w:pPr>
    </w:p>
    <w:p w14:paraId="36E42A89" w14:textId="21F81A06" w:rsidR="004321BC" w:rsidRPr="00D4396B" w:rsidRDefault="56E7DDD2" w:rsidP="000F169A">
      <w:pPr>
        <w:pStyle w:val="ListParagraph"/>
        <w:numPr>
          <w:ilvl w:val="0"/>
          <w:numId w:val="8"/>
        </w:numPr>
        <w:spacing w:after="120"/>
        <w:ind w:left="567" w:hanging="567"/>
        <w:contextualSpacing w:val="0"/>
        <w:rPr>
          <w:b/>
          <w:bCs/>
          <w:i/>
          <w:iCs/>
          <w:noProof/>
          <w:u w:val="single"/>
        </w:rPr>
      </w:pPr>
      <w:r w:rsidRPr="00D4396B">
        <w:rPr>
          <w:b/>
          <w:bCs/>
          <w:i/>
          <w:iCs/>
          <w:noProof/>
          <w:u w:val="single"/>
        </w:rPr>
        <w:t xml:space="preserve">Options in intervention area </w:t>
      </w:r>
      <w:r w:rsidR="5F846D67" w:rsidRPr="00D4396B">
        <w:rPr>
          <w:b/>
          <w:bCs/>
          <w:i/>
          <w:iCs/>
          <w:noProof/>
          <w:u w:val="single"/>
        </w:rPr>
        <w:t>F</w:t>
      </w:r>
    </w:p>
    <w:p w14:paraId="37EC2E70" w14:textId="1C84E1C7" w:rsidR="002E60C9" w:rsidRPr="00D4396B" w:rsidRDefault="00F21953" w:rsidP="003B0D3B">
      <w:pPr>
        <w:spacing w:after="120"/>
        <w:rPr>
          <w:noProof/>
        </w:rPr>
      </w:pPr>
      <w:r w:rsidRPr="00D4396B">
        <w:rPr>
          <w:b/>
          <w:bCs/>
          <w:noProof/>
        </w:rPr>
        <w:t>F</w:t>
      </w:r>
      <w:r w:rsidR="05C2A742" w:rsidRPr="00D4396B">
        <w:rPr>
          <w:b/>
          <w:bCs/>
          <w:noProof/>
        </w:rPr>
        <w:t>.PO1</w:t>
      </w:r>
      <w:r w:rsidR="151B0831" w:rsidRPr="00D4396B">
        <w:rPr>
          <w:b/>
          <w:bCs/>
          <w:noProof/>
        </w:rPr>
        <w:t xml:space="preserve">: </w:t>
      </w:r>
      <w:r w:rsidR="41AD7E2E" w:rsidRPr="00D4396B" w:rsidDel="00F41ED2">
        <w:rPr>
          <w:noProof/>
        </w:rPr>
        <w:t>O</w:t>
      </w:r>
      <w:r w:rsidR="73F0D5B1" w:rsidRPr="00D4396B">
        <w:rPr>
          <w:noProof/>
        </w:rPr>
        <w:t xml:space="preserve">ptions presented are expected to </w:t>
      </w:r>
      <w:r w:rsidR="34B3113F" w:rsidRPr="00D4396B">
        <w:rPr>
          <w:noProof/>
        </w:rPr>
        <w:t>facilitate</w:t>
      </w:r>
      <w:r w:rsidR="245771D4" w:rsidRPr="00D4396B">
        <w:rPr>
          <w:noProof/>
        </w:rPr>
        <w:t xml:space="preserve"> </w:t>
      </w:r>
      <w:r w:rsidR="12BD2F4C" w:rsidRPr="00D4396B">
        <w:rPr>
          <w:noProof/>
        </w:rPr>
        <w:t xml:space="preserve">the </w:t>
      </w:r>
      <w:r w:rsidR="14C44667" w:rsidRPr="00D4396B">
        <w:rPr>
          <w:noProof/>
        </w:rPr>
        <w:t>process for establishing relations with international actors (</w:t>
      </w:r>
      <w:r w:rsidR="4C939148" w:rsidRPr="00D4396B">
        <w:rPr>
          <w:noProof/>
        </w:rPr>
        <w:t>#10)</w:t>
      </w:r>
      <w:r w:rsidR="7F6549EA" w:rsidRPr="00D4396B">
        <w:rPr>
          <w:noProof/>
        </w:rPr>
        <w:t xml:space="preserve">. </w:t>
      </w:r>
      <w:r w:rsidRPr="00D4396B">
        <w:rPr>
          <w:noProof/>
        </w:rPr>
        <w:t>F</w:t>
      </w:r>
      <w:r w:rsidR="05C2A742" w:rsidRPr="00D4396B">
        <w:rPr>
          <w:noProof/>
        </w:rPr>
        <w:t>.PO1</w:t>
      </w:r>
      <w:r w:rsidR="1CC52979" w:rsidRPr="00D4396B">
        <w:rPr>
          <w:noProof/>
        </w:rPr>
        <w:t xml:space="preserve"> </w:t>
      </w:r>
      <w:r w:rsidR="1098752D" w:rsidRPr="00D4396B">
        <w:rPr>
          <w:noProof/>
        </w:rPr>
        <w:t xml:space="preserve">aims to mitigate this driver </w:t>
      </w:r>
      <w:r w:rsidR="41A45845" w:rsidRPr="00D4396B">
        <w:rPr>
          <w:noProof/>
        </w:rPr>
        <w:t xml:space="preserve">by introducing cooperation </w:t>
      </w:r>
      <w:r w:rsidR="7144E9D4" w:rsidRPr="00D4396B">
        <w:rPr>
          <w:noProof/>
        </w:rPr>
        <w:t>commitments</w:t>
      </w:r>
      <w:r w:rsidR="41A45845" w:rsidRPr="00D4396B">
        <w:rPr>
          <w:noProof/>
        </w:rPr>
        <w:t xml:space="preserve"> in agreements with </w:t>
      </w:r>
      <w:r w:rsidR="3CC4158F" w:rsidRPr="00D4396B">
        <w:rPr>
          <w:noProof/>
        </w:rPr>
        <w:t xml:space="preserve">third countries with </w:t>
      </w:r>
      <w:r w:rsidR="6BF84CDC" w:rsidRPr="00D4396B">
        <w:rPr>
          <w:noProof/>
        </w:rPr>
        <w:t xml:space="preserve">political and economic </w:t>
      </w:r>
      <w:r w:rsidR="3CC4158F" w:rsidRPr="00D4396B">
        <w:rPr>
          <w:noProof/>
        </w:rPr>
        <w:t>implications</w:t>
      </w:r>
      <w:r w:rsidR="4E04F098" w:rsidRPr="00D4396B">
        <w:rPr>
          <w:noProof/>
        </w:rPr>
        <w:t xml:space="preserve"> as a cross</w:t>
      </w:r>
      <w:r w:rsidR="0DB18BE5" w:rsidRPr="00D4396B">
        <w:rPr>
          <w:noProof/>
        </w:rPr>
        <w:t>-</w:t>
      </w:r>
      <w:r w:rsidR="2FDD4365" w:rsidRPr="00D4396B">
        <w:rPr>
          <w:noProof/>
        </w:rPr>
        <w:t xml:space="preserve">cutting </w:t>
      </w:r>
      <w:r w:rsidR="5ACE08AB" w:rsidRPr="00D4396B">
        <w:rPr>
          <w:noProof/>
        </w:rPr>
        <w:t>non-legislative measure</w:t>
      </w:r>
      <w:r w:rsidR="6D4C1752" w:rsidRPr="00D4396B">
        <w:rPr>
          <w:noProof/>
        </w:rPr>
        <w:t xml:space="preserve">. </w:t>
      </w:r>
      <w:r w:rsidR="39697B32" w:rsidRPr="00D4396B">
        <w:rPr>
          <w:noProof/>
        </w:rPr>
        <w:t xml:space="preserve">The impact of this measure is difficult to assess: </w:t>
      </w:r>
      <w:r w:rsidR="1706AF57" w:rsidRPr="00D4396B">
        <w:rPr>
          <w:noProof/>
        </w:rPr>
        <w:t>i</w:t>
      </w:r>
      <w:r w:rsidR="786F3618" w:rsidRPr="00D4396B">
        <w:rPr>
          <w:noProof/>
        </w:rPr>
        <w:t>t could potentially incentivise third countries towards a stronger convergence with EU standards</w:t>
      </w:r>
      <w:r w:rsidR="0D64A027" w:rsidRPr="00D4396B">
        <w:rPr>
          <w:noProof/>
        </w:rPr>
        <w:t xml:space="preserve"> </w:t>
      </w:r>
      <w:r w:rsidR="06981515" w:rsidRPr="00D4396B">
        <w:rPr>
          <w:noProof/>
        </w:rPr>
        <w:t xml:space="preserve">but would </w:t>
      </w:r>
      <w:r w:rsidR="7747C87A" w:rsidRPr="00D4396B">
        <w:rPr>
          <w:noProof/>
        </w:rPr>
        <w:t xml:space="preserve">depend on the </w:t>
      </w:r>
      <w:r w:rsidR="56E84DE2" w:rsidRPr="00D4396B">
        <w:rPr>
          <w:noProof/>
        </w:rPr>
        <w:t>interest</w:t>
      </w:r>
      <w:r w:rsidR="0E592BCE" w:rsidRPr="00D4396B">
        <w:rPr>
          <w:noProof/>
        </w:rPr>
        <w:t>s</w:t>
      </w:r>
      <w:r w:rsidR="56E84DE2" w:rsidRPr="00D4396B">
        <w:rPr>
          <w:noProof/>
        </w:rPr>
        <w:t xml:space="preserve"> at stake</w:t>
      </w:r>
      <w:r w:rsidR="6581C8E1" w:rsidRPr="00D4396B">
        <w:rPr>
          <w:noProof/>
        </w:rPr>
        <w:t>, as well as political willingness</w:t>
      </w:r>
      <w:r w:rsidR="69EE97BC" w:rsidRPr="00D4396B">
        <w:rPr>
          <w:noProof/>
        </w:rPr>
        <w:t>, assuming that EU data protection standards</w:t>
      </w:r>
      <w:r w:rsidR="6AF23C71" w:rsidRPr="00D4396B">
        <w:rPr>
          <w:noProof/>
        </w:rPr>
        <w:t>, and fundamental rights,</w:t>
      </w:r>
      <w:r w:rsidR="37618FA4" w:rsidRPr="00D4396B">
        <w:rPr>
          <w:noProof/>
        </w:rPr>
        <w:t xml:space="preserve"> are respected</w:t>
      </w:r>
      <w:r w:rsidR="0D64A027" w:rsidRPr="00D4396B">
        <w:rPr>
          <w:noProof/>
        </w:rPr>
        <w:t>.</w:t>
      </w:r>
      <w:r w:rsidR="00D40F82" w:rsidRPr="00D4396B">
        <w:rPr>
          <w:rStyle w:val="FootnoteReference"/>
          <w:noProof/>
        </w:rPr>
        <w:footnoteReference w:id="135"/>
      </w:r>
      <w:r w:rsidR="0114C1CC" w:rsidRPr="00D4396B">
        <w:rPr>
          <w:noProof/>
        </w:rPr>
        <w:t xml:space="preserve"> </w:t>
      </w:r>
      <w:r w:rsidR="25809B58" w:rsidRPr="00D4396B">
        <w:rPr>
          <w:noProof/>
        </w:rPr>
        <w:t>Despite these limitations</w:t>
      </w:r>
      <w:r w:rsidR="4E030067" w:rsidRPr="00D4396B">
        <w:rPr>
          <w:noProof/>
        </w:rPr>
        <w:t>,</w:t>
      </w:r>
      <w:r w:rsidR="04EA9A39" w:rsidRPr="00D4396B">
        <w:rPr>
          <w:noProof/>
        </w:rPr>
        <w:t xml:space="preserve"> </w:t>
      </w:r>
      <w:r w:rsidR="39DC6349" w:rsidRPr="00D4396B">
        <w:rPr>
          <w:noProof/>
        </w:rPr>
        <w:t xml:space="preserve">the inclusion of </w:t>
      </w:r>
      <w:r w:rsidR="290DA591" w:rsidRPr="00D4396B">
        <w:rPr>
          <w:noProof/>
        </w:rPr>
        <w:t>obligations related to judicial cooperation</w:t>
      </w:r>
      <w:r w:rsidR="107D433C" w:rsidRPr="00D4396B">
        <w:rPr>
          <w:noProof/>
        </w:rPr>
        <w:t xml:space="preserve"> could </w:t>
      </w:r>
      <w:r w:rsidR="4C8CD66E" w:rsidRPr="00D4396B">
        <w:rPr>
          <w:noProof/>
        </w:rPr>
        <w:t xml:space="preserve">especially </w:t>
      </w:r>
      <w:r w:rsidR="7AFB117E" w:rsidRPr="00D4396B">
        <w:rPr>
          <w:noProof/>
        </w:rPr>
        <w:t xml:space="preserve">facilitate specific cases where </w:t>
      </w:r>
      <w:r w:rsidR="694C72D9" w:rsidRPr="00D4396B">
        <w:rPr>
          <w:noProof/>
        </w:rPr>
        <w:t xml:space="preserve">third countries </w:t>
      </w:r>
      <w:r w:rsidR="4838824F" w:rsidRPr="00D4396B">
        <w:rPr>
          <w:noProof/>
        </w:rPr>
        <w:t>have a keen interest in financial support from the EU</w:t>
      </w:r>
      <w:r w:rsidR="694C72D9" w:rsidRPr="00D4396B">
        <w:rPr>
          <w:noProof/>
        </w:rPr>
        <w:t xml:space="preserve"> </w:t>
      </w:r>
      <w:r w:rsidR="5A9AE0BB" w:rsidRPr="00D4396B">
        <w:rPr>
          <w:noProof/>
        </w:rPr>
        <w:t xml:space="preserve"> and would thus have </w:t>
      </w:r>
      <w:r w:rsidR="21325DE5" w:rsidRPr="00D4396B">
        <w:rPr>
          <w:noProof/>
        </w:rPr>
        <w:t>a positive impact compared to the</w:t>
      </w:r>
      <w:r w:rsidR="3A6AE812" w:rsidRPr="00D4396B">
        <w:rPr>
          <w:noProof/>
        </w:rPr>
        <w:t xml:space="preserve"> current situation.</w:t>
      </w:r>
      <w:r w:rsidR="00056984" w:rsidRPr="00D4396B">
        <w:rPr>
          <w:rStyle w:val="FootnoteReference"/>
          <w:noProof/>
        </w:rPr>
        <w:footnoteReference w:id="136"/>
      </w:r>
      <w:r w:rsidR="455C3D7A" w:rsidRPr="00D4396B">
        <w:rPr>
          <w:noProof/>
        </w:rPr>
        <w:t xml:space="preserve"> </w:t>
      </w:r>
      <w:r w:rsidR="22C31F7A" w:rsidRPr="00D4396B">
        <w:rPr>
          <w:noProof/>
        </w:rPr>
        <w:t xml:space="preserve">This is confirmed by a survey conducted by the </w:t>
      </w:r>
      <w:r w:rsidR="0E0CA35C" w:rsidRPr="00D4396B">
        <w:rPr>
          <w:noProof/>
        </w:rPr>
        <w:t xml:space="preserve">contractor </w:t>
      </w:r>
      <w:r w:rsidR="69D9EEC2" w:rsidRPr="00D4396B">
        <w:rPr>
          <w:noProof/>
        </w:rPr>
        <w:t xml:space="preserve">and included in the Support </w:t>
      </w:r>
      <w:r w:rsidR="00823B85">
        <w:rPr>
          <w:noProof/>
        </w:rPr>
        <w:t>s</w:t>
      </w:r>
      <w:r w:rsidR="69D9EEC2" w:rsidRPr="00D4396B">
        <w:rPr>
          <w:noProof/>
        </w:rPr>
        <w:t>tudy</w:t>
      </w:r>
      <w:r w:rsidR="29386AC6" w:rsidRPr="00D4396B">
        <w:rPr>
          <w:noProof/>
        </w:rPr>
        <w:t>, in which</w:t>
      </w:r>
      <w:r w:rsidR="4E2FF2EE" w:rsidRPr="00D4396B">
        <w:rPr>
          <w:noProof/>
        </w:rPr>
        <w:t xml:space="preserve"> respondents </w:t>
      </w:r>
      <w:r w:rsidR="7B095CB4" w:rsidRPr="00D4396B">
        <w:rPr>
          <w:noProof/>
        </w:rPr>
        <w:t xml:space="preserve">were of the opinion that </w:t>
      </w:r>
      <w:r w:rsidR="05E1E5C4" w:rsidRPr="00D4396B">
        <w:rPr>
          <w:noProof/>
        </w:rPr>
        <w:t xml:space="preserve">the inclusion of </w:t>
      </w:r>
      <w:r w:rsidR="78012F80" w:rsidRPr="00D4396B">
        <w:rPr>
          <w:noProof/>
        </w:rPr>
        <w:t>these</w:t>
      </w:r>
      <w:r w:rsidR="05E1E5C4" w:rsidRPr="00D4396B">
        <w:rPr>
          <w:noProof/>
        </w:rPr>
        <w:t xml:space="preserve"> </w:t>
      </w:r>
      <w:r w:rsidR="66352901" w:rsidRPr="00D4396B">
        <w:rPr>
          <w:noProof/>
        </w:rPr>
        <w:t>conditionalities would contribute to expand third country engagement to at least a moderate extent</w:t>
      </w:r>
      <w:r w:rsidR="3BA1B81A" w:rsidRPr="00D4396B">
        <w:rPr>
          <w:noProof/>
        </w:rPr>
        <w:t xml:space="preserve"> </w:t>
      </w:r>
      <w:r w:rsidR="331F887E" w:rsidRPr="00D4396B">
        <w:rPr>
          <w:noProof/>
        </w:rPr>
        <w:t>(54.3%, n=101 out of 186)</w:t>
      </w:r>
      <w:r w:rsidR="3BA1B81A" w:rsidRPr="00D4396B">
        <w:rPr>
          <w:noProof/>
        </w:rPr>
        <w:t>.</w:t>
      </w:r>
      <w:r w:rsidR="5623A524" w:rsidRPr="00D4396B">
        <w:rPr>
          <w:noProof/>
        </w:rPr>
        <w:t xml:space="preserve"> </w:t>
      </w:r>
      <w:r w:rsidR="13587A76" w:rsidRPr="00D4396B">
        <w:rPr>
          <w:noProof/>
        </w:rPr>
        <w:t>Ultimately</w:t>
      </w:r>
      <w:r w:rsidR="43EAD05C" w:rsidRPr="00D4396B">
        <w:rPr>
          <w:noProof/>
        </w:rPr>
        <w:t>, this measure would contribute to improving the investigation of crimes, also in cooperation with third countries, and would therefore have a positive impact.</w:t>
      </w:r>
    </w:p>
    <w:p w14:paraId="1A98F13D" w14:textId="1197D591" w:rsidR="007635D4" w:rsidRPr="00D4396B" w:rsidRDefault="00F21953" w:rsidP="003B0D3B">
      <w:pPr>
        <w:spacing w:after="120"/>
        <w:rPr>
          <w:noProof/>
        </w:rPr>
      </w:pPr>
      <w:r w:rsidRPr="7E8FC249">
        <w:rPr>
          <w:b/>
          <w:bCs/>
          <w:noProof/>
        </w:rPr>
        <w:t>F</w:t>
      </w:r>
      <w:r w:rsidR="00015BE9" w:rsidRPr="7E8FC249">
        <w:rPr>
          <w:b/>
          <w:bCs/>
          <w:noProof/>
        </w:rPr>
        <w:t>.PO2</w:t>
      </w:r>
      <w:r w:rsidR="63B0D426" w:rsidRPr="7E8FC249">
        <w:rPr>
          <w:b/>
          <w:bCs/>
          <w:noProof/>
        </w:rPr>
        <w:t xml:space="preserve">: </w:t>
      </w:r>
      <w:r w:rsidR="6AAB8504">
        <w:rPr>
          <w:noProof/>
        </w:rPr>
        <w:t xml:space="preserve">This policy option includes the </w:t>
      </w:r>
      <w:r w:rsidR="2AA78362">
        <w:rPr>
          <w:noProof/>
        </w:rPr>
        <w:t>first</w:t>
      </w:r>
      <w:r w:rsidR="0F3DCEFA">
        <w:rPr>
          <w:noProof/>
        </w:rPr>
        <w:t xml:space="preserve"> non-legislative measure </w:t>
      </w:r>
      <w:r w:rsidR="30E5C06B">
        <w:rPr>
          <w:noProof/>
        </w:rPr>
        <w:t xml:space="preserve">on the cooperation </w:t>
      </w:r>
      <w:r w:rsidR="00E122EC">
        <w:rPr>
          <w:noProof/>
        </w:rPr>
        <w:t>obligations but</w:t>
      </w:r>
      <w:r w:rsidR="33D052DD">
        <w:rPr>
          <w:noProof/>
        </w:rPr>
        <w:t xml:space="preserve"> </w:t>
      </w:r>
      <w:r w:rsidR="7206EA61">
        <w:rPr>
          <w:noProof/>
        </w:rPr>
        <w:t xml:space="preserve">adds </w:t>
      </w:r>
      <w:r w:rsidR="4B382281">
        <w:rPr>
          <w:noProof/>
        </w:rPr>
        <w:t xml:space="preserve">further </w:t>
      </w:r>
      <w:r w:rsidR="69C7AA51">
        <w:rPr>
          <w:noProof/>
        </w:rPr>
        <w:t xml:space="preserve">substantive </w:t>
      </w:r>
      <w:r w:rsidR="4B382281">
        <w:rPr>
          <w:noProof/>
        </w:rPr>
        <w:t>measures</w:t>
      </w:r>
      <w:r w:rsidR="0282DA2F">
        <w:rPr>
          <w:noProof/>
        </w:rPr>
        <w:t xml:space="preserve">: </w:t>
      </w:r>
      <w:r w:rsidR="7F723D1E">
        <w:rPr>
          <w:noProof/>
        </w:rPr>
        <w:t xml:space="preserve">clarifying the legal framework </w:t>
      </w:r>
      <w:r w:rsidR="16A0B7D0">
        <w:rPr>
          <w:noProof/>
        </w:rPr>
        <w:t xml:space="preserve">governing </w:t>
      </w:r>
      <w:r w:rsidR="678400F9">
        <w:rPr>
          <w:noProof/>
        </w:rPr>
        <w:t>L</w:t>
      </w:r>
      <w:r w:rsidR="1A12CA37">
        <w:rPr>
          <w:noProof/>
        </w:rPr>
        <w:t>M</w:t>
      </w:r>
      <w:r w:rsidR="678400F9">
        <w:rPr>
          <w:noProof/>
        </w:rPr>
        <w:t>s</w:t>
      </w:r>
      <w:r w:rsidR="698D52C3">
        <w:rPr>
          <w:noProof/>
        </w:rPr>
        <w:t xml:space="preserve"> (ii)</w:t>
      </w:r>
      <w:r w:rsidR="5B22C80C">
        <w:rPr>
          <w:noProof/>
        </w:rPr>
        <w:t xml:space="preserve">, </w:t>
      </w:r>
      <w:r w:rsidR="2D753831">
        <w:rPr>
          <w:noProof/>
        </w:rPr>
        <w:t>institutionalising</w:t>
      </w:r>
      <w:r w:rsidR="466741FF">
        <w:rPr>
          <w:noProof/>
        </w:rPr>
        <w:t xml:space="preserve"> Resident </w:t>
      </w:r>
      <w:r w:rsidR="448A2B1F">
        <w:rPr>
          <w:noProof/>
        </w:rPr>
        <w:t xml:space="preserve">Contact Points </w:t>
      </w:r>
      <w:r w:rsidR="585C88FF">
        <w:rPr>
          <w:noProof/>
        </w:rPr>
        <w:t>for priority countries</w:t>
      </w:r>
      <w:r w:rsidR="32608F04">
        <w:rPr>
          <w:noProof/>
        </w:rPr>
        <w:t xml:space="preserve"> (</w:t>
      </w:r>
      <w:r w:rsidR="7C22EA42">
        <w:rPr>
          <w:noProof/>
        </w:rPr>
        <w:t>iii)</w:t>
      </w:r>
      <w:r w:rsidR="36B284C7">
        <w:rPr>
          <w:noProof/>
        </w:rPr>
        <w:t xml:space="preserve"> and granting participation in </w:t>
      </w:r>
      <w:r w:rsidR="287D2EC4">
        <w:rPr>
          <w:noProof/>
        </w:rPr>
        <w:t xml:space="preserve">College meetings to </w:t>
      </w:r>
      <w:r w:rsidR="006234E0">
        <w:rPr>
          <w:noProof/>
        </w:rPr>
        <w:t>LP</w:t>
      </w:r>
      <w:r w:rsidR="287D2EC4">
        <w:rPr>
          <w:noProof/>
        </w:rPr>
        <w:t xml:space="preserve">s (iv). </w:t>
      </w:r>
    </w:p>
    <w:p w14:paraId="7ACE8F57" w14:textId="3BBD205E" w:rsidR="002E6612" w:rsidRPr="00D4396B" w:rsidRDefault="1E1DA07D" w:rsidP="003B0D3B">
      <w:pPr>
        <w:spacing w:after="120"/>
        <w:rPr>
          <w:noProof/>
        </w:rPr>
      </w:pPr>
      <w:r w:rsidRPr="00D4396B">
        <w:rPr>
          <w:noProof/>
        </w:rPr>
        <w:t xml:space="preserve">The expected impact of the </w:t>
      </w:r>
      <w:r w:rsidR="7D83C535" w:rsidRPr="00D4396B">
        <w:rPr>
          <w:noProof/>
        </w:rPr>
        <w:t xml:space="preserve">first of </w:t>
      </w:r>
      <w:r w:rsidR="171FF698" w:rsidRPr="00D4396B">
        <w:rPr>
          <w:noProof/>
        </w:rPr>
        <w:t>these</w:t>
      </w:r>
      <w:r w:rsidR="2F710BE3" w:rsidRPr="00D4396B">
        <w:rPr>
          <w:noProof/>
        </w:rPr>
        <w:t xml:space="preserve"> additional</w:t>
      </w:r>
      <w:r w:rsidR="171FF698" w:rsidRPr="00D4396B">
        <w:rPr>
          <w:noProof/>
        </w:rPr>
        <w:t xml:space="preserve"> measures</w:t>
      </w:r>
      <w:r w:rsidR="3EF5D69A" w:rsidRPr="00D4396B">
        <w:rPr>
          <w:noProof/>
        </w:rPr>
        <w:t xml:space="preserve"> (ii)</w:t>
      </w:r>
      <w:r w:rsidR="4E78076E" w:rsidRPr="00D4396B">
        <w:rPr>
          <w:noProof/>
        </w:rPr>
        <w:t xml:space="preserve"> would be a strengthened cooperation </w:t>
      </w:r>
      <w:r w:rsidR="01A61A1C" w:rsidRPr="00D4396B">
        <w:rPr>
          <w:noProof/>
        </w:rPr>
        <w:t xml:space="preserve">with third </w:t>
      </w:r>
      <w:r w:rsidR="4F76502C" w:rsidRPr="00D4396B">
        <w:rPr>
          <w:noProof/>
        </w:rPr>
        <w:t>countries</w:t>
      </w:r>
      <w:r w:rsidR="2FF9BD80" w:rsidRPr="00D4396B">
        <w:rPr>
          <w:noProof/>
        </w:rPr>
        <w:t xml:space="preserve"> that </w:t>
      </w:r>
      <w:r w:rsidR="2138689C" w:rsidRPr="00D4396B">
        <w:rPr>
          <w:noProof/>
        </w:rPr>
        <w:t>w</w:t>
      </w:r>
      <w:r w:rsidR="2FF9BD80" w:rsidRPr="00D4396B">
        <w:rPr>
          <w:noProof/>
        </w:rPr>
        <w:t xml:space="preserve">ould increase </w:t>
      </w:r>
      <w:r w:rsidR="55552D85" w:rsidRPr="00D4396B">
        <w:rPr>
          <w:noProof/>
        </w:rPr>
        <w:t xml:space="preserve">exchanges and </w:t>
      </w:r>
      <w:r w:rsidR="7FD9B521" w:rsidRPr="00D4396B">
        <w:rPr>
          <w:noProof/>
        </w:rPr>
        <w:t>case numbers.</w:t>
      </w:r>
      <w:r w:rsidR="0033555E" w:rsidRPr="00D4396B">
        <w:rPr>
          <w:rStyle w:val="FootnoteReference"/>
          <w:noProof/>
        </w:rPr>
        <w:footnoteReference w:id="137"/>
      </w:r>
      <w:r w:rsidR="263ED846" w:rsidRPr="00D4396B">
        <w:rPr>
          <w:noProof/>
        </w:rPr>
        <w:t xml:space="preserve"> Tog</w:t>
      </w:r>
      <w:r w:rsidR="0CC99048" w:rsidRPr="00D4396B">
        <w:rPr>
          <w:noProof/>
        </w:rPr>
        <w:t xml:space="preserve">ether with the </w:t>
      </w:r>
      <w:r w:rsidR="2AA824CA" w:rsidRPr="00D4396B">
        <w:rPr>
          <w:noProof/>
        </w:rPr>
        <w:t xml:space="preserve">measure of </w:t>
      </w:r>
      <w:r w:rsidR="0FFD9847" w:rsidRPr="00D4396B">
        <w:rPr>
          <w:noProof/>
        </w:rPr>
        <w:t xml:space="preserve">institutionalising </w:t>
      </w:r>
      <w:r w:rsidR="5F689E25" w:rsidRPr="00D4396B">
        <w:rPr>
          <w:noProof/>
        </w:rPr>
        <w:t xml:space="preserve">resident Contact Points </w:t>
      </w:r>
      <w:r w:rsidR="2C79DDCA" w:rsidRPr="00D4396B">
        <w:rPr>
          <w:noProof/>
        </w:rPr>
        <w:t>(</w:t>
      </w:r>
      <w:r w:rsidR="1F58A683" w:rsidRPr="00D4396B">
        <w:rPr>
          <w:noProof/>
        </w:rPr>
        <w:t xml:space="preserve">iii) this policy option would present significant </w:t>
      </w:r>
      <w:r w:rsidR="6ED8FE6C" w:rsidRPr="00D4396B">
        <w:rPr>
          <w:noProof/>
        </w:rPr>
        <w:t>administrative, financial and operational burdens for Eurojust</w:t>
      </w:r>
      <w:r w:rsidR="137E2821" w:rsidRPr="00D4396B">
        <w:rPr>
          <w:noProof/>
        </w:rPr>
        <w:t>.</w:t>
      </w:r>
      <w:r w:rsidR="008D39FD" w:rsidRPr="00D4396B">
        <w:rPr>
          <w:rStyle w:val="FootnoteReference"/>
          <w:noProof/>
        </w:rPr>
        <w:footnoteReference w:id="138"/>
      </w:r>
      <w:r w:rsidR="137E2821" w:rsidRPr="00D4396B">
        <w:rPr>
          <w:noProof/>
        </w:rPr>
        <w:t xml:space="preserve"> </w:t>
      </w:r>
      <w:r w:rsidR="336FFAB1" w:rsidRPr="00D4396B">
        <w:rPr>
          <w:noProof/>
        </w:rPr>
        <w:t xml:space="preserve">Moreover, there is the risk that </w:t>
      </w:r>
      <w:r w:rsidR="76CC38DB" w:rsidRPr="00D4396B">
        <w:rPr>
          <w:noProof/>
        </w:rPr>
        <w:t>L</w:t>
      </w:r>
      <w:r w:rsidR="70CB6497" w:rsidRPr="00D4396B">
        <w:rPr>
          <w:noProof/>
        </w:rPr>
        <w:t>M</w:t>
      </w:r>
      <w:r w:rsidR="3D73D503" w:rsidRPr="00D4396B">
        <w:rPr>
          <w:noProof/>
        </w:rPr>
        <w:t xml:space="preserve">s </w:t>
      </w:r>
      <w:r w:rsidR="520B68C2" w:rsidRPr="00D4396B">
        <w:rPr>
          <w:noProof/>
        </w:rPr>
        <w:t xml:space="preserve">would </w:t>
      </w:r>
      <w:r w:rsidR="21022CD5" w:rsidRPr="00D4396B">
        <w:rPr>
          <w:noProof/>
        </w:rPr>
        <w:t>function merely as contact points due to limited expertise in diverse national legal systems</w:t>
      </w:r>
      <w:r w:rsidR="7CA5A9DC" w:rsidRPr="00D4396B">
        <w:rPr>
          <w:noProof/>
        </w:rPr>
        <w:t xml:space="preserve">. </w:t>
      </w:r>
    </w:p>
    <w:p w14:paraId="691FE322" w14:textId="7AD62894" w:rsidR="00CD2CE1" w:rsidRPr="00D4396B" w:rsidRDefault="00CD2CE1" w:rsidP="003B0D3B">
      <w:pPr>
        <w:spacing w:after="120"/>
        <w:rPr>
          <w:noProof/>
        </w:rPr>
      </w:pPr>
      <w:r>
        <w:rPr>
          <w:noProof/>
        </w:rPr>
        <w:t>Despite the challenges, the L</w:t>
      </w:r>
      <w:r w:rsidR="183EA01B">
        <w:rPr>
          <w:noProof/>
        </w:rPr>
        <w:t>M</w:t>
      </w:r>
      <w:r>
        <w:rPr>
          <w:noProof/>
        </w:rPr>
        <w:t>s and resident Contact Points are a strategic and necessary evolution in Eurojust’s</w:t>
      </w:r>
      <w:r w:rsidR="004E74A7">
        <w:rPr>
          <w:noProof/>
        </w:rPr>
        <w:t xml:space="preserve"> capacity to strengthen judicial cooperation with third countries. </w:t>
      </w:r>
      <w:r w:rsidR="00C11C33">
        <w:rPr>
          <w:noProof/>
        </w:rPr>
        <w:t xml:space="preserve">Their deployment in </w:t>
      </w:r>
      <w:r w:rsidR="00CB79DC">
        <w:rPr>
          <w:noProof/>
        </w:rPr>
        <w:t>key regions</w:t>
      </w:r>
      <w:r w:rsidR="0072432D">
        <w:rPr>
          <w:noProof/>
        </w:rPr>
        <w:t xml:space="preserve"> (e.g., Africa, Middle East)</w:t>
      </w:r>
      <w:r w:rsidR="00B8074F">
        <w:rPr>
          <w:noProof/>
        </w:rPr>
        <w:t xml:space="preserve"> would provide </w:t>
      </w:r>
      <w:r w:rsidR="002D4B60">
        <w:rPr>
          <w:noProof/>
        </w:rPr>
        <w:t>reliable channels for judicial cooperation</w:t>
      </w:r>
      <w:r w:rsidR="00175C01">
        <w:rPr>
          <w:noProof/>
        </w:rPr>
        <w:t>, reducing delays for critical requests</w:t>
      </w:r>
      <w:r w:rsidR="00076DF6">
        <w:rPr>
          <w:noProof/>
        </w:rPr>
        <w:t xml:space="preserve">. This could be </w:t>
      </w:r>
      <w:r w:rsidR="00C96FDF">
        <w:rPr>
          <w:noProof/>
        </w:rPr>
        <w:t>especially valuable for Member States with limited diplomatic networks</w:t>
      </w:r>
      <w:r w:rsidR="00524724">
        <w:rPr>
          <w:noProof/>
        </w:rPr>
        <w:t xml:space="preserve"> and </w:t>
      </w:r>
      <w:r w:rsidR="00A34A18">
        <w:rPr>
          <w:noProof/>
        </w:rPr>
        <w:t>besides</w:t>
      </w:r>
      <w:r w:rsidR="004E7CB6">
        <w:rPr>
          <w:noProof/>
        </w:rPr>
        <w:t xml:space="preserve">, enhance Eurojust’s visibility and credibility as a central hub for international criminal justice cooperation. </w:t>
      </w:r>
      <w:r w:rsidR="006574F1">
        <w:rPr>
          <w:noProof/>
        </w:rPr>
        <w:t xml:space="preserve">Similarly, </w:t>
      </w:r>
      <w:r w:rsidR="00CE0BC7">
        <w:rPr>
          <w:noProof/>
        </w:rPr>
        <w:t>Resident Contact Points</w:t>
      </w:r>
      <w:r w:rsidR="007E318C">
        <w:rPr>
          <w:noProof/>
        </w:rPr>
        <w:t xml:space="preserve"> would </w:t>
      </w:r>
      <w:r w:rsidR="00661D7D">
        <w:rPr>
          <w:noProof/>
        </w:rPr>
        <w:t xml:space="preserve">ease </w:t>
      </w:r>
      <w:r w:rsidR="00401E78">
        <w:rPr>
          <w:noProof/>
        </w:rPr>
        <w:t>cooperation with countries where formal agreements are difficult to negotiate</w:t>
      </w:r>
      <w:r w:rsidR="00375905">
        <w:rPr>
          <w:noProof/>
        </w:rPr>
        <w:t xml:space="preserve">, offering a pragmatic and flexible alternative. </w:t>
      </w:r>
      <w:r w:rsidR="00665159">
        <w:rPr>
          <w:noProof/>
        </w:rPr>
        <w:t xml:space="preserve">Case </w:t>
      </w:r>
      <w:r w:rsidR="00DF4248">
        <w:rPr>
          <w:noProof/>
        </w:rPr>
        <w:t xml:space="preserve">volumes would </w:t>
      </w:r>
      <w:r w:rsidR="00E122EC">
        <w:rPr>
          <w:noProof/>
        </w:rPr>
        <w:t>increase</w:t>
      </w:r>
      <w:r w:rsidR="00F26E74">
        <w:rPr>
          <w:noProof/>
        </w:rPr>
        <w:t xml:space="preserve">. </w:t>
      </w:r>
    </w:p>
    <w:p w14:paraId="22CD68AF" w14:textId="1A704746" w:rsidR="00560776" w:rsidRPr="00D4396B" w:rsidRDefault="78B7F384" w:rsidP="003B0D3B">
      <w:pPr>
        <w:spacing w:after="120"/>
        <w:rPr>
          <w:noProof/>
        </w:rPr>
      </w:pPr>
      <w:r>
        <w:rPr>
          <w:noProof/>
        </w:rPr>
        <w:t xml:space="preserve">Clear rules on </w:t>
      </w:r>
      <w:r w:rsidR="6C8FC0B0">
        <w:rPr>
          <w:noProof/>
        </w:rPr>
        <w:t>L</w:t>
      </w:r>
      <w:r w:rsidR="124EBB2C">
        <w:rPr>
          <w:noProof/>
        </w:rPr>
        <w:t>M</w:t>
      </w:r>
      <w:r w:rsidR="6C8FC0B0">
        <w:rPr>
          <w:noProof/>
        </w:rPr>
        <w:t>s and Resident Contact points would also enhance overall coherence</w:t>
      </w:r>
      <w:r w:rsidR="51AF82B1">
        <w:rPr>
          <w:noProof/>
        </w:rPr>
        <w:t>.</w:t>
      </w:r>
      <w:r w:rsidR="0AAA7F62">
        <w:rPr>
          <w:noProof/>
        </w:rPr>
        <w:t xml:space="preserve"> </w:t>
      </w:r>
      <w:r w:rsidR="4016840E">
        <w:rPr>
          <w:noProof/>
        </w:rPr>
        <w:t>With the formal participation of L</w:t>
      </w:r>
      <w:r w:rsidR="2594D4AE">
        <w:rPr>
          <w:noProof/>
        </w:rPr>
        <w:t>Ps</w:t>
      </w:r>
      <w:r w:rsidR="4016840E">
        <w:rPr>
          <w:noProof/>
        </w:rPr>
        <w:t xml:space="preserve"> in the College (iv)</w:t>
      </w:r>
      <w:r w:rsidR="4DC4E60A">
        <w:rPr>
          <w:noProof/>
        </w:rPr>
        <w:t xml:space="preserve"> it would be ensured that </w:t>
      </w:r>
      <w:r w:rsidR="36C37C14">
        <w:rPr>
          <w:noProof/>
        </w:rPr>
        <w:t xml:space="preserve">discussions are grounded in </w:t>
      </w:r>
      <w:r w:rsidR="54AC4F7B">
        <w:rPr>
          <w:noProof/>
        </w:rPr>
        <w:t xml:space="preserve">up-to-date and </w:t>
      </w:r>
      <w:r w:rsidR="5FDA684C">
        <w:rPr>
          <w:noProof/>
        </w:rPr>
        <w:t>field-based intelligence</w:t>
      </w:r>
      <w:r w:rsidR="25541077">
        <w:rPr>
          <w:noProof/>
        </w:rPr>
        <w:t xml:space="preserve">, improving the Agency’s ability to anticipate and respond to evolving transnational </w:t>
      </w:r>
      <w:r w:rsidR="0C417D65">
        <w:rPr>
          <w:noProof/>
        </w:rPr>
        <w:t>trends</w:t>
      </w:r>
      <w:r w:rsidR="21BB0E5C">
        <w:rPr>
          <w:noProof/>
        </w:rPr>
        <w:t xml:space="preserve"> and would have a positive impact on </w:t>
      </w:r>
      <w:r w:rsidR="7E006CAD">
        <w:rPr>
          <w:noProof/>
        </w:rPr>
        <w:t xml:space="preserve">reaching </w:t>
      </w:r>
      <w:r w:rsidR="00B2155C">
        <w:rPr>
          <w:noProof/>
        </w:rPr>
        <w:t>S</w:t>
      </w:r>
      <w:r w:rsidR="367C3817">
        <w:rPr>
          <w:noProof/>
        </w:rPr>
        <w:t xml:space="preserve">pecific </w:t>
      </w:r>
      <w:r w:rsidR="00B2155C">
        <w:rPr>
          <w:noProof/>
        </w:rPr>
        <w:t>O</w:t>
      </w:r>
      <w:r w:rsidR="70CC7E9F">
        <w:rPr>
          <w:noProof/>
        </w:rPr>
        <w:t xml:space="preserve">bjective 2. </w:t>
      </w:r>
      <w:r w:rsidR="378DEE42">
        <w:rPr>
          <w:noProof/>
        </w:rPr>
        <w:t>Member States</w:t>
      </w:r>
      <w:r w:rsidR="709376F2">
        <w:rPr>
          <w:noProof/>
        </w:rPr>
        <w:t>’</w:t>
      </w:r>
      <w:r w:rsidR="378DEE42">
        <w:rPr>
          <w:noProof/>
        </w:rPr>
        <w:t xml:space="preserve"> </w:t>
      </w:r>
      <w:r w:rsidR="09BAA484">
        <w:rPr>
          <w:noProof/>
        </w:rPr>
        <w:t xml:space="preserve">interests would be safeguarded by the fact </w:t>
      </w:r>
      <w:r w:rsidR="487F1F59">
        <w:rPr>
          <w:noProof/>
        </w:rPr>
        <w:t xml:space="preserve">that </w:t>
      </w:r>
      <w:r w:rsidR="006234E0">
        <w:rPr>
          <w:noProof/>
        </w:rPr>
        <w:t>LP</w:t>
      </w:r>
      <w:r w:rsidR="4BACAFC1">
        <w:rPr>
          <w:noProof/>
        </w:rPr>
        <w:t>s</w:t>
      </w:r>
      <w:r w:rsidR="67DC52DA">
        <w:rPr>
          <w:noProof/>
        </w:rPr>
        <w:t xml:space="preserve"> </w:t>
      </w:r>
      <w:r w:rsidR="4D87D98D">
        <w:rPr>
          <w:noProof/>
        </w:rPr>
        <w:t xml:space="preserve">retain their national practitioner status. </w:t>
      </w:r>
    </w:p>
    <w:p w14:paraId="6C63193A" w14:textId="0C097D3C" w:rsidR="00D40590" w:rsidRPr="00D4396B" w:rsidRDefault="39B0F260" w:rsidP="003B0D3B">
      <w:pPr>
        <w:spacing w:after="120"/>
        <w:rPr>
          <w:noProof/>
        </w:rPr>
      </w:pPr>
      <w:r w:rsidRPr="00D4396B">
        <w:rPr>
          <w:noProof/>
        </w:rPr>
        <w:t>In terms of efficiency</w:t>
      </w:r>
      <w:r w:rsidR="4F4E84CF" w:rsidRPr="00D4396B">
        <w:rPr>
          <w:noProof/>
        </w:rPr>
        <w:t>, it would be ensured the resources are a</w:t>
      </w:r>
      <w:r w:rsidR="1BE2583D" w:rsidRPr="00D4396B">
        <w:rPr>
          <w:noProof/>
        </w:rPr>
        <w:t xml:space="preserve">llocated </w:t>
      </w:r>
      <w:r w:rsidR="69324CAB" w:rsidRPr="00D4396B">
        <w:rPr>
          <w:noProof/>
        </w:rPr>
        <w:t xml:space="preserve">better since </w:t>
      </w:r>
      <w:r w:rsidR="2AB75C87" w:rsidRPr="00D4396B">
        <w:rPr>
          <w:noProof/>
        </w:rPr>
        <w:t xml:space="preserve">the direct involvement </w:t>
      </w:r>
      <w:r w:rsidR="06D7B910" w:rsidRPr="00D4396B">
        <w:rPr>
          <w:noProof/>
        </w:rPr>
        <w:t xml:space="preserve">of the </w:t>
      </w:r>
      <w:r w:rsidR="006234E0" w:rsidRPr="00D4396B">
        <w:rPr>
          <w:noProof/>
        </w:rPr>
        <w:t>LP</w:t>
      </w:r>
      <w:r w:rsidR="74FD7D67" w:rsidRPr="00D4396B">
        <w:rPr>
          <w:noProof/>
        </w:rPr>
        <w:t>s</w:t>
      </w:r>
      <w:r w:rsidR="06D7B910" w:rsidRPr="00D4396B">
        <w:rPr>
          <w:noProof/>
        </w:rPr>
        <w:t xml:space="preserve"> </w:t>
      </w:r>
      <w:r w:rsidR="6AD07442" w:rsidRPr="00D4396B">
        <w:rPr>
          <w:noProof/>
        </w:rPr>
        <w:t xml:space="preserve">would reduce redundant </w:t>
      </w:r>
      <w:r w:rsidR="4B8D7BA5" w:rsidRPr="00D4396B">
        <w:rPr>
          <w:noProof/>
        </w:rPr>
        <w:t xml:space="preserve">consultations </w:t>
      </w:r>
      <w:r w:rsidR="02A56816" w:rsidRPr="00D4396B">
        <w:rPr>
          <w:noProof/>
        </w:rPr>
        <w:t xml:space="preserve">with third country </w:t>
      </w:r>
      <w:r w:rsidR="7641A265" w:rsidRPr="00D4396B">
        <w:rPr>
          <w:noProof/>
        </w:rPr>
        <w:t xml:space="preserve">authorities. </w:t>
      </w:r>
      <w:r w:rsidR="75400444" w:rsidRPr="00D4396B">
        <w:rPr>
          <w:noProof/>
        </w:rPr>
        <w:t xml:space="preserve">Moreover, since they are already </w:t>
      </w:r>
      <w:r w:rsidR="4E3F3E84" w:rsidRPr="00D4396B">
        <w:rPr>
          <w:noProof/>
        </w:rPr>
        <w:t xml:space="preserve">deployed, their formal integration into the College would require </w:t>
      </w:r>
      <w:r w:rsidR="2A6FE55E" w:rsidRPr="00D4396B">
        <w:rPr>
          <w:noProof/>
        </w:rPr>
        <w:t xml:space="preserve">only minor additional funding. </w:t>
      </w:r>
    </w:p>
    <w:p w14:paraId="2700DC17" w14:textId="7E38B5A5" w:rsidR="00A477F1" w:rsidRPr="00D4396B" w:rsidRDefault="00EC0359" w:rsidP="003B0D3B">
      <w:pPr>
        <w:spacing w:after="120"/>
        <w:rPr>
          <w:noProof/>
        </w:rPr>
      </w:pPr>
      <w:r w:rsidRPr="00D4396B">
        <w:rPr>
          <w:noProof/>
        </w:rPr>
        <w:t xml:space="preserve">Coherence with the existing framework would be </w:t>
      </w:r>
      <w:r w:rsidR="008837D8" w:rsidRPr="00D4396B">
        <w:rPr>
          <w:noProof/>
        </w:rPr>
        <w:t xml:space="preserve">ensured. </w:t>
      </w:r>
    </w:p>
    <w:p w14:paraId="7012D951" w14:textId="349571AF" w:rsidR="008837D8" w:rsidRPr="00D4396B" w:rsidRDefault="00F21953" w:rsidP="003B0D3B">
      <w:pPr>
        <w:spacing w:after="120"/>
        <w:rPr>
          <w:noProof/>
        </w:rPr>
      </w:pPr>
      <w:r w:rsidRPr="00D4396B">
        <w:rPr>
          <w:b/>
          <w:bCs/>
          <w:noProof/>
        </w:rPr>
        <w:t>F</w:t>
      </w:r>
      <w:r w:rsidR="00015BE9" w:rsidRPr="00D4396B">
        <w:rPr>
          <w:b/>
          <w:bCs/>
          <w:noProof/>
        </w:rPr>
        <w:t>.PO3</w:t>
      </w:r>
      <w:r w:rsidR="5C3231FD" w:rsidRPr="00D4396B">
        <w:rPr>
          <w:b/>
          <w:bCs/>
          <w:noProof/>
        </w:rPr>
        <w:t xml:space="preserve">: </w:t>
      </w:r>
      <w:r w:rsidR="08E4657F" w:rsidRPr="00D4396B">
        <w:rPr>
          <w:noProof/>
        </w:rPr>
        <w:t>The third policy option in that area</w:t>
      </w:r>
      <w:r w:rsidR="6C542DCA" w:rsidRPr="00D4396B">
        <w:rPr>
          <w:noProof/>
        </w:rPr>
        <w:t xml:space="preserve"> builds on the previous</w:t>
      </w:r>
      <w:r w:rsidR="56A51D9C" w:rsidRPr="00D4396B">
        <w:rPr>
          <w:noProof/>
        </w:rPr>
        <w:t xml:space="preserve"> by adding one additional measure: </w:t>
      </w:r>
      <w:r w:rsidR="70BBFCC1" w:rsidRPr="00D4396B">
        <w:rPr>
          <w:noProof/>
        </w:rPr>
        <w:t>e</w:t>
      </w:r>
      <w:r w:rsidR="124BA0C9" w:rsidRPr="00D4396B">
        <w:rPr>
          <w:noProof/>
        </w:rPr>
        <w:t xml:space="preserve">ntrusting Eurojust with an </w:t>
      </w:r>
      <w:r w:rsidR="6F836405" w:rsidRPr="00D4396B">
        <w:rPr>
          <w:noProof/>
        </w:rPr>
        <w:t>explicit capacity building mandate in external action</w:t>
      </w:r>
      <w:r w:rsidR="2E72D1CE" w:rsidRPr="00D4396B">
        <w:rPr>
          <w:noProof/>
        </w:rPr>
        <w:t xml:space="preserve"> (v). </w:t>
      </w:r>
      <w:r w:rsidR="2D49D322" w:rsidRPr="00D4396B">
        <w:rPr>
          <w:noProof/>
        </w:rPr>
        <w:t xml:space="preserve">This would further align with the </w:t>
      </w:r>
      <w:r w:rsidR="6C4E9C9F" w:rsidRPr="00D4396B">
        <w:rPr>
          <w:noProof/>
        </w:rPr>
        <w:t>specific objective</w:t>
      </w:r>
      <w:r w:rsidR="3507CFD0" w:rsidRPr="00D4396B">
        <w:rPr>
          <w:noProof/>
        </w:rPr>
        <w:t xml:space="preserve"> and </w:t>
      </w:r>
      <w:r w:rsidR="11DB541E" w:rsidRPr="00D4396B">
        <w:rPr>
          <w:noProof/>
        </w:rPr>
        <w:t xml:space="preserve">improve </w:t>
      </w:r>
      <w:r w:rsidR="2B97B541" w:rsidRPr="00D4396B">
        <w:rPr>
          <w:noProof/>
        </w:rPr>
        <w:t>third countries’ ability to align with EU standards</w:t>
      </w:r>
      <w:r w:rsidR="17584675" w:rsidRPr="00D4396B">
        <w:rPr>
          <w:noProof/>
        </w:rPr>
        <w:t xml:space="preserve"> and reaching </w:t>
      </w:r>
      <w:r w:rsidR="07320057" w:rsidRPr="00D4396B">
        <w:rPr>
          <w:noProof/>
        </w:rPr>
        <w:t xml:space="preserve">trust and operational compatibility. </w:t>
      </w:r>
      <w:r w:rsidR="7D16A84D" w:rsidRPr="00D4396B">
        <w:rPr>
          <w:noProof/>
        </w:rPr>
        <w:t xml:space="preserve">However, effectiveness in that regard would depend on third countries’ political will. </w:t>
      </w:r>
    </w:p>
    <w:p w14:paraId="394F99B4" w14:textId="0741AB0E" w:rsidR="00B538A4" w:rsidRPr="00D4396B" w:rsidRDefault="352C5500" w:rsidP="003B0D3B">
      <w:pPr>
        <w:spacing w:after="120"/>
        <w:rPr>
          <w:noProof/>
        </w:rPr>
      </w:pPr>
      <w:r w:rsidRPr="00D4396B">
        <w:rPr>
          <w:noProof/>
        </w:rPr>
        <w:t xml:space="preserve">Funding would be streamlined </w:t>
      </w:r>
      <w:r w:rsidR="16F9CB05" w:rsidRPr="00D4396B">
        <w:rPr>
          <w:noProof/>
        </w:rPr>
        <w:t>(e.g., form ICPA-FPI, DG INTPA) under Eur</w:t>
      </w:r>
      <w:r w:rsidR="5680A817" w:rsidRPr="00D4396B">
        <w:rPr>
          <w:noProof/>
        </w:rPr>
        <w:t>ojust’s budget</w:t>
      </w:r>
      <w:r w:rsidR="1D5D6BCA" w:rsidRPr="00D4396B">
        <w:rPr>
          <w:noProof/>
        </w:rPr>
        <w:t xml:space="preserve"> and reduce administrative fragmentation</w:t>
      </w:r>
      <w:r w:rsidR="291B0315" w:rsidRPr="00D4396B">
        <w:rPr>
          <w:noProof/>
        </w:rPr>
        <w:t xml:space="preserve"> or duplication. </w:t>
      </w:r>
      <w:r w:rsidR="53BAAD27" w:rsidRPr="00D4396B">
        <w:rPr>
          <w:noProof/>
        </w:rPr>
        <w:t>On the cost side additional</w:t>
      </w:r>
      <w:r w:rsidR="3615C474" w:rsidRPr="00D4396B">
        <w:rPr>
          <w:noProof/>
        </w:rPr>
        <w:t xml:space="preserve"> staff</w:t>
      </w:r>
      <w:r w:rsidR="53BAAD27" w:rsidRPr="00D4396B">
        <w:rPr>
          <w:noProof/>
        </w:rPr>
        <w:t xml:space="preserve"> </w:t>
      </w:r>
      <w:r w:rsidR="3615C474" w:rsidRPr="00D4396B">
        <w:rPr>
          <w:noProof/>
        </w:rPr>
        <w:t>(</w:t>
      </w:r>
      <w:r w:rsidR="67F0AC32" w:rsidRPr="00D4396B">
        <w:rPr>
          <w:noProof/>
        </w:rPr>
        <w:t>FTEs</w:t>
      </w:r>
      <w:r w:rsidR="3615C474" w:rsidRPr="00D4396B">
        <w:rPr>
          <w:noProof/>
        </w:rPr>
        <w:t>)</w:t>
      </w:r>
      <w:r w:rsidR="67F0AC32" w:rsidRPr="00D4396B">
        <w:rPr>
          <w:noProof/>
        </w:rPr>
        <w:t xml:space="preserve"> would be needed</w:t>
      </w:r>
      <w:r w:rsidR="0C4146AD" w:rsidRPr="00D4396B">
        <w:rPr>
          <w:noProof/>
        </w:rPr>
        <w:t xml:space="preserve"> and there is a risk of overstretching</w:t>
      </w:r>
      <w:r w:rsidR="24E47395" w:rsidRPr="00D4396B">
        <w:rPr>
          <w:noProof/>
        </w:rPr>
        <w:t xml:space="preserve">, diverting resource from </w:t>
      </w:r>
      <w:r w:rsidR="72A3F703" w:rsidRPr="00D4396B">
        <w:rPr>
          <w:noProof/>
        </w:rPr>
        <w:t>Eur</w:t>
      </w:r>
      <w:r w:rsidR="41F78EF2" w:rsidRPr="00D4396B">
        <w:rPr>
          <w:noProof/>
        </w:rPr>
        <w:t>o</w:t>
      </w:r>
      <w:r w:rsidR="72A3F703" w:rsidRPr="00D4396B">
        <w:rPr>
          <w:noProof/>
        </w:rPr>
        <w:t xml:space="preserve">just’s operational work. </w:t>
      </w:r>
    </w:p>
    <w:p w14:paraId="3597D6E1" w14:textId="66C9D74F" w:rsidR="000C3545" w:rsidRDefault="63A7839C" w:rsidP="003B0D3B">
      <w:pPr>
        <w:spacing w:after="120"/>
        <w:rPr>
          <w:noProof/>
        </w:rPr>
      </w:pPr>
      <w:r w:rsidRPr="00D4396B">
        <w:rPr>
          <w:noProof/>
        </w:rPr>
        <w:t>This policy option</w:t>
      </w:r>
      <w:r w:rsidR="72A3F703" w:rsidRPr="00D4396B">
        <w:rPr>
          <w:noProof/>
        </w:rPr>
        <w:t xml:space="preserve"> would be coherent with EU </w:t>
      </w:r>
      <w:r w:rsidR="00385308" w:rsidRPr="00D4396B">
        <w:rPr>
          <w:noProof/>
        </w:rPr>
        <w:t>p</w:t>
      </w:r>
      <w:r w:rsidR="72A3F703" w:rsidRPr="00D4396B">
        <w:rPr>
          <w:noProof/>
        </w:rPr>
        <w:t>olicies</w:t>
      </w:r>
      <w:r w:rsidR="14EAC685" w:rsidRPr="00D4396B">
        <w:rPr>
          <w:noProof/>
        </w:rPr>
        <w:t xml:space="preserve">. </w:t>
      </w:r>
      <w:r w:rsidR="046081D3" w:rsidRPr="00D4396B">
        <w:rPr>
          <w:noProof/>
        </w:rPr>
        <w:t>As the policy option of highest intensity</w:t>
      </w:r>
      <w:r w:rsidR="3528F14D" w:rsidRPr="00D4396B">
        <w:rPr>
          <w:noProof/>
        </w:rPr>
        <w:t xml:space="preserve">, particular </w:t>
      </w:r>
      <w:r w:rsidR="79C68233" w:rsidRPr="00D4396B">
        <w:rPr>
          <w:noProof/>
        </w:rPr>
        <w:t xml:space="preserve">legal clarity </w:t>
      </w:r>
      <w:r w:rsidR="6CBEAC95" w:rsidRPr="00D4396B">
        <w:rPr>
          <w:noProof/>
        </w:rPr>
        <w:t>in the EJR amendment would be needed to avoid conflicts with other EU actors.</w:t>
      </w:r>
    </w:p>
    <w:p w14:paraId="633B1D29" w14:textId="281112AD" w:rsidR="7D677002" w:rsidRPr="00C23564" w:rsidRDefault="7D677002" w:rsidP="300D80D8">
      <w:pPr>
        <w:spacing w:after="120"/>
        <w:rPr>
          <w:noProof/>
          <w:u w:val="single"/>
        </w:rPr>
      </w:pPr>
      <w:r w:rsidRPr="00C23564">
        <w:rPr>
          <w:noProof/>
          <w:u w:val="single"/>
        </w:rPr>
        <w:t xml:space="preserve">Table </w:t>
      </w:r>
      <w:r w:rsidR="001C2582">
        <w:rPr>
          <w:noProof/>
          <w:u w:val="single"/>
        </w:rPr>
        <w:t>10</w:t>
      </w:r>
      <w:r w:rsidRPr="00C23564">
        <w:rPr>
          <w:noProof/>
          <w:u w:val="single"/>
        </w:rPr>
        <w:t>:</w:t>
      </w:r>
      <w:r w:rsidR="00E324A3" w:rsidRPr="00C23564">
        <w:rPr>
          <w:noProof/>
          <w:u w:val="single"/>
        </w:rPr>
        <w:t xml:space="preserve"> </w:t>
      </w:r>
      <w:r w:rsidR="001C2582" w:rsidRPr="002140B7">
        <w:rPr>
          <w:rFonts w:eastAsia="Times New Roman"/>
          <w:noProof/>
          <w:u w:val="single"/>
        </w:rPr>
        <w:t xml:space="preserve">Impacts of policy option </w:t>
      </w:r>
      <w:r w:rsidR="001C2582">
        <w:rPr>
          <w:rFonts w:eastAsia="Times New Roman"/>
          <w:noProof/>
          <w:u w:val="single"/>
        </w:rPr>
        <w:t>in</w:t>
      </w:r>
      <w:r w:rsidR="001C2582" w:rsidRPr="002140B7">
        <w:rPr>
          <w:rFonts w:eastAsia="Times New Roman"/>
          <w:noProof/>
          <w:u w:val="single"/>
        </w:rPr>
        <w:t xml:space="preserve"> intervention area </w:t>
      </w:r>
      <w:r w:rsidR="001C2582">
        <w:rPr>
          <w:rFonts w:eastAsia="Times New Roman"/>
          <w:noProof/>
          <w:u w:val="single"/>
        </w:rPr>
        <w:t>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48"/>
        <w:gridCol w:w="389"/>
        <w:gridCol w:w="385"/>
        <w:gridCol w:w="1062"/>
        <w:gridCol w:w="773"/>
        <w:gridCol w:w="591"/>
        <w:gridCol w:w="635"/>
        <w:gridCol w:w="773"/>
        <w:gridCol w:w="1242"/>
      </w:tblGrid>
      <w:tr w:rsidR="005E2015" w:rsidRPr="00D4396B" w14:paraId="43C3C65E" w14:textId="77777777" w:rsidTr="00C23564">
        <w:trPr>
          <w:trHeight w:val="681"/>
        </w:trPr>
        <w:tc>
          <w:tcPr>
            <w:tcW w:w="1599" w:type="pct"/>
            <w:tcBorders>
              <w:top w:val="single" w:sz="8" w:space="0" w:color="auto"/>
              <w:left w:val="single" w:sz="8" w:space="0" w:color="auto"/>
              <w:bottom w:val="nil"/>
              <w:right w:val="single" w:sz="8" w:space="0" w:color="auto"/>
            </w:tcBorders>
            <w:shd w:val="clear" w:color="000000" w:fill="FFFAEB"/>
            <w:vAlign w:val="center"/>
            <w:hideMark/>
          </w:tcPr>
          <w:p w14:paraId="1B1877A4" w14:textId="743C9ED9" w:rsidR="002277DD" w:rsidRPr="00E028A0" w:rsidRDefault="00F21953" w:rsidP="002277DD">
            <w:pPr>
              <w:spacing w:after="0"/>
              <w:jc w:val="left"/>
              <w:rPr>
                <w:rFonts w:eastAsia="Times New Roman"/>
                <w:b/>
                <w:bCs/>
                <w:noProof/>
                <w:sz w:val="14"/>
                <w:szCs w:val="14"/>
                <w:lang w:eastAsia="de-DE"/>
              </w:rPr>
            </w:pPr>
            <w:r w:rsidRPr="00D4396B">
              <w:rPr>
                <w:rFonts w:eastAsia="Times New Roman"/>
                <w:b/>
                <w:bCs/>
                <w:noProof/>
                <w:sz w:val="14"/>
                <w:szCs w:val="14"/>
                <w:lang w:eastAsia="de-DE"/>
              </w:rPr>
              <w:t>F</w:t>
            </w:r>
            <w:r w:rsidR="002277DD" w:rsidRPr="00E028A0">
              <w:rPr>
                <w:rFonts w:eastAsia="Times New Roman"/>
                <w:b/>
                <w:bCs/>
                <w:noProof/>
                <w:sz w:val="14"/>
                <w:szCs w:val="14"/>
                <w:lang w:eastAsia="de-DE"/>
              </w:rPr>
              <w:t>. Consolidating cooperation with third countries and international organisations </w:t>
            </w:r>
          </w:p>
        </w:tc>
        <w:tc>
          <w:tcPr>
            <w:tcW w:w="1063" w:type="pct"/>
            <w:gridSpan w:val="3"/>
            <w:tcBorders>
              <w:top w:val="single" w:sz="8" w:space="0" w:color="auto"/>
              <w:left w:val="single" w:sz="8" w:space="0" w:color="auto"/>
              <w:bottom w:val="single" w:sz="8" w:space="0" w:color="auto"/>
              <w:right w:val="single" w:sz="8" w:space="0" w:color="auto"/>
            </w:tcBorders>
            <w:noWrap/>
            <w:vAlign w:val="center"/>
            <w:hideMark/>
          </w:tcPr>
          <w:p w14:paraId="14B2A160" w14:textId="77777777" w:rsidR="002277DD" w:rsidRPr="00D4396B" w:rsidRDefault="002277DD" w:rsidP="002277DD">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Effectiveness</w:t>
            </w:r>
          </w:p>
        </w:tc>
        <w:tc>
          <w:tcPr>
            <w:tcW w:w="450" w:type="pct"/>
            <w:tcBorders>
              <w:top w:val="single" w:sz="8" w:space="0" w:color="auto"/>
              <w:left w:val="single" w:sz="8" w:space="0" w:color="auto"/>
              <w:bottom w:val="single" w:sz="8" w:space="0" w:color="auto"/>
              <w:right w:val="single" w:sz="8" w:space="0" w:color="auto"/>
            </w:tcBorders>
            <w:noWrap/>
            <w:vAlign w:val="center"/>
            <w:hideMark/>
          </w:tcPr>
          <w:p w14:paraId="23E5AEB4" w14:textId="77777777" w:rsidR="002277DD" w:rsidRPr="00D4396B" w:rsidRDefault="002277DD" w:rsidP="002277DD">
            <w:pPr>
              <w:spacing w:after="0"/>
              <w:jc w:val="left"/>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Efficiency</w:t>
            </w:r>
          </w:p>
        </w:tc>
        <w:tc>
          <w:tcPr>
            <w:tcW w:w="1164" w:type="pct"/>
            <w:gridSpan w:val="3"/>
            <w:tcBorders>
              <w:top w:val="single" w:sz="8" w:space="0" w:color="auto"/>
              <w:left w:val="single" w:sz="8" w:space="0" w:color="auto"/>
              <w:bottom w:val="single" w:sz="8" w:space="0" w:color="auto"/>
              <w:right w:val="single" w:sz="8" w:space="0" w:color="auto"/>
            </w:tcBorders>
            <w:noWrap/>
            <w:vAlign w:val="center"/>
            <w:hideMark/>
          </w:tcPr>
          <w:p w14:paraId="3D6BE62A" w14:textId="77777777" w:rsidR="002277DD" w:rsidRPr="00D4396B" w:rsidRDefault="002277DD" w:rsidP="002277DD">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Coherence</w:t>
            </w:r>
          </w:p>
        </w:tc>
        <w:tc>
          <w:tcPr>
            <w:tcW w:w="723" w:type="pct"/>
            <w:tcBorders>
              <w:top w:val="single" w:sz="8" w:space="0" w:color="auto"/>
              <w:left w:val="single" w:sz="8" w:space="0" w:color="auto"/>
              <w:bottom w:val="single" w:sz="8" w:space="0" w:color="auto"/>
              <w:right w:val="single" w:sz="8" w:space="0" w:color="auto"/>
            </w:tcBorders>
            <w:vAlign w:val="center"/>
            <w:hideMark/>
          </w:tcPr>
          <w:p w14:paraId="6F69AAA1" w14:textId="77777777" w:rsidR="002277DD" w:rsidRPr="00D4396B" w:rsidRDefault="002277DD" w:rsidP="002277DD">
            <w:pPr>
              <w:spacing w:after="0"/>
              <w:jc w:val="center"/>
              <w:rPr>
                <w:rFonts w:eastAsia="Times New Roman"/>
                <w:b/>
                <w:bCs/>
                <w:noProof/>
                <w:color w:val="000000"/>
                <w:sz w:val="14"/>
                <w:szCs w:val="14"/>
                <w:lang w:val="de-DE" w:eastAsia="de-DE"/>
              </w:rPr>
            </w:pPr>
            <w:r w:rsidRPr="00D4396B">
              <w:rPr>
                <w:rFonts w:eastAsia="Times New Roman"/>
                <w:b/>
                <w:bCs/>
                <w:noProof/>
                <w:color w:val="000000"/>
                <w:sz w:val="14"/>
                <w:szCs w:val="14"/>
                <w:lang w:val="de-DE" w:eastAsia="de-DE"/>
              </w:rPr>
              <w:t>Total criteria score</w:t>
            </w:r>
            <w:r w:rsidRPr="00D4396B">
              <w:rPr>
                <w:rFonts w:eastAsia="Times New Roman"/>
                <w:b/>
                <w:bCs/>
                <w:noProof/>
                <w:color w:val="000000"/>
                <w:sz w:val="14"/>
                <w:szCs w:val="14"/>
                <w:lang w:val="de-DE" w:eastAsia="de-DE"/>
              </w:rPr>
              <w:br/>
              <w:t>Sensitivity 2</w:t>
            </w:r>
          </w:p>
        </w:tc>
      </w:tr>
      <w:tr w:rsidR="002277DD" w:rsidRPr="00D4396B" w14:paraId="756068BD" w14:textId="77777777" w:rsidTr="00C23564">
        <w:trPr>
          <w:trHeight w:val="988"/>
        </w:trPr>
        <w:tc>
          <w:tcPr>
            <w:tcW w:w="1599" w:type="pct"/>
            <w:tcBorders>
              <w:top w:val="nil"/>
              <w:left w:val="single" w:sz="8" w:space="0" w:color="auto"/>
              <w:bottom w:val="single" w:sz="8" w:space="0" w:color="auto"/>
              <w:right w:val="single" w:sz="8" w:space="0" w:color="auto"/>
            </w:tcBorders>
            <w:shd w:val="clear" w:color="000000" w:fill="FFFAEB"/>
            <w:vAlign w:val="center"/>
            <w:hideMark/>
          </w:tcPr>
          <w:p w14:paraId="489DE2EF" w14:textId="77777777" w:rsidR="002277DD" w:rsidRPr="00D4396B" w:rsidRDefault="002277DD" w:rsidP="002277DD">
            <w:pPr>
              <w:spacing w:after="0"/>
              <w:rPr>
                <w:rFonts w:eastAsia="Times New Roman"/>
                <w:i/>
                <w:iCs/>
                <w:noProof/>
                <w:sz w:val="14"/>
                <w:szCs w:val="14"/>
                <w:lang w:val="en-US" w:eastAsia="de-DE"/>
              </w:rPr>
            </w:pPr>
            <w:r w:rsidRPr="00D4396B">
              <w:rPr>
                <w:rFonts w:eastAsia="Times New Roman"/>
                <w:i/>
                <w:iCs/>
                <w:noProof/>
                <w:sz w:val="14"/>
                <w:szCs w:val="14"/>
                <w:lang w:val="en-US" w:eastAsia="de-DE"/>
              </w:rPr>
              <w:t>Addressing problem driver(s): </w:t>
            </w:r>
            <w:r w:rsidRPr="00D4396B">
              <w:rPr>
                <w:rFonts w:eastAsia="Times New Roman"/>
                <w:i/>
                <w:iCs/>
                <w:noProof/>
                <w:sz w:val="14"/>
                <w:szCs w:val="14"/>
                <w:lang w:val="en-US" w:eastAsia="de-DE"/>
              </w:rPr>
              <w:br/>
              <w:t>#10 Cumbersome process for establishing relations with international actors </w:t>
            </w:r>
          </w:p>
        </w:tc>
        <w:tc>
          <w:tcPr>
            <w:tcW w:w="224" w:type="pct"/>
            <w:tcBorders>
              <w:top w:val="single" w:sz="8" w:space="0" w:color="auto"/>
              <w:left w:val="single" w:sz="8" w:space="0" w:color="auto"/>
              <w:bottom w:val="single" w:sz="8" w:space="0" w:color="auto"/>
              <w:right w:val="single" w:sz="8" w:space="0" w:color="auto"/>
            </w:tcBorders>
            <w:noWrap/>
            <w:vAlign w:val="center"/>
            <w:hideMark/>
          </w:tcPr>
          <w:p w14:paraId="6C17BC0B"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SO2</w:t>
            </w:r>
          </w:p>
        </w:tc>
        <w:tc>
          <w:tcPr>
            <w:tcW w:w="221" w:type="pct"/>
            <w:tcBorders>
              <w:top w:val="single" w:sz="8" w:space="0" w:color="auto"/>
              <w:left w:val="single" w:sz="8" w:space="0" w:color="auto"/>
              <w:bottom w:val="single" w:sz="8" w:space="0" w:color="auto"/>
              <w:right w:val="single" w:sz="8" w:space="0" w:color="auto"/>
            </w:tcBorders>
            <w:noWrap/>
            <w:vAlign w:val="center"/>
            <w:hideMark/>
          </w:tcPr>
          <w:p w14:paraId="6595EE4D"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GO</w:t>
            </w:r>
          </w:p>
        </w:tc>
        <w:tc>
          <w:tcPr>
            <w:tcW w:w="618" w:type="pct"/>
            <w:tcBorders>
              <w:top w:val="single" w:sz="8" w:space="0" w:color="auto"/>
              <w:left w:val="single" w:sz="8" w:space="0" w:color="auto"/>
              <w:bottom w:val="single" w:sz="8" w:space="0" w:color="auto"/>
              <w:right w:val="single" w:sz="8" w:space="0" w:color="auto"/>
            </w:tcBorders>
            <w:vAlign w:val="center"/>
            <w:hideMark/>
          </w:tcPr>
          <w:p w14:paraId="43E3E700" w14:textId="77777777" w:rsidR="002277DD" w:rsidRPr="00D4396B" w:rsidRDefault="002277DD" w:rsidP="002277DD">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Effectiveness score </w:t>
            </w:r>
            <w:r w:rsidRPr="00D4396B">
              <w:rPr>
                <w:rFonts w:eastAsia="Times New Roman"/>
                <w:noProof/>
                <w:color w:val="000000"/>
                <w:sz w:val="14"/>
                <w:szCs w:val="14"/>
                <w:lang w:val="en-US" w:eastAsia="de-DE"/>
              </w:rPr>
              <w:br/>
              <w:t>= average SO2+GO</w:t>
            </w:r>
          </w:p>
        </w:tc>
        <w:tc>
          <w:tcPr>
            <w:tcW w:w="450" w:type="pct"/>
            <w:tcBorders>
              <w:top w:val="single" w:sz="8" w:space="0" w:color="auto"/>
              <w:left w:val="single" w:sz="8" w:space="0" w:color="auto"/>
              <w:bottom w:val="single" w:sz="8" w:space="0" w:color="auto"/>
              <w:right w:val="single" w:sz="8" w:space="0" w:color="auto"/>
            </w:tcBorders>
            <w:noWrap/>
            <w:vAlign w:val="center"/>
            <w:hideMark/>
          </w:tcPr>
          <w:p w14:paraId="1921BB7A" w14:textId="77777777" w:rsidR="002277DD" w:rsidRPr="00D4396B" w:rsidRDefault="002277DD" w:rsidP="002277DD">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w:t>
            </w:r>
          </w:p>
        </w:tc>
        <w:tc>
          <w:tcPr>
            <w:tcW w:w="344" w:type="pct"/>
            <w:tcBorders>
              <w:top w:val="single" w:sz="8" w:space="0" w:color="auto"/>
              <w:left w:val="single" w:sz="8" w:space="0" w:color="auto"/>
              <w:bottom w:val="single" w:sz="8" w:space="0" w:color="auto"/>
              <w:right w:val="single" w:sz="8" w:space="0" w:color="auto"/>
            </w:tcBorders>
            <w:noWrap/>
            <w:vAlign w:val="center"/>
            <w:hideMark/>
          </w:tcPr>
          <w:p w14:paraId="3E21EDF2"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Internal</w:t>
            </w:r>
          </w:p>
        </w:tc>
        <w:tc>
          <w:tcPr>
            <w:tcW w:w="370" w:type="pct"/>
            <w:tcBorders>
              <w:top w:val="single" w:sz="8" w:space="0" w:color="auto"/>
              <w:left w:val="single" w:sz="8" w:space="0" w:color="auto"/>
              <w:bottom w:val="single" w:sz="8" w:space="0" w:color="auto"/>
              <w:right w:val="single" w:sz="8" w:space="0" w:color="auto"/>
            </w:tcBorders>
            <w:noWrap/>
            <w:vAlign w:val="center"/>
            <w:hideMark/>
          </w:tcPr>
          <w:p w14:paraId="36B2205A"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External</w:t>
            </w:r>
          </w:p>
        </w:tc>
        <w:tc>
          <w:tcPr>
            <w:tcW w:w="450" w:type="pct"/>
            <w:tcBorders>
              <w:top w:val="single" w:sz="8" w:space="0" w:color="auto"/>
              <w:left w:val="single" w:sz="8" w:space="0" w:color="auto"/>
              <w:bottom w:val="single" w:sz="8" w:space="0" w:color="auto"/>
              <w:right w:val="single" w:sz="8" w:space="0" w:color="auto"/>
            </w:tcBorders>
            <w:vAlign w:val="center"/>
            <w:hideMark/>
          </w:tcPr>
          <w:p w14:paraId="6A8FE274" w14:textId="77777777" w:rsidR="002277DD" w:rsidRPr="00D4396B" w:rsidRDefault="002277DD" w:rsidP="002277DD">
            <w:pPr>
              <w:spacing w:after="0"/>
              <w:jc w:val="center"/>
              <w:rPr>
                <w:rFonts w:eastAsia="Times New Roman"/>
                <w:noProof/>
                <w:color w:val="000000"/>
                <w:sz w:val="14"/>
                <w:szCs w:val="14"/>
                <w:lang w:val="en-US" w:eastAsia="de-DE"/>
              </w:rPr>
            </w:pPr>
            <w:r w:rsidRPr="00D4396B">
              <w:rPr>
                <w:rFonts w:eastAsia="Times New Roman"/>
                <w:noProof/>
                <w:color w:val="000000"/>
                <w:sz w:val="14"/>
                <w:szCs w:val="14"/>
                <w:lang w:val="en-US" w:eastAsia="de-DE"/>
              </w:rPr>
              <w:t xml:space="preserve">Coherence score </w:t>
            </w:r>
            <w:r w:rsidRPr="00D4396B">
              <w:rPr>
                <w:rFonts w:eastAsia="Times New Roman"/>
                <w:noProof/>
                <w:color w:val="000000"/>
                <w:sz w:val="14"/>
                <w:szCs w:val="14"/>
                <w:lang w:val="en-US" w:eastAsia="de-DE"/>
              </w:rPr>
              <w:br/>
              <w:t>= average Internal+ External</w:t>
            </w:r>
          </w:p>
        </w:tc>
        <w:tc>
          <w:tcPr>
            <w:tcW w:w="723" w:type="pct"/>
            <w:tcBorders>
              <w:top w:val="single" w:sz="8" w:space="0" w:color="auto"/>
              <w:left w:val="single" w:sz="8" w:space="0" w:color="auto"/>
              <w:bottom w:val="single" w:sz="8" w:space="0" w:color="auto"/>
              <w:right w:val="single" w:sz="8" w:space="0" w:color="auto"/>
            </w:tcBorders>
            <w:vAlign w:val="center"/>
            <w:hideMark/>
          </w:tcPr>
          <w:p w14:paraId="2CEF5A1A"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Effectiveness = 0.5</w:t>
            </w:r>
            <w:r w:rsidRPr="00D4396B">
              <w:rPr>
                <w:rFonts w:eastAsia="Times New Roman"/>
                <w:noProof/>
                <w:color w:val="000000"/>
                <w:sz w:val="14"/>
                <w:szCs w:val="14"/>
                <w:lang w:val="de-DE" w:eastAsia="de-DE"/>
              </w:rPr>
              <w:br/>
              <w:t>Efficiency = 0.3</w:t>
            </w:r>
            <w:r w:rsidRPr="00D4396B">
              <w:rPr>
                <w:rFonts w:eastAsia="Times New Roman"/>
                <w:noProof/>
                <w:color w:val="000000"/>
                <w:sz w:val="14"/>
                <w:szCs w:val="14"/>
                <w:lang w:val="de-DE" w:eastAsia="de-DE"/>
              </w:rPr>
              <w:br/>
              <w:t>Coherence = 0.2</w:t>
            </w:r>
          </w:p>
        </w:tc>
      </w:tr>
      <w:tr w:rsidR="002277DD" w:rsidRPr="00D4396B" w14:paraId="0A346A15" w14:textId="77777777" w:rsidTr="00C23564">
        <w:trPr>
          <w:trHeight w:val="278"/>
        </w:trPr>
        <w:tc>
          <w:tcPr>
            <w:tcW w:w="1599" w:type="pct"/>
            <w:tcBorders>
              <w:top w:val="single" w:sz="8" w:space="0" w:color="auto"/>
              <w:left w:val="single" w:sz="8" w:space="0" w:color="auto"/>
              <w:bottom w:val="single" w:sz="8" w:space="0" w:color="auto"/>
              <w:right w:val="single" w:sz="8" w:space="0" w:color="auto"/>
            </w:tcBorders>
            <w:noWrap/>
            <w:vAlign w:val="bottom"/>
            <w:hideMark/>
          </w:tcPr>
          <w:p w14:paraId="0E9F1DF0" w14:textId="54A6E4AA" w:rsidR="002277DD" w:rsidRPr="00D4396B" w:rsidRDefault="00F21953" w:rsidP="002277DD">
            <w:pPr>
              <w:spacing w:after="0"/>
              <w:jc w:val="left"/>
              <w:rPr>
                <w:rFonts w:eastAsia="Times New Roman"/>
                <w:noProof/>
                <w:color w:val="000000"/>
                <w:sz w:val="14"/>
                <w:szCs w:val="14"/>
                <w:lang w:val="de-DE" w:eastAsia="de-DE"/>
              </w:rPr>
            </w:pPr>
            <w:r w:rsidRPr="00D4396B">
              <w:rPr>
                <w:rFonts w:eastAsia="Times New Roman"/>
                <w:noProof/>
                <w:color w:val="000000"/>
                <w:sz w:val="14"/>
                <w:szCs w:val="14"/>
                <w:lang w:val="de-DE" w:eastAsia="de-DE"/>
              </w:rPr>
              <w:t>F</w:t>
            </w:r>
            <w:r w:rsidR="00015BE9" w:rsidRPr="00D4396B">
              <w:rPr>
                <w:rFonts w:eastAsia="Times New Roman"/>
                <w:noProof/>
                <w:color w:val="000000"/>
                <w:sz w:val="14"/>
                <w:szCs w:val="14"/>
                <w:lang w:val="de-DE" w:eastAsia="de-DE"/>
              </w:rPr>
              <w:t>.PO1</w:t>
            </w:r>
            <w:r w:rsidR="002277DD" w:rsidRPr="00D4396B">
              <w:rPr>
                <w:rFonts w:eastAsia="Times New Roman"/>
                <w:noProof/>
                <w:color w:val="000000"/>
                <w:sz w:val="14"/>
                <w:szCs w:val="14"/>
                <w:lang w:val="de-DE" w:eastAsia="de-DE"/>
              </w:rPr>
              <w:t>(i)</w:t>
            </w:r>
          </w:p>
        </w:tc>
        <w:tc>
          <w:tcPr>
            <w:tcW w:w="224" w:type="pct"/>
            <w:tcBorders>
              <w:top w:val="single" w:sz="8" w:space="0" w:color="auto"/>
              <w:left w:val="single" w:sz="8" w:space="0" w:color="auto"/>
              <w:bottom w:val="single" w:sz="8" w:space="0" w:color="auto"/>
              <w:right w:val="single" w:sz="8" w:space="0" w:color="auto"/>
            </w:tcBorders>
            <w:noWrap/>
            <w:vAlign w:val="center"/>
            <w:hideMark/>
          </w:tcPr>
          <w:p w14:paraId="094C3CA9"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221" w:type="pct"/>
            <w:tcBorders>
              <w:top w:val="single" w:sz="8" w:space="0" w:color="auto"/>
              <w:left w:val="single" w:sz="8" w:space="0" w:color="auto"/>
              <w:bottom w:val="single" w:sz="8" w:space="0" w:color="auto"/>
              <w:right w:val="single" w:sz="8" w:space="0" w:color="auto"/>
            </w:tcBorders>
            <w:noWrap/>
            <w:vAlign w:val="center"/>
            <w:hideMark/>
          </w:tcPr>
          <w:p w14:paraId="4CBFC2E9"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618" w:type="pct"/>
            <w:tcBorders>
              <w:top w:val="single" w:sz="8" w:space="0" w:color="auto"/>
              <w:left w:val="single" w:sz="8" w:space="0" w:color="auto"/>
              <w:bottom w:val="single" w:sz="8" w:space="0" w:color="auto"/>
              <w:right w:val="single" w:sz="8" w:space="0" w:color="auto"/>
            </w:tcBorders>
            <w:noWrap/>
            <w:vAlign w:val="center"/>
            <w:hideMark/>
          </w:tcPr>
          <w:p w14:paraId="73A5423A"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450" w:type="pct"/>
            <w:tcBorders>
              <w:top w:val="single" w:sz="8" w:space="0" w:color="auto"/>
              <w:left w:val="single" w:sz="8" w:space="0" w:color="auto"/>
              <w:bottom w:val="single" w:sz="8" w:space="0" w:color="auto"/>
              <w:right w:val="single" w:sz="8" w:space="0" w:color="auto"/>
            </w:tcBorders>
            <w:noWrap/>
            <w:vAlign w:val="center"/>
            <w:hideMark/>
          </w:tcPr>
          <w:p w14:paraId="25EAA641"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344" w:type="pct"/>
            <w:tcBorders>
              <w:top w:val="single" w:sz="8" w:space="0" w:color="auto"/>
              <w:left w:val="single" w:sz="8" w:space="0" w:color="auto"/>
              <w:bottom w:val="single" w:sz="8" w:space="0" w:color="auto"/>
              <w:right w:val="single" w:sz="8" w:space="0" w:color="auto"/>
            </w:tcBorders>
            <w:noWrap/>
            <w:vAlign w:val="center"/>
            <w:hideMark/>
          </w:tcPr>
          <w:p w14:paraId="35F8D6C4"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0.00</w:t>
            </w:r>
          </w:p>
        </w:tc>
        <w:tc>
          <w:tcPr>
            <w:tcW w:w="370" w:type="pct"/>
            <w:tcBorders>
              <w:top w:val="single" w:sz="8" w:space="0" w:color="auto"/>
              <w:left w:val="single" w:sz="8" w:space="0" w:color="auto"/>
              <w:bottom w:val="single" w:sz="8" w:space="0" w:color="auto"/>
              <w:right w:val="single" w:sz="8" w:space="0" w:color="auto"/>
            </w:tcBorders>
            <w:noWrap/>
            <w:vAlign w:val="center"/>
            <w:hideMark/>
          </w:tcPr>
          <w:p w14:paraId="2653FE2A"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1.00</w:t>
            </w:r>
          </w:p>
        </w:tc>
        <w:tc>
          <w:tcPr>
            <w:tcW w:w="450" w:type="pct"/>
            <w:tcBorders>
              <w:top w:val="single" w:sz="8" w:space="0" w:color="auto"/>
              <w:left w:val="single" w:sz="8" w:space="0" w:color="auto"/>
              <w:bottom w:val="single" w:sz="8" w:space="0" w:color="auto"/>
              <w:right w:val="single" w:sz="8" w:space="0" w:color="auto"/>
            </w:tcBorders>
            <w:noWrap/>
            <w:vAlign w:val="center"/>
            <w:hideMark/>
          </w:tcPr>
          <w:p w14:paraId="7F4A4661"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c>
          <w:tcPr>
            <w:tcW w:w="723" w:type="pct"/>
            <w:tcBorders>
              <w:top w:val="single" w:sz="8" w:space="0" w:color="auto"/>
              <w:left w:val="single" w:sz="8" w:space="0" w:color="auto"/>
              <w:bottom w:val="single" w:sz="8" w:space="0" w:color="auto"/>
              <w:right w:val="single" w:sz="8" w:space="0" w:color="auto"/>
            </w:tcBorders>
            <w:noWrap/>
            <w:vAlign w:val="center"/>
            <w:hideMark/>
          </w:tcPr>
          <w:p w14:paraId="5F7AEF1F"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0.50</w:t>
            </w:r>
          </w:p>
        </w:tc>
      </w:tr>
      <w:tr w:rsidR="001C467A" w:rsidRPr="00D4396B" w14:paraId="540D2A5F" w14:textId="77777777" w:rsidTr="00C23564">
        <w:trPr>
          <w:trHeight w:val="278"/>
        </w:trPr>
        <w:tc>
          <w:tcPr>
            <w:tcW w:w="1599" w:type="pct"/>
            <w:tcBorders>
              <w:top w:val="single" w:sz="8" w:space="0" w:color="auto"/>
              <w:left w:val="single" w:sz="8" w:space="0" w:color="auto"/>
              <w:bottom w:val="single" w:sz="8" w:space="0" w:color="auto"/>
              <w:right w:val="single" w:sz="8" w:space="0" w:color="auto"/>
            </w:tcBorders>
            <w:noWrap/>
            <w:vAlign w:val="bottom"/>
            <w:hideMark/>
          </w:tcPr>
          <w:p w14:paraId="17D657BC" w14:textId="3A231D19" w:rsidR="002277DD" w:rsidRPr="00D4396B" w:rsidRDefault="00F21953" w:rsidP="002277DD">
            <w:pPr>
              <w:spacing w:after="0"/>
              <w:jc w:val="left"/>
              <w:rPr>
                <w:rFonts w:eastAsia="Times New Roman"/>
                <w:noProof/>
                <w:color w:val="000000"/>
                <w:sz w:val="14"/>
                <w:szCs w:val="14"/>
                <w:lang w:val="it-IT" w:eastAsia="de-DE"/>
              </w:rPr>
            </w:pPr>
            <w:r w:rsidRPr="00D4396B">
              <w:rPr>
                <w:rFonts w:eastAsia="Times New Roman"/>
                <w:noProof/>
                <w:color w:val="000000"/>
                <w:sz w:val="14"/>
                <w:szCs w:val="14"/>
                <w:lang w:val="it-IT" w:eastAsia="de-DE"/>
              </w:rPr>
              <w:t>F</w:t>
            </w:r>
            <w:r w:rsidR="0032657A" w:rsidRPr="00D4396B">
              <w:rPr>
                <w:rFonts w:eastAsia="Times New Roman"/>
                <w:noProof/>
                <w:color w:val="000000"/>
                <w:sz w:val="14"/>
                <w:szCs w:val="14"/>
                <w:lang w:val="it-IT" w:eastAsia="de-DE"/>
              </w:rPr>
              <w:t>.</w:t>
            </w:r>
            <w:r w:rsidR="002277DD" w:rsidRPr="00D4396B">
              <w:rPr>
                <w:rFonts w:eastAsia="Times New Roman"/>
                <w:noProof/>
                <w:color w:val="000000"/>
                <w:sz w:val="14"/>
                <w:szCs w:val="14"/>
                <w:lang w:val="it-IT" w:eastAsia="de-DE"/>
              </w:rPr>
              <w:t>PO2 (i,  ii, iii, iv)</w:t>
            </w:r>
          </w:p>
        </w:tc>
        <w:tc>
          <w:tcPr>
            <w:tcW w:w="224" w:type="pct"/>
            <w:tcBorders>
              <w:top w:val="single" w:sz="8" w:space="0" w:color="auto"/>
              <w:left w:val="single" w:sz="8" w:space="0" w:color="auto"/>
              <w:bottom w:val="single" w:sz="8" w:space="0" w:color="auto"/>
              <w:right w:val="single" w:sz="8" w:space="0" w:color="auto"/>
            </w:tcBorders>
            <w:noWrap/>
            <w:vAlign w:val="center"/>
            <w:hideMark/>
          </w:tcPr>
          <w:p w14:paraId="14F0924E"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1.50</w:t>
            </w:r>
          </w:p>
        </w:tc>
        <w:tc>
          <w:tcPr>
            <w:tcW w:w="221" w:type="pct"/>
            <w:tcBorders>
              <w:top w:val="single" w:sz="8" w:space="0" w:color="auto"/>
              <w:left w:val="single" w:sz="8" w:space="0" w:color="auto"/>
              <w:bottom w:val="single" w:sz="8" w:space="0" w:color="auto"/>
              <w:right w:val="single" w:sz="8" w:space="0" w:color="auto"/>
            </w:tcBorders>
            <w:noWrap/>
            <w:vAlign w:val="center"/>
            <w:hideMark/>
          </w:tcPr>
          <w:p w14:paraId="6C2966FE"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0.88</w:t>
            </w:r>
          </w:p>
        </w:tc>
        <w:tc>
          <w:tcPr>
            <w:tcW w:w="618" w:type="pct"/>
            <w:tcBorders>
              <w:top w:val="single" w:sz="8" w:space="0" w:color="auto"/>
              <w:left w:val="single" w:sz="8" w:space="0" w:color="auto"/>
              <w:bottom w:val="single" w:sz="8" w:space="0" w:color="auto"/>
              <w:right w:val="single" w:sz="8" w:space="0" w:color="auto"/>
            </w:tcBorders>
            <w:noWrap/>
            <w:vAlign w:val="center"/>
            <w:hideMark/>
          </w:tcPr>
          <w:p w14:paraId="0B610202"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1.19</w:t>
            </w:r>
          </w:p>
        </w:tc>
        <w:tc>
          <w:tcPr>
            <w:tcW w:w="450" w:type="pct"/>
            <w:tcBorders>
              <w:top w:val="single" w:sz="8" w:space="0" w:color="auto"/>
              <w:left w:val="single" w:sz="8" w:space="0" w:color="auto"/>
              <w:bottom w:val="single" w:sz="8" w:space="0" w:color="auto"/>
              <w:right w:val="single" w:sz="8" w:space="0" w:color="auto"/>
            </w:tcBorders>
            <w:noWrap/>
            <w:vAlign w:val="center"/>
            <w:hideMark/>
          </w:tcPr>
          <w:p w14:paraId="2396B137"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0.88</w:t>
            </w:r>
          </w:p>
        </w:tc>
        <w:tc>
          <w:tcPr>
            <w:tcW w:w="344" w:type="pct"/>
            <w:tcBorders>
              <w:top w:val="single" w:sz="8" w:space="0" w:color="auto"/>
              <w:left w:val="single" w:sz="8" w:space="0" w:color="auto"/>
              <w:bottom w:val="single" w:sz="8" w:space="0" w:color="auto"/>
              <w:right w:val="single" w:sz="8" w:space="0" w:color="auto"/>
            </w:tcBorders>
            <w:noWrap/>
            <w:vAlign w:val="center"/>
            <w:hideMark/>
          </w:tcPr>
          <w:p w14:paraId="67193E14"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0.63</w:t>
            </w:r>
          </w:p>
        </w:tc>
        <w:tc>
          <w:tcPr>
            <w:tcW w:w="370" w:type="pct"/>
            <w:tcBorders>
              <w:top w:val="single" w:sz="8" w:space="0" w:color="auto"/>
              <w:left w:val="single" w:sz="8" w:space="0" w:color="auto"/>
              <w:bottom w:val="single" w:sz="8" w:space="0" w:color="auto"/>
              <w:right w:val="single" w:sz="8" w:space="0" w:color="auto"/>
            </w:tcBorders>
            <w:noWrap/>
            <w:vAlign w:val="center"/>
            <w:hideMark/>
          </w:tcPr>
          <w:p w14:paraId="4E6F80D2"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0.75</w:t>
            </w:r>
          </w:p>
        </w:tc>
        <w:tc>
          <w:tcPr>
            <w:tcW w:w="450" w:type="pct"/>
            <w:tcBorders>
              <w:top w:val="single" w:sz="8" w:space="0" w:color="auto"/>
              <w:left w:val="single" w:sz="8" w:space="0" w:color="auto"/>
              <w:bottom w:val="single" w:sz="8" w:space="0" w:color="auto"/>
              <w:right w:val="single" w:sz="8" w:space="0" w:color="auto"/>
            </w:tcBorders>
            <w:noWrap/>
            <w:vAlign w:val="center"/>
            <w:hideMark/>
          </w:tcPr>
          <w:p w14:paraId="26ADE649"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0.69</w:t>
            </w:r>
          </w:p>
        </w:tc>
        <w:tc>
          <w:tcPr>
            <w:tcW w:w="723" w:type="pct"/>
            <w:tcBorders>
              <w:top w:val="single" w:sz="8" w:space="0" w:color="auto"/>
              <w:left w:val="single" w:sz="8" w:space="0" w:color="auto"/>
              <w:bottom w:val="single" w:sz="8" w:space="0" w:color="auto"/>
              <w:right w:val="single" w:sz="8" w:space="0" w:color="auto"/>
            </w:tcBorders>
            <w:shd w:val="clear" w:color="000000" w:fill="FFFAEB"/>
            <w:vAlign w:val="center"/>
            <w:hideMark/>
          </w:tcPr>
          <w:p w14:paraId="78684ADE" w14:textId="77777777" w:rsidR="002277DD" w:rsidRPr="00D4396B" w:rsidRDefault="002277DD" w:rsidP="002277DD">
            <w:pPr>
              <w:spacing w:after="0"/>
              <w:jc w:val="center"/>
              <w:rPr>
                <w:rFonts w:eastAsia="Times New Roman"/>
                <w:noProof/>
                <w:sz w:val="14"/>
                <w:szCs w:val="14"/>
                <w:lang w:val="de-DE" w:eastAsia="de-DE"/>
              </w:rPr>
            </w:pPr>
            <w:r w:rsidRPr="00D4396B">
              <w:rPr>
                <w:rFonts w:eastAsia="Times New Roman"/>
                <w:noProof/>
                <w:sz w:val="14"/>
                <w:szCs w:val="14"/>
                <w:lang w:val="de-DE" w:eastAsia="de-DE"/>
              </w:rPr>
              <w:t>0.99</w:t>
            </w:r>
          </w:p>
        </w:tc>
      </w:tr>
      <w:tr w:rsidR="002277DD" w:rsidRPr="00D4396B" w14:paraId="1257BDCD" w14:textId="77777777" w:rsidTr="00C23564">
        <w:trPr>
          <w:trHeight w:val="278"/>
        </w:trPr>
        <w:tc>
          <w:tcPr>
            <w:tcW w:w="1599" w:type="pct"/>
            <w:tcBorders>
              <w:top w:val="single" w:sz="8" w:space="0" w:color="auto"/>
              <w:left w:val="single" w:sz="8" w:space="0" w:color="auto"/>
              <w:bottom w:val="single" w:sz="8" w:space="0" w:color="auto"/>
              <w:right w:val="single" w:sz="8" w:space="0" w:color="auto"/>
            </w:tcBorders>
            <w:noWrap/>
            <w:vAlign w:val="bottom"/>
            <w:hideMark/>
          </w:tcPr>
          <w:p w14:paraId="181F64F1" w14:textId="00EB97FA" w:rsidR="002277DD" w:rsidRPr="00D4396B" w:rsidRDefault="00F21953" w:rsidP="002277DD">
            <w:pPr>
              <w:spacing w:after="0"/>
              <w:jc w:val="left"/>
              <w:rPr>
                <w:rFonts w:eastAsia="Times New Roman"/>
                <w:noProof/>
                <w:color w:val="000000"/>
                <w:sz w:val="14"/>
                <w:szCs w:val="14"/>
                <w:lang w:val="it-IT" w:eastAsia="de-DE"/>
              </w:rPr>
            </w:pPr>
            <w:r w:rsidRPr="00D4396B">
              <w:rPr>
                <w:rFonts w:eastAsia="Times New Roman"/>
                <w:noProof/>
                <w:color w:val="000000"/>
                <w:sz w:val="14"/>
                <w:szCs w:val="14"/>
                <w:lang w:val="it-IT" w:eastAsia="de-DE"/>
              </w:rPr>
              <w:t>F</w:t>
            </w:r>
            <w:r w:rsidR="0032657A" w:rsidRPr="00D4396B">
              <w:rPr>
                <w:rFonts w:eastAsia="Times New Roman"/>
                <w:noProof/>
                <w:color w:val="000000"/>
                <w:sz w:val="14"/>
                <w:szCs w:val="14"/>
                <w:lang w:val="it-IT" w:eastAsia="de-DE"/>
              </w:rPr>
              <w:t>.</w:t>
            </w:r>
            <w:r w:rsidR="002277DD" w:rsidRPr="00D4396B">
              <w:rPr>
                <w:rFonts w:eastAsia="Times New Roman"/>
                <w:noProof/>
                <w:color w:val="000000"/>
                <w:sz w:val="14"/>
                <w:szCs w:val="14"/>
                <w:lang w:val="it-IT" w:eastAsia="de-DE"/>
              </w:rPr>
              <w:t>PO3 (i, ii, iii, iv, v)</w:t>
            </w:r>
          </w:p>
        </w:tc>
        <w:tc>
          <w:tcPr>
            <w:tcW w:w="224" w:type="pct"/>
            <w:tcBorders>
              <w:top w:val="single" w:sz="8" w:space="0" w:color="auto"/>
              <w:left w:val="single" w:sz="8" w:space="0" w:color="auto"/>
              <w:bottom w:val="single" w:sz="8" w:space="0" w:color="auto"/>
              <w:right w:val="single" w:sz="8" w:space="0" w:color="auto"/>
            </w:tcBorders>
            <w:noWrap/>
            <w:vAlign w:val="center"/>
            <w:hideMark/>
          </w:tcPr>
          <w:p w14:paraId="077030A5"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1.40</w:t>
            </w:r>
          </w:p>
        </w:tc>
        <w:tc>
          <w:tcPr>
            <w:tcW w:w="221" w:type="pct"/>
            <w:tcBorders>
              <w:top w:val="single" w:sz="8" w:space="0" w:color="auto"/>
              <w:left w:val="single" w:sz="8" w:space="0" w:color="auto"/>
              <w:bottom w:val="single" w:sz="8" w:space="0" w:color="auto"/>
              <w:right w:val="single" w:sz="8" w:space="0" w:color="auto"/>
            </w:tcBorders>
            <w:noWrap/>
            <w:vAlign w:val="center"/>
            <w:hideMark/>
          </w:tcPr>
          <w:p w14:paraId="7606DB2B"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0.80</w:t>
            </w:r>
          </w:p>
        </w:tc>
        <w:tc>
          <w:tcPr>
            <w:tcW w:w="618" w:type="pct"/>
            <w:tcBorders>
              <w:top w:val="single" w:sz="8" w:space="0" w:color="auto"/>
              <w:left w:val="single" w:sz="8" w:space="0" w:color="auto"/>
              <w:bottom w:val="single" w:sz="8" w:space="0" w:color="auto"/>
              <w:right w:val="single" w:sz="8" w:space="0" w:color="auto"/>
            </w:tcBorders>
            <w:noWrap/>
            <w:vAlign w:val="center"/>
            <w:hideMark/>
          </w:tcPr>
          <w:p w14:paraId="0012E76D"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1.10</w:t>
            </w:r>
          </w:p>
        </w:tc>
        <w:tc>
          <w:tcPr>
            <w:tcW w:w="450" w:type="pct"/>
            <w:tcBorders>
              <w:top w:val="single" w:sz="8" w:space="0" w:color="auto"/>
              <w:left w:val="single" w:sz="8" w:space="0" w:color="auto"/>
              <w:bottom w:val="single" w:sz="8" w:space="0" w:color="auto"/>
              <w:right w:val="single" w:sz="8" w:space="0" w:color="auto"/>
            </w:tcBorders>
            <w:noWrap/>
            <w:vAlign w:val="center"/>
            <w:hideMark/>
          </w:tcPr>
          <w:p w14:paraId="7044FC2A"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0.80</w:t>
            </w:r>
          </w:p>
        </w:tc>
        <w:tc>
          <w:tcPr>
            <w:tcW w:w="344" w:type="pct"/>
            <w:tcBorders>
              <w:top w:val="single" w:sz="8" w:space="0" w:color="auto"/>
              <w:left w:val="single" w:sz="8" w:space="0" w:color="auto"/>
              <w:bottom w:val="single" w:sz="8" w:space="0" w:color="auto"/>
              <w:right w:val="single" w:sz="8" w:space="0" w:color="auto"/>
            </w:tcBorders>
            <w:noWrap/>
            <w:vAlign w:val="center"/>
            <w:hideMark/>
          </w:tcPr>
          <w:p w14:paraId="218AC09C"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0.60</w:t>
            </w:r>
          </w:p>
        </w:tc>
        <w:tc>
          <w:tcPr>
            <w:tcW w:w="370" w:type="pct"/>
            <w:tcBorders>
              <w:top w:val="single" w:sz="8" w:space="0" w:color="auto"/>
              <w:left w:val="single" w:sz="8" w:space="0" w:color="auto"/>
              <w:bottom w:val="single" w:sz="8" w:space="0" w:color="auto"/>
              <w:right w:val="single" w:sz="8" w:space="0" w:color="auto"/>
            </w:tcBorders>
            <w:noWrap/>
            <w:vAlign w:val="center"/>
            <w:hideMark/>
          </w:tcPr>
          <w:p w14:paraId="630BF0C5"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0.80</w:t>
            </w:r>
          </w:p>
        </w:tc>
        <w:tc>
          <w:tcPr>
            <w:tcW w:w="450" w:type="pct"/>
            <w:tcBorders>
              <w:top w:val="single" w:sz="8" w:space="0" w:color="auto"/>
              <w:left w:val="single" w:sz="8" w:space="0" w:color="auto"/>
              <w:bottom w:val="single" w:sz="8" w:space="0" w:color="auto"/>
              <w:right w:val="single" w:sz="8" w:space="0" w:color="auto"/>
            </w:tcBorders>
            <w:noWrap/>
            <w:vAlign w:val="center"/>
            <w:hideMark/>
          </w:tcPr>
          <w:p w14:paraId="5C209613"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0.70</w:t>
            </w:r>
          </w:p>
        </w:tc>
        <w:tc>
          <w:tcPr>
            <w:tcW w:w="723" w:type="pct"/>
            <w:tcBorders>
              <w:top w:val="single" w:sz="8" w:space="0" w:color="auto"/>
              <w:left w:val="single" w:sz="8" w:space="0" w:color="auto"/>
              <w:bottom w:val="single" w:sz="8" w:space="0" w:color="auto"/>
              <w:right w:val="single" w:sz="8" w:space="0" w:color="auto"/>
            </w:tcBorders>
            <w:noWrap/>
            <w:vAlign w:val="center"/>
            <w:hideMark/>
          </w:tcPr>
          <w:p w14:paraId="692A2EF1" w14:textId="77777777" w:rsidR="002277DD" w:rsidRPr="00D4396B" w:rsidRDefault="002277DD" w:rsidP="002277DD">
            <w:pPr>
              <w:spacing w:after="0"/>
              <w:jc w:val="center"/>
              <w:rPr>
                <w:rFonts w:eastAsia="Times New Roman"/>
                <w:noProof/>
                <w:color w:val="000000"/>
                <w:sz w:val="14"/>
                <w:szCs w:val="14"/>
                <w:lang w:val="de-DE" w:eastAsia="de-DE"/>
              </w:rPr>
            </w:pPr>
            <w:r w:rsidRPr="00D4396B">
              <w:rPr>
                <w:rFonts w:eastAsia="Times New Roman"/>
                <w:noProof/>
                <w:color w:val="000000"/>
                <w:sz w:val="14"/>
                <w:szCs w:val="14"/>
                <w:lang w:val="de-DE" w:eastAsia="de-DE"/>
              </w:rPr>
              <w:t>0.93</w:t>
            </w:r>
          </w:p>
        </w:tc>
      </w:tr>
    </w:tbl>
    <w:p w14:paraId="31DE162E" w14:textId="77777777" w:rsidR="00E16DF6" w:rsidRDefault="00E16DF6" w:rsidP="00E16DF6">
      <w:pPr>
        <w:spacing w:after="0"/>
        <w:rPr>
          <w:noProof/>
        </w:rPr>
      </w:pPr>
      <w:bookmarkStart w:id="166" w:name="_Toc57264783"/>
      <w:bookmarkStart w:id="167" w:name="_Toc2060377705"/>
      <w:bookmarkStart w:id="168" w:name="_Toc221260317"/>
    </w:p>
    <w:p w14:paraId="52F826AF" w14:textId="663F9FB0" w:rsidR="006B087E" w:rsidRPr="00D4396B" w:rsidRDefault="3D0F9F4E" w:rsidP="00781830">
      <w:pPr>
        <w:pStyle w:val="Heading1"/>
        <w:rPr>
          <w:noProof/>
        </w:rPr>
      </w:pPr>
      <w:bookmarkStart w:id="169" w:name="_Toc232176427"/>
      <w:r w:rsidRPr="00D4396B">
        <w:rPr>
          <w:noProof/>
        </w:rPr>
        <w:t>7</w:t>
      </w:r>
      <w:r w:rsidR="43176142" w:rsidRPr="00D4396B">
        <w:rPr>
          <w:noProof/>
        </w:rPr>
        <w:t>.</w:t>
      </w:r>
      <w:r w:rsidR="426114CC" w:rsidRPr="00D4396B">
        <w:rPr>
          <w:noProof/>
        </w:rPr>
        <w:tab/>
      </w:r>
      <w:r w:rsidR="78957115" w:rsidRPr="00D4396B">
        <w:rPr>
          <w:noProof/>
        </w:rPr>
        <w:t>How do the options compare?</w:t>
      </w:r>
      <w:bookmarkEnd w:id="166"/>
      <w:bookmarkEnd w:id="167"/>
      <w:bookmarkEnd w:id="168"/>
      <w:bookmarkEnd w:id="169"/>
    </w:p>
    <w:p w14:paraId="44015674" w14:textId="075797BE" w:rsidR="005B626D" w:rsidRPr="00D4396B" w:rsidRDefault="005B626D" w:rsidP="003B0D3B">
      <w:pPr>
        <w:spacing w:after="120"/>
        <w:ind w:right="284"/>
        <w:rPr>
          <w:noProof/>
          <w:lang w:val="en-US"/>
        </w:rPr>
      </w:pPr>
      <w:r w:rsidRPr="00D4396B">
        <w:rPr>
          <w:noProof/>
          <w:lang w:val="en-US"/>
        </w:rPr>
        <w:t>To compare the policy options</w:t>
      </w:r>
      <w:r w:rsidR="2BE171ED" w:rsidRPr="00D4396B">
        <w:rPr>
          <w:noProof/>
          <w:lang w:val="en-US"/>
        </w:rPr>
        <w:t>,</w:t>
      </w:r>
      <w:r w:rsidRPr="00D4396B">
        <w:rPr>
          <w:noProof/>
          <w:lang w:val="en-US"/>
        </w:rPr>
        <w:t xml:space="preserve"> a multi-criteria analysis (MCA) was used, which took into account the effectiveness, efficiency</w:t>
      </w:r>
      <w:r w:rsidR="0BEC5CD2" w:rsidRPr="00D4396B">
        <w:rPr>
          <w:noProof/>
          <w:lang w:val="en-US"/>
        </w:rPr>
        <w:t>,</w:t>
      </w:r>
      <w:r w:rsidR="001565A4" w:rsidRPr="00D4396B">
        <w:rPr>
          <w:noProof/>
          <w:lang w:val="en-US"/>
        </w:rPr>
        <w:t xml:space="preserve"> and</w:t>
      </w:r>
      <w:r w:rsidRPr="00D4396B">
        <w:rPr>
          <w:noProof/>
          <w:lang w:val="en-US"/>
        </w:rPr>
        <w:t xml:space="preserve"> coherence of all policy options. This analysis is based on two components: the gradual assessment of each policy option and the weighting assigned to each impact representing its relative importance. A score was given to each policy option on a scale from -3 to </w:t>
      </w:r>
      <w:r w:rsidR="34BB7029" w:rsidRPr="00D4396B">
        <w:rPr>
          <w:noProof/>
          <w:lang w:val="en-US"/>
        </w:rPr>
        <w:t>+</w:t>
      </w:r>
      <w:r w:rsidRPr="00D4396B">
        <w:rPr>
          <w:noProof/>
          <w:lang w:val="en-US"/>
        </w:rPr>
        <w:t xml:space="preserve">3 </w:t>
      </w:r>
      <w:r w:rsidR="001565A4" w:rsidRPr="00D4396B">
        <w:rPr>
          <w:noProof/>
          <w:lang w:val="en-US"/>
        </w:rPr>
        <w:t>(</w:t>
      </w:r>
      <w:r w:rsidRPr="00D4396B">
        <w:rPr>
          <w:noProof/>
          <w:lang w:val="en-US"/>
        </w:rPr>
        <w:t xml:space="preserve">as </w:t>
      </w:r>
      <w:r w:rsidR="0036353D" w:rsidRPr="00D4396B">
        <w:rPr>
          <w:noProof/>
          <w:lang w:val="en-US"/>
        </w:rPr>
        <w:t>further</w:t>
      </w:r>
      <w:r w:rsidRPr="00D4396B">
        <w:rPr>
          <w:noProof/>
          <w:lang w:val="en-US"/>
        </w:rPr>
        <w:t xml:space="preserve"> explained in Annex </w:t>
      </w:r>
      <w:r w:rsidR="00026DBC">
        <w:rPr>
          <w:noProof/>
          <w:lang w:val="en-US"/>
        </w:rPr>
        <w:t>IV</w:t>
      </w:r>
      <w:r w:rsidRPr="00D4396B">
        <w:rPr>
          <w:noProof/>
          <w:lang w:val="en-US"/>
        </w:rPr>
        <w:t xml:space="preserve">) based on the analysis of quantitative and qualitative evidence. </w:t>
      </w:r>
      <w:r w:rsidRPr="5FF132C7">
        <w:rPr>
          <w:noProof/>
          <w:lang w:val="en-US"/>
        </w:rPr>
        <w:t>Effectiveness, efficiency</w:t>
      </w:r>
      <w:r w:rsidR="53AC1CEC" w:rsidRPr="5FF132C7">
        <w:rPr>
          <w:noProof/>
          <w:lang w:val="en-US"/>
        </w:rPr>
        <w:t>,</w:t>
      </w:r>
      <w:r w:rsidRPr="5FF132C7">
        <w:rPr>
          <w:noProof/>
          <w:lang w:val="en-US"/>
        </w:rPr>
        <w:t xml:space="preserve"> and coherence were each </w:t>
      </w:r>
      <w:r w:rsidR="0036353D" w:rsidRPr="5FF132C7">
        <w:rPr>
          <w:noProof/>
          <w:lang w:val="en-US"/>
        </w:rPr>
        <w:t>weighed</w:t>
      </w:r>
      <w:r w:rsidRPr="5FF132C7">
        <w:rPr>
          <w:noProof/>
          <w:lang w:val="en-US"/>
        </w:rPr>
        <w:t xml:space="preserve"> at 50%, 30% and 20% respectively</w:t>
      </w:r>
      <w:r>
        <w:rPr>
          <w:rStyle w:val="FootnoteReference"/>
          <w:noProof/>
          <w:lang w:val="en-US"/>
        </w:rPr>
        <w:footnoteReference w:id="139"/>
      </w:r>
      <w:r w:rsidRPr="5FF132C7">
        <w:rPr>
          <w:noProof/>
          <w:lang w:val="en-US"/>
        </w:rPr>
        <w:t>.</w:t>
      </w:r>
    </w:p>
    <w:p w14:paraId="1FA872F1" w14:textId="4A07D069" w:rsidR="005B626D" w:rsidRPr="00D4396B" w:rsidRDefault="005B626D" w:rsidP="003B0D3B">
      <w:pPr>
        <w:spacing w:after="120"/>
        <w:ind w:right="284"/>
        <w:rPr>
          <w:noProof/>
          <w:lang w:val="en-US"/>
        </w:rPr>
      </w:pPr>
      <w:r w:rsidRPr="00D4396B">
        <w:rPr>
          <w:noProof/>
          <w:lang w:val="en-US"/>
        </w:rPr>
        <w:t xml:space="preserve">The assessment was performed separately for the two specific objectives, each with its own set of policy options: </w:t>
      </w:r>
      <w:r w:rsidRPr="00D4396B">
        <w:rPr>
          <w:b/>
          <w:bCs/>
          <w:noProof/>
          <w:lang w:val="en-US"/>
        </w:rPr>
        <w:t>Specific Objective 1</w:t>
      </w:r>
      <w:r w:rsidRPr="00D4396B">
        <w:rPr>
          <w:noProof/>
          <w:lang w:val="en-US"/>
        </w:rPr>
        <w:t xml:space="preserve"> (Internal) - Streamlining Eurojust's operational capacity, </w:t>
      </w:r>
      <w:r w:rsidR="002E39B0" w:rsidRPr="00D4396B">
        <w:rPr>
          <w:noProof/>
          <w:lang w:val="en-US"/>
        </w:rPr>
        <w:t>M</w:t>
      </w:r>
      <w:r w:rsidRPr="00D4396B">
        <w:rPr>
          <w:noProof/>
          <w:lang w:val="en-US"/>
        </w:rPr>
        <w:t xml:space="preserve">ember </w:t>
      </w:r>
      <w:r w:rsidR="002E39B0" w:rsidRPr="00D4396B">
        <w:rPr>
          <w:noProof/>
          <w:lang w:val="en-US"/>
        </w:rPr>
        <w:t>S</w:t>
      </w:r>
      <w:r w:rsidRPr="00D4396B">
        <w:rPr>
          <w:noProof/>
          <w:lang w:val="en-US"/>
        </w:rPr>
        <w:t>tate implementation and internal governance</w:t>
      </w:r>
      <w:r w:rsidR="00936400">
        <w:rPr>
          <w:noProof/>
          <w:lang w:val="en-US"/>
        </w:rPr>
        <w:t>;</w:t>
      </w:r>
      <w:r w:rsidRPr="00D4396B">
        <w:rPr>
          <w:noProof/>
          <w:lang w:val="en-US"/>
        </w:rPr>
        <w:t xml:space="preserve"> </w:t>
      </w:r>
      <w:r w:rsidRPr="00D4396B">
        <w:rPr>
          <w:b/>
          <w:bCs/>
          <w:noProof/>
          <w:lang w:val="en-US"/>
        </w:rPr>
        <w:t>Specific Objective 2</w:t>
      </w:r>
      <w:r w:rsidRPr="00D4396B">
        <w:rPr>
          <w:noProof/>
          <w:lang w:val="en-US"/>
        </w:rPr>
        <w:t xml:space="preserve"> (External) - Achieve optimal alignment and operational integration with Member States, EU partners and third countries. The policy options under these two separate objectives are assessed independently of one another and have no mutual </w:t>
      </w:r>
      <w:r w:rsidR="00C976BE" w:rsidRPr="352B378F">
        <w:rPr>
          <w:noProof/>
          <w:lang w:val="en-US"/>
        </w:rPr>
        <w:t>interdepend</w:t>
      </w:r>
      <w:r w:rsidR="1404B034" w:rsidRPr="352B378F">
        <w:rPr>
          <w:noProof/>
          <w:lang w:val="en-US"/>
        </w:rPr>
        <w:t>e</w:t>
      </w:r>
      <w:r w:rsidR="00C976BE" w:rsidRPr="352B378F">
        <w:rPr>
          <w:noProof/>
          <w:lang w:val="en-US"/>
        </w:rPr>
        <w:t>ncies</w:t>
      </w:r>
      <w:r w:rsidR="0051716A" w:rsidRPr="352B378F">
        <w:rPr>
          <w:noProof/>
          <w:lang w:val="en-US"/>
        </w:rPr>
        <w:t xml:space="preserve"> (</w:t>
      </w:r>
      <w:r w:rsidRPr="00D4396B">
        <w:rPr>
          <w:noProof/>
          <w:lang w:val="en-US"/>
        </w:rPr>
        <w:t>the objectives address</w:t>
      </w:r>
      <w:r w:rsidR="0051716A">
        <w:rPr>
          <w:noProof/>
          <w:lang w:val="en-US"/>
        </w:rPr>
        <w:t>ing</w:t>
      </w:r>
      <w:r w:rsidRPr="00D4396B">
        <w:rPr>
          <w:noProof/>
          <w:lang w:val="en-US"/>
        </w:rPr>
        <w:t xml:space="preserve"> clearly distinct themes and goals</w:t>
      </w:r>
      <w:r w:rsidR="0051716A" w:rsidRPr="352B378F">
        <w:rPr>
          <w:noProof/>
          <w:lang w:val="en-US"/>
        </w:rPr>
        <w:t>)</w:t>
      </w:r>
      <w:r w:rsidRPr="352B378F">
        <w:rPr>
          <w:noProof/>
          <w:lang w:val="en-US"/>
        </w:rPr>
        <w:t>.</w:t>
      </w:r>
      <w:r w:rsidRPr="00D4396B">
        <w:rPr>
          <w:noProof/>
          <w:lang w:val="en-US"/>
        </w:rPr>
        <w:t xml:space="preserve"> Under </w:t>
      </w:r>
      <w:r w:rsidR="6698F63D" w:rsidRPr="00D4396B">
        <w:rPr>
          <w:noProof/>
          <w:lang w:val="en-US"/>
        </w:rPr>
        <w:t xml:space="preserve">each </w:t>
      </w:r>
      <w:r w:rsidRPr="00D4396B">
        <w:rPr>
          <w:noProof/>
          <w:lang w:val="en-US"/>
        </w:rPr>
        <w:t xml:space="preserve">Specific Objective, </w:t>
      </w:r>
      <w:r w:rsidRPr="00D4396B">
        <w:rPr>
          <w:b/>
          <w:bCs/>
          <w:noProof/>
          <w:lang w:val="en-US"/>
        </w:rPr>
        <w:t>three thematic areas</w:t>
      </w:r>
      <w:r w:rsidRPr="00D4396B">
        <w:rPr>
          <w:noProof/>
          <w:lang w:val="en-US"/>
        </w:rPr>
        <w:t xml:space="preserve"> (A, B, C</w:t>
      </w:r>
      <w:r w:rsidR="4E91FF02" w:rsidRPr="00D4396B">
        <w:rPr>
          <w:noProof/>
          <w:lang w:val="en-US"/>
        </w:rPr>
        <w:t xml:space="preserve"> </w:t>
      </w:r>
      <w:r w:rsidR="60CC28E2" w:rsidRPr="00D4396B">
        <w:rPr>
          <w:noProof/>
          <w:lang w:val="en-US"/>
        </w:rPr>
        <w:t>for SO1</w:t>
      </w:r>
      <w:r w:rsidR="66426A10" w:rsidRPr="00D4396B">
        <w:rPr>
          <w:noProof/>
          <w:lang w:val="en-US"/>
        </w:rPr>
        <w:t>;</w:t>
      </w:r>
      <w:r w:rsidR="4E91FF02" w:rsidRPr="00D4396B">
        <w:rPr>
          <w:noProof/>
          <w:lang w:val="en-US"/>
        </w:rPr>
        <w:t xml:space="preserve"> D, E, F</w:t>
      </w:r>
      <w:r w:rsidR="3A8AD14C" w:rsidRPr="00D4396B">
        <w:rPr>
          <w:noProof/>
          <w:lang w:val="en-US"/>
        </w:rPr>
        <w:t xml:space="preserve"> for SO2</w:t>
      </w:r>
      <w:r w:rsidRPr="00D4396B">
        <w:rPr>
          <w:noProof/>
          <w:lang w:val="en-US"/>
        </w:rPr>
        <w:t xml:space="preserve">) were examined. Within each thematic area, </w:t>
      </w:r>
      <w:r w:rsidRPr="00D4396B">
        <w:rPr>
          <w:b/>
          <w:bCs/>
          <w:noProof/>
          <w:lang w:val="en-US"/>
        </w:rPr>
        <w:t>three policy options</w:t>
      </w:r>
      <w:r w:rsidRPr="00D4396B">
        <w:rPr>
          <w:noProof/>
          <w:lang w:val="en-US"/>
        </w:rPr>
        <w:t xml:space="preserve"> – differing in scope (PO1: light change, PO2: moderate change, PO3: substantial change) – were presented alongside their respective </w:t>
      </w:r>
      <w:r w:rsidRPr="00D4396B">
        <w:rPr>
          <w:b/>
          <w:bCs/>
          <w:noProof/>
          <w:lang w:val="en-US"/>
        </w:rPr>
        <w:t>impacts</w:t>
      </w:r>
      <w:r w:rsidRPr="00D4396B">
        <w:rPr>
          <w:noProof/>
          <w:lang w:val="en-US"/>
        </w:rPr>
        <w:t>.</w:t>
      </w:r>
      <w:r w:rsidR="00C034A2">
        <w:rPr>
          <w:noProof/>
          <w:lang w:val="en-US"/>
        </w:rPr>
        <w:t xml:space="preserve"> </w:t>
      </w:r>
      <w:r w:rsidRPr="00D4396B">
        <w:rPr>
          <w:noProof/>
          <w:lang w:val="en-US"/>
        </w:rPr>
        <w:t xml:space="preserve">The resulting nine policy options under </w:t>
      </w:r>
      <w:r w:rsidR="11BF42CD" w:rsidRPr="00D4396B">
        <w:rPr>
          <w:noProof/>
          <w:lang w:val="en-US"/>
        </w:rPr>
        <w:t xml:space="preserve">each </w:t>
      </w:r>
      <w:r w:rsidRPr="00D4396B">
        <w:rPr>
          <w:noProof/>
          <w:lang w:val="en-US"/>
        </w:rPr>
        <w:t xml:space="preserve">Specific Objective were then compared against the criteria of effectiveness, efficiency, and coherence. </w:t>
      </w:r>
      <w:r w:rsidRPr="00D4396B">
        <w:rPr>
          <w:b/>
          <w:bCs/>
          <w:noProof/>
          <w:lang w:val="en-US"/>
        </w:rPr>
        <w:t>Effectiveness</w:t>
      </w:r>
      <w:r w:rsidRPr="00D4396B">
        <w:rPr>
          <w:noProof/>
          <w:lang w:val="en-US"/>
        </w:rPr>
        <w:t xml:space="preserve"> was graded based on the extent to which each policy option achieved its respective specific objective</w:t>
      </w:r>
      <w:r w:rsidR="00A21FBE">
        <w:rPr>
          <w:noProof/>
          <w:lang w:val="en-US"/>
        </w:rPr>
        <w:t xml:space="preserve"> and contribut</w:t>
      </w:r>
      <w:r w:rsidR="00A7603B">
        <w:rPr>
          <w:noProof/>
          <w:lang w:val="en-US"/>
        </w:rPr>
        <w:t>e</w:t>
      </w:r>
      <w:r w:rsidR="00A21FBE">
        <w:rPr>
          <w:noProof/>
          <w:lang w:val="en-US"/>
        </w:rPr>
        <w:t>d to the general</w:t>
      </w:r>
      <w:r w:rsidR="002F1868">
        <w:rPr>
          <w:noProof/>
          <w:lang w:val="en-US"/>
        </w:rPr>
        <w:t xml:space="preserve"> objective</w:t>
      </w:r>
      <w:r w:rsidRPr="00D4396B">
        <w:rPr>
          <w:noProof/>
          <w:lang w:val="en-US"/>
        </w:rPr>
        <w:t>.</w:t>
      </w:r>
      <w:r w:rsidR="00C034A2">
        <w:rPr>
          <w:noProof/>
          <w:lang w:val="en-US"/>
        </w:rPr>
        <w:t xml:space="preserve"> </w:t>
      </w:r>
      <w:r w:rsidRPr="00D4396B">
        <w:rPr>
          <w:b/>
          <w:bCs/>
          <w:noProof/>
          <w:lang w:val="en-US"/>
        </w:rPr>
        <w:t>Efficiency</w:t>
      </w:r>
      <w:r w:rsidRPr="00D4396B">
        <w:rPr>
          <w:noProof/>
          <w:lang w:val="en-US"/>
        </w:rPr>
        <w:t xml:space="preserve"> was assessed through a cost-benefit analysis, with the overall efficiency score reflecting the net effect of benefits minus costs (where 3 = highest benefit at lowest cost).</w:t>
      </w:r>
      <w:r w:rsidR="00C034A2">
        <w:rPr>
          <w:noProof/>
          <w:lang w:val="en-US"/>
        </w:rPr>
        <w:t xml:space="preserve"> </w:t>
      </w:r>
      <w:r w:rsidRPr="00D4396B">
        <w:rPr>
          <w:b/>
          <w:bCs/>
          <w:noProof/>
          <w:lang w:val="en-US"/>
        </w:rPr>
        <w:t>Coherence</w:t>
      </w:r>
      <w:r w:rsidRPr="00D4396B">
        <w:rPr>
          <w:noProof/>
          <w:lang w:val="en-US"/>
        </w:rPr>
        <w:t xml:space="preserve"> was evaluated globally, taking into account internal coherence (alignment with the EJR) and external coherence (consistency with other EU </w:t>
      </w:r>
      <w:r w:rsidR="002E39B0" w:rsidRPr="00D4396B">
        <w:rPr>
          <w:noProof/>
          <w:lang w:val="en-US"/>
        </w:rPr>
        <w:t xml:space="preserve">legal </w:t>
      </w:r>
      <w:r w:rsidRPr="00D4396B">
        <w:rPr>
          <w:noProof/>
          <w:lang w:val="en-US"/>
        </w:rPr>
        <w:t>acts and policies).</w:t>
      </w:r>
    </w:p>
    <w:p w14:paraId="7BE7D01B" w14:textId="55956511" w:rsidR="00F92D2F" w:rsidRDefault="005B626D" w:rsidP="008E0AEE">
      <w:pPr>
        <w:spacing w:after="0"/>
        <w:rPr>
          <w:noProof/>
        </w:rPr>
      </w:pPr>
      <w:r w:rsidRPr="00E028A0">
        <w:rPr>
          <w:noProof/>
        </w:rPr>
        <w:t xml:space="preserve">The results of the MCA show that policy options </w:t>
      </w:r>
      <w:r w:rsidR="0036353D" w:rsidRPr="00E028A0">
        <w:rPr>
          <w:noProof/>
        </w:rPr>
        <w:t>A.</w:t>
      </w:r>
      <w:r w:rsidR="0088184F" w:rsidRPr="00E028A0">
        <w:rPr>
          <w:noProof/>
        </w:rPr>
        <w:t>PO</w:t>
      </w:r>
      <w:r w:rsidR="003766DA" w:rsidRPr="00E028A0">
        <w:rPr>
          <w:noProof/>
        </w:rPr>
        <w:t xml:space="preserve">3, </w:t>
      </w:r>
      <w:r w:rsidR="0036353D" w:rsidRPr="00E028A0">
        <w:rPr>
          <w:noProof/>
        </w:rPr>
        <w:t>B.</w:t>
      </w:r>
      <w:r w:rsidR="003766DA" w:rsidRPr="00E028A0">
        <w:rPr>
          <w:noProof/>
        </w:rPr>
        <w:t>PO</w:t>
      </w:r>
      <w:r w:rsidR="00A65AF3" w:rsidRPr="00E028A0">
        <w:rPr>
          <w:noProof/>
        </w:rPr>
        <w:t xml:space="preserve">3, </w:t>
      </w:r>
      <w:r w:rsidR="0036353D" w:rsidRPr="00E028A0">
        <w:rPr>
          <w:noProof/>
        </w:rPr>
        <w:t>C.</w:t>
      </w:r>
      <w:r w:rsidR="00A65AF3" w:rsidRPr="00E028A0">
        <w:rPr>
          <w:noProof/>
        </w:rPr>
        <w:t>PO3</w:t>
      </w:r>
      <w:r w:rsidR="003A3144" w:rsidRPr="00E028A0">
        <w:rPr>
          <w:noProof/>
        </w:rPr>
        <w:t xml:space="preserve">, </w:t>
      </w:r>
      <w:r w:rsidR="00547931" w:rsidRPr="00D4396B">
        <w:rPr>
          <w:noProof/>
        </w:rPr>
        <w:t>D</w:t>
      </w:r>
      <w:r w:rsidR="00015BE9" w:rsidRPr="00E028A0">
        <w:rPr>
          <w:noProof/>
        </w:rPr>
        <w:t>.PO3</w:t>
      </w:r>
      <w:r w:rsidR="003A3144" w:rsidRPr="00E028A0">
        <w:rPr>
          <w:noProof/>
        </w:rPr>
        <w:t xml:space="preserve">, </w:t>
      </w:r>
      <w:r w:rsidR="00446D49" w:rsidRPr="00D4396B">
        <w:rPr>
          <w:noProof/>
        </w:rPr>
        <w:t>E</w:t>
      </w:r>
      <w:r w:rsidR="00015BE9" w:rsidRPr="00E028A0">
        <w:rPr>
          <w:noProof/>
        </w:rPr>
        <w:t>.PO2</w:t>
      </w:r>
      <w:r w:rsidR="00BD10FF" w:rsidRPr="00E028A0">
        <w:rPr>
          <w:noProof/>
        </w:rPr>
        <w:t xml:space="preserve">, </w:t>
      </w:r>
      <w:r w:rsidR="00F21953" w:rsidRPr="00D4396B">
        <w:rPr>
          <w:noProof/>
        </w:rPr>
        <w:t>F</w:t>
      </w:r>
      <w:r w:rsidR="00015BE9" w:rsidRPr="00E028A0">
        <w:rPr>
          <w:noProof/>
        </w:rPr>
        <w:t>.PO2</w:t>
      </w:r>
      <w:r w:rsidRPr="00E028A0">
        <w:rPr>
          <w:noProof/>
        </w:rPr>
        <w:t xml:space="preserve"> rank highest under all three criteria. The table below </w:t>
      </w:r>
      <w:r w:rsidR="0020325F" w:rsidRPr="00E028A0">
        <w:rPr>
          <w:noProof/>
        </w:rPr>
        <w:t>summarise</w:t>
      </w:r>
      <w:r w:rsidR="00A14BC0" w:rsidRPr="00E028A0">
        <w:rPr>
          <w:noProof/>
        </w:rPr>
        <w:t>s</w:t>
      </w:r>
      <w:r w:rsidRPr="00E028A0">
        <w:rPr>
          <w:noProof/>
        </w:rPr>
        <w:t xml:space="preserve"> the results of the assessment of all policy options described in </w:t>
      </w:r>
      <w:r w:rsidR="00AC667D">
        <w:rPr>
          <w:noProof/>
        </w:rPr>
        <w:t>c</w:t>
      </w:r>
      <w:r w:rsidRPr="00E028A0">
        <w:rPr>
          <w:noProof/>
        </w:rPr>
        <w:t>hapter 6</w:t>
      </w:r>
      <w:r w:rsidR="00F92D2F" w:rsidRPr="00E028A0">
        <w:rPr>
          <w:noProof/>
        </w:rPr>
        <w:t>.</w:t>
      </w:r>
    </w:p>
    <w:p w14:paraId="70DB7A0F" w14:textId="1E0F9169" w:rsidR="00981587" w:rsidRPr="000734DB" w:rsidRDefault="00981587" w:rsidP="0021637E">
      <w:pPr>
        <w:spacing w:after="120"/>
        <w:ind w:right="284"/>
        <w:rPr>
          <w:noProof/>
          <w:u w:val="single"/>
          <w:lang w:val="en-US"/>
        </w:rPr>
      </w:pPr>
      <w:r w:rsidRPr="000734DB">
        <w:rPr>
          <w:noProof/>
          <w:u w:val="single"/>
          <w:lang w:val="en-US"/>
        </w:rPr>
        <w:t>Table 1</w:t>
      </w:r>
      <w:r w:rsidR="001C2582" w:rsidRPr="000734DB">
        <w:rPr>
          <w:noProof/>
          <w:u w:val="single"/>
          <w:lang w:val="en-US"/>
        </w:rPr>
        <w:t>1</w:t>
      </w:r>
      <w:r w:rsidRPr="000734DB">
        <w:rPr>
          <w:noProof/>
          <w:u w:val="single"/>
          <w:lang w:val="en-US"/>
        </w:rPr>
        <w:t xml:space="preserve">: </w:t>
      </w:r>
      <w:r w:rsidR="001C2582" w:rsidRPr="000734DB">
        <w:rPr>
          <w:rFonts w:eastAsia="Times New Roman"/>
          <w:noProof/>
          <w:u w:val="single"/>
        </w:rPr>
        <w:t>Impacts of policy option</w:t>
      </w:r>
      <w:r w:rsidR="004D2F9E" w:rsidRPr="000734DB">
        <w:rPr>
          <w:rFonts w:eastAsia="Times New Roman"/>
          <w:noProof/>
          <w:u w:val="single"/>
        </w:rPr>
        <w:t>s</w:t>
      </w:r>
      <w:r w:rsidR="001C2582" w:rsidRPr="000734DB">
        <w:rPr>
          <w:rFonts w:eastAsia="Times New Roman"/>
          <w:noProof/>
          <w:u w:val="single"/>
        </w:rPr>
        <w:t xml:space="preserve"> in intervention area</w:t>
      </w:r>
      <w:r w:rsidR="002B7984" w:rsidRPr="000734DB">
        <w:rPr>
          <w:rFonts w:eastAsia="Times New Roman"/>
          <w:noProof/>
          <w:u w:val="single"/>
        </w:rPr>
        <w:t>s</w:t>
      </w:r>
      <w:r w:rsidR="001C2582" w:rsidRPr="000734DB">
        <w:rPr>
          <w:rFonts w:eastAsia="Times New Roman"/>
          <w:noProof/>
          <w:u w:val="single"/>
        </w:rPr>
        <w:t xml:space="preserve"> A</w:t>
      </w:r>
      <w:r w:rsidR="000927B1" w:rsidRPr="000734DB">
        <w:rPr>
          <w:rFonts w:eastAsia="Times New Roman"/>
          <w:noProof/>
          <w:u w:val="single"/>
        </w:rPr>
        <w:t>, B, C</w:t>
      </w:r>
      <w:r w:rsidR="001D172B" w:rsidRPr="000734DB">
        <w:rPr>
          <w:rFonts w:eastAsia="Times New Roman"/>
          <w:noProof/>
          <w:u w:val="single"/>
        </w:rPr>
        <w:t>, D</w:t>
      </w:r>
      <w:r w:rsidR="00C40449" w:rsidRPr="000734DB">
        <w:rPr>
          <w:rFonts w:eastAsia="Times New Roman"/>
          <w:noProof/>
          <w:u w:val="single"/>
        </w:rPr>
        <w:t>, E</w:t>
      </w:r>
      <w:r w:rsidR="000927B1" w:rsidRPr="000734DB">
        <w:rPr>
          <w:rFonts w:eastAsia="Times New Roman"/>
          <w:noProof/>
          <w:u w:val="single"/>
        </w:rPr>
        <w:t xml:space="preserve"> and </w:t>
      </w:r>
      <w:r w:rsidR="00B83D0B" w:rsidRPr="000734DB">
        <w:rPr>
          <w:rFonts w:eastAsia="Times New Roman"/>
          <w:noProof/>
          <w:u w:val="single"/>
        </w:rPr>
        <w:t>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95"/>
        <w:gridCol w:w="800"/>
        <w:gridCol w:w="1278"/>
        <w:gridCol w:w="1015"/>
        <w:gridCol w:w="1071"/>
        <w:gridCol w:w="1639"/>
      </w:tblGrid>
      <w:tr w:rsidR="00A14BC0" w:rsidRPr="00D4396B" w14:paraId="70094160" w14:textId="77777777" w:rsidTr="145E41EC">
        <w:trPr>
          <w:trHeight w:val="955"/>
        </w:trPr>
        <w:tc>
          <w:tcPr>
            <w:tcW w:w="1625" w:type="pct"/>
            <w:tcBorders>
              <w:top w:val="single" w:sz="8" w:space="0" w:color="auto"/>
              <w:left w:val="single" w:sz="8" w:space="0" w:color="auto"/>
              <w:bottom w:val="single" w:sz="8" w:space="0" w:color="auto"/>
              <w:right w:val="single" w:sz="8" w:space="0" w:color="auto"/>
            </w:tcBorders>
            <w:noWrap/>
            <w:vAlign w:val="center"/>
            <w:hideMark/>
          </w:tcPr>
          <w:p w14:paraId="208F946E" w14:textId="6B8D774D" w:rsidR="00BA4C63" w:rsidRPr="00D4396B" w:rsidRDefault="00BA4C63" w:rsidP="00E028A0">
            <w:pPr>
              <w:spacing w:after="0"/>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 xml:space="preserve">Area of intervention </w:t>
            </w:r>
          </w:p>
        </w:tc>
        <w:tc>
          <w:tcPr>
            <w:tcW w:w="465" w:type="pct"/>
            <w:tcBorders>
              <w:top w:val="single" w:sz="8" w:space="0" w:color="auto"/>
              <w:left w:val="single" w:sz="8" w:space="0" w:color="auto"/>
              <w:bottom w:val="single" w:sz="8" w:space="0" w:color="auto"/>
              <w:right w:val="single" w:sz="8" w:space="0" w:color="auto"/>
            </w:tcBorders>
            <w:vAlign w:val="center"/>
            <w:hideMark/>
          </w:tcPr>
          <w:p w14:paraId="3F3E0BB7"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Policy options</w:t>
            </w:r>
          </w:p>
        </w:tc>
        <w:tc>
          <w:tcPr>
            <w:tcW w:w="743" w:type="pct"/>
            <w:tcBorders>
              <w:top w:val="single" w:sz="8" w:space="0" w:color="auto"/>
              <w:left w:val="single" w:sz="8" w:space="0" w:color="auto"/>
              <w:bottom w:val="single" w:sz="8" w:space="0" w:color="auto"/>
              <w:right w:val="single" w:sz="8" w:space="0" w:color="auto"/>
            </w:tcBorders>
            <w:noWrap/>
            <w:vAlign w:val="center"/>
            <w:hideMark/>
          </w:tcPr>
          <w:p w14:paraId="4A543775"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Effectiveness</w:t>
            </w:r>
          </w:p>
        </w:tc>
        <w:tc>
          <w:tcPr>
            <w:tcW w:w="590" w:type="pct"/>
            <w:tcBorders>
              <w:top w:val="single" w:sz="8" w:space="0" w:color="auto"/>
              <w:left w:val="single" w:sz="8" w:space="0" w:color="auto"/>
              <w:bottom w:val="single" w:sz="8" w:space="0" w:color="auto"/>
              <w:right w:val="single" w:sz="8" w:space="0" w:color="auto"/>
            </w:tcBorders>
            <w:noWrap/>
            <w:vAlign w:val="center"/>
            <w:hideMark/>
          </w:tcPr>
          <w:p w14:paraId="1BE06464"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Efficiency</w:t>
            </w:r>
          </w:p>
        </w:tc>
        <w:tc>
          <w:tcPr>
            <w:tcW w:w="623" w:type="pct"/>
            <w:tcBorders>
              <w:top w:val="single" w:sz="8" w:space="0" w:color="auto"/>
              <w:left w:val="single" w:sz="8" w:space="0" w:color="auto"/>
              <w:bottom w:val="single" w:sz="8" w:space="0" w:color="auto"/>
              <w:right w:val="single" w:sz="8" w:space="0" w:color="auto"/>
            </w:tcBorders>
            <w:noWrap/>
            <w:vAlign w:val="center"/>
            <w:hideMark/>
          </w:tcPr>
          <w:p w14:paraId="0A77FE7D"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Coherence</w:t>
            </w:r>
          </w:p>
        </w:tc>
        <w:tc>
          <w:tcPr>
            <w:tcW w:w="953" w:type="pct"/>
            <w:tcBorders>
              <w:top w:val="single" w:sz="8" w:space="0" w:color="auto"/>
              <w:left w:val="single" w:sz="8" w:space="0" w:color="auto"/>
              <w:bottom w:val="single" w:sz="8" w:space="0" w:color="auto"/>
              <w:right w:val="single" w:sz="8" w:space="0" w:color="auto"/>
            </w:tcBorders>
            <w:vAlign w:val="center"/>
            <w:hideMark/>
          </w:tcPr>
          <w:p w14:paraId="06437939" w14:textId="77777777" w:rsidR="0017015C" w:rsidRDefault="00BA4C63" w:rsidP="00BA4C63">
            <w:pPr>
              <w:spacing w:after="0"/>
              <w:jc w:val="center"/>
              <w:rPr>
                <w:rFonts w:eastAsia="Times New Roman"/>
                <w:b/>
                <w:noProof/>
                <w:color w:val="000000" w:themeColor="text1"/>
                <w:sz w:val="14"/>
                <w:szCs w:val="14"/>
                <w:lang w:val="de-DE" w:eastAsia="de-DE"/>
              </w:rPr>
            </w:pPr>
            <w:r w:rsidRPr="00D4396B">
              <w:rPr>
                <w:rFonts w:eastAsia="Times New Roman"/>
                <w:b/>
                <w:noProof/>
                <w:color w:val="000000" w:themeColor="text1"/>
                <w:sz w:val="14"/>
                <w:szCs w:val="14"/>
                <w:lang w:val="de-DE" w:eastAsia="de-DE"/>
              </w:rPr>
              <w:t>Total =</w:t>
            </w:r>
            <w:r w:rsidRPr="00D4396B">
              <w:rPr>
                <w:noProof/>
              </w:rPr>
              <w:br/>
            </w:r>
            <w:r w:rsidRPr="00D4396B">
              <w:rPr>
                <w:rFonts w:eastAsia="Times New Roman"/>
                <w:b/>
                <w:noProof/>
                <w:color w:val="000000" w:themeColor="text1"/>
                <w:sz w:val="14"/>
                <w:szCs w:val="14"/>
                <w:lang w:val="de-DE" w:eastAsia="de-DE"/>
              </w:rPr>
              <w:t xml:space="preserve">0.5*Effectiveness + </w:t>
            </w:r>
          </w:p>
          <w:p w14:paraId="386AB0B1" w14:textId="6B514FA9"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0.3*Efficiency +</w:t>
            </w:r>
            <w:r w:rsidRPr="00D4396B">
              <w:rPr>
                <w:noProof/>
              </w:rPr>
              <w:br/>
            </w:r>
            <w:r w:rsidRPr="00D4396B">
              <w:rPr>
                <w:rFonts w:eastAsia="Times New Roman"/>
                <w:b/>
                <w:noProof/>
                <w:color w:val="000000" w:themeColor="text1"/>
                <w:sz w:val="14"/>
                <w:szCs w:val="14"/>
                <w:lang w:val="de-DE" w:eastAsia="de-DE"/>
              </w:rPr>
              <w:t xml:space="preserve">0.2*Coherence </w:t>
            </w:r>
          </w:p>
        </w:tc>
      </w:tr>
      <w:tr w:rsidR="00BE211D" w:rsidRPr="00D4396B" w14:paraId="477E499A" w14:textId="77777777" w:rsidTr="00960323">
        <w:trPr>
          <w:trHeight w:val="338"/>
        </w:trPr>
        <w:tc>
          <w:tcPr>
            <w:tcW w:w="1625" w:type="pct"/>
            <w:vMerge w:val="restart"/>
            <w:tcBorders>
              <w:top w:val="single" w:sz="4" w:space="0" w:color="auto"/>
              <w:left w:val="single" w:sz="8" w:space="0" w:color="auto"/>
              <w:bottom w:val="single" w:sz="8" w:space="0" w:color="auto"/>
              <w:right w:val="single" w:sz="8" w:space="0" w:color="auto"/>
            </w:tcBorders>
            <w:shd w:val="clear" w:color="auto" w:fill="DAE9F8"/>
            <w:vAlign w:val="center"/>
            <w:hideMark/>
          </w:tcPr>
          <w:p w14:paraId="2E1E003B" w14:textId="77777777" w:rsidR="00BA4C63" w:rsidRPr="00D4396B" w:rsidRDefault="00BA4C63" w:rsidP="00BA4C63">
            <w:pPr>
              <w:spacing w:after="0"/>
              <w:jc w:val="left"/>
              <w:rPr>
                <w:rFonts w:eastAsia="Times New Roman"/>
                <w:b/>
                <w:bCs/>
                <w:noProof/>
                <w:color w:val="000000"/>
                <w:sz w:val="14"/>
                <w:szCs w:val="14"/>
                <w:lang w:val="en-US" w:eastAsia="de-DE"/>
              </w:rPr>
            </w:pPr>
            <w:r w:rsidRPr="00D4396B">
              <w:rPr>
                <w:rFonts w:eastAsia="Times New Roman"/>
                <w:b/>
                <w:noProof/>
                <w:color w:val="000000" w:themeColor="text1"/>
                <w:sz w:val="14"/>
                <w:szCs w:val="14"/>
                <w:lang w:val="en-US" w:eastAsia="de-DE"/>
              </w:rPr>
              <w:t>A.     Extending the scope of material competences to face the new judicial landscape</w:t>
            </w:r>
          </w:p>
        </w:tc>
        <w:tc>
          <w:tcPr>
            <w:tcW w:w="465" w:type="pct"/>
            <w:tcBorders>
              <w:top w:val="single" w:sz="8" w:space="0" w:color="auto"/>
              <w:left w:val="single" w:sz="8" w:space="0" w:color="auto"/>
              <w:right w:val="single" w:sz="8" w:space="0" w:color="auto"/>
            </w:tcBorders>
            <w:noWrap/>
            <w:vAlign w:val="bottom"/>
            <w:hideMark/>
          </w:tcPr>
          <w:p w14:paraId="4FFB90C1" w14:textId="440F8229" w:rsidR="00BA4C63" w:rsidRPr="00D4396B" w:rsidRDefault="0056539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A.</w:t>
            </w:r>
            <w:r w:rsidR="00BA4C63" w:rsidRPr="00D4396B">
              <w:rPr>
                <w:rFonts w:eastAsia="Times New Roman"/>
                <w:noProof/>
                <w:color w:val="000000" w:themeColor="text1"/>
                <w:sz w:val="14"/>
                <w:szCs w:val="14"/>
                <w:lang w:val="de-DE" w:eastAsia="de-DE"/>
              </w:rPr>
              <w:t>PO1</w:t>
            </w:r>
          </w:p>
        </w:tc>
        <w:tc>
          <w:tcPr>
            <w:tcW w:w="743" w:type="pct"/>
            <w:tcBorders>
              <w:top w:val="single" w:sz="8" w:space="0" w:color="auto"/>
              <w:left w:val="single" w:sz="8" w:space="0" w:color="auto"/>
              <w:right w:val="single" w:sz="8" w:space="0" w:color="auto"/>
            </w:tcBorders>
            <w:noWrap/>
            <w:vAlign w:val="center"/>
            <w:hideMark/>
          </w:tcPr>
          <w:p w14:paraId="00ED143C"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0.33</w:t>
            </w:r>
          </w:p>
        </w:tc>
        <w:tc>
          <w:tcPr>
            <w:tcW w:w="590" w:type="pct"/>
            <w:tcBorders>
              <w:top w:val="single" w:sz="8" w:space="0" w:color="auto"/>
              <w:left w:val="single" w:sz="8" w:space="0" w:color="auto"/>
              <w:right w:val="single" w:sz="8" w:space="0" w:color="auto"/>
            </w:tcBorders>
            <w:noWrap/>
            <w:vAlign w:val="center"/>
            <w:hideMark/>
          </w:tcPr>
          <w:p w14:paraId="222DE64A"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0.33</w:t>
            </w:r>
          </w:p>
        </w:tc>
        <w:tc>
          <w:tcPr>
            <w:tcW w:w="623" w:type="pct"/>
            <w:tcBorders>
              <w:top w:val="single" w:sz="8" w:space="0" w:color="auto"/>
              <w:left w:val="single" w:sz="8" w:space="0" w:color="auto"/>
              <w:right w:val="single" w:sz="8" w:space="0" w:color="auto"/>
            </w:tcBorders>
            <w:noWrap/>
            <w:vAlign w:val="center"/>
            <w:hideMark/>
          </w:tcPr>
          <w:p w14:paraId="55E869F8"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0.58</w:t>
            </w:r>
          </w:p>
        </w:tc>
        <w:tc>
          <w:tcPr>
            <w:tcW w:w="953" w:type="pct"/>
            <w:tcBorders>
              <w:top w:val="single" w:sz="8" w:space="0" w:color="auto"/>
              <w:left w:val="single" w:sz="8" w:space="0" w:color="auto"/>
              <w:right w:val="single" w:sz="8" w:space="0" w:color="auto"/>
            </w:tcBorders>
            <w:noWrap/>
            <w:vAlign w:val="center"/>
            <w:hideMark/>
          </w:tcPr>
          <w:p w14:paraId="50362034"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0.38</w:t>
            </w:r>
          </w:p>
        </w:tc>
      </w:tr>
      <w:tr w:rsidR="00A14BC0" w:rsidRPr="00D4396B" w14:paraId="0DFF4D9F" w14:textId="77777777" w:rsidTr="145E41EC">
        <w:trPr>
          <w:trHeight w:val="338"/>
        </w:trPr>
        <w:tc>
          <w:tcPr>
            <w:tcW w:w="1625" w:type="pct"/>
            <w:vMerge/>
            <w:vAlign w:val="center"/>
            <w:hideMark/>
          </w:tcPr>
          <w:p w14:paraId="52DA6333" w14:textId="77777777" w:rsidR="00BA4C63" w:rsidRPr="00D4396B" w:rsidRDefault="00BA4C63" w:rsidP="00BA4C63">
            <w:pPr>
              <w:spacing w:after="0"/>
              <w:jc w:val="left"/>
              <w:rPr>
                <w:rFonts w:eastAsia="Times New Roman"/>
                <w:b/>
                <w:bCs/>
                <w:noProof/>
                <w:color w:val="000000"/>
                <w:sz w:val="14"/>
                <w:szCs w:val="14"/>
                <w:lang w:val="de-DE" w:eastAsia="de-DE"/>
              </w:rPr>
            </w:pPr>
          </w:p>
        </w:tc>
        <w:tc>
          <w:tcPr>
            <w:tcW w:w="465" w:type="pct"/>
            <w:tcBorders>
              <w:left w:val="single" w:sz="8" w:space="0" w:color="auto"/>
              <w:right w:val="single" w:sz="8" w:space="0" w:color="auto"/>
            </w:tcBorders>
            <w:noWrap/>
            <w:vAlign w:val="bottom"/>
            <w:hideMark/>
          </w:tcPr>
          <w:p w14:paraId="1F1C7598" w14:textId="4420033C" w:rsidR="00BA4C63" w:rsidRPr="00D4396B" w:rsidRDefault="00CA0078"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A.</w:t>
            </w:r>
            <w:r w:rsidR="00BA4C63" w:rsidRPr="00D4396B">
              <w:rPr>
                <w:rFonts w:eastAsia="Times New Roman"/>
                <w:noProof/>
                <w:color w:val="000000" w:themeColor="text1"/>
                <w:sz w:val="14"/>
                <w:szCs w:val="14"/>
                <w:lang w:val="de-DE" w:eastAsia="de-DE"/>
              </w:rPr>
              <w:t>PO2</w:t>
            </w:r>
          </w:p>
        </w:tc>
        <w:tc>
          <w:tcPr>
            <w:tcW w:w="743" w:type="pct"/>
            <w:tcBorders>
              <w:left w:val="single" w:sz="8" w:space="0" w:color="auto"/>
              <w:right w:val="single" w:sz="8" w:space="0" w:color="auto"/>
            </w:tcBorders>
            <w:noWrap/>
            <w:vAlign w:val="center"/>
            <w:hideMark/>
          </w:tcPr>
          <w:p w14:paraId="21D8086F"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1.00</w:t>
            </w:r>
          </w:p>
        </w:tc>
        <w:tc>
          <w:tcPr>
            <w:tcW w:w="590" w:type="pct"/>
            <w:tcBorders>
              <w:left w:val="single" w:sz="8" w:space="0" w:color="auto"/>
              <w:right w:val="single" w:sz="8" w:space="0" w:color="auto"/>
            </w:tcBorders>
            <w:noWrap/>
            <w:vAlign w:val="center"/>
            <w:hideMark/>
          </w:tcPr>
          <w:p w14:paraId="77C85759"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1.25</w:t>
            </w:r>
          </w:p>
        </w:tc>
        <w:tc>
          <w:tcPr>
            <w:tcW w:w="623" w:type="pct"/>
            <w:tcBorders>
              <w:left w:val="single" w:sz="8" w:space="0" w:color="auto"/>
              <w:right w:val="single" w:sz="8" w:space="0" w:color="auto"/>
            </w:tcBorders>
            <w:noWrap/>
            <w:vAlign w:val="center"/>
            <w:hideMark/>
          </w:tcPr>
          <w:p w14:paraId="5BCBE70B"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1.06</w:t>
            </w:r>
          </w:p>
        </w:tc>
        <w:tc>
          <w:tcPr>
            <w:tcW w:w="953" w:type="pct"/>
            <w:tcBorders>
              <w:left w:val="single" w:sz="8" w:space="0" w:color="auto"/>
              <w:right w:val="single" w:sz="8" w:space="0" w:color="auto"/>
            </w:tcBorders>
            <w:noWrap/>
            <w:vAlign w:val="center"/>
            <w:hideMark/>
          </w:tcPr>
          <w:p w14:paraId="386B789F"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1.09</w:t>
            </w:r>
          </w:p>
        </w:tc>
      </w:tr>
      <w:tr w:rsidR="00E64117" w:rsidRPr="00D4396B" w14:paraId="1EA63BD8" w14:textId="77777777" w:rsidTr="145E41EC">
        <w:trPr>
          <w:trHeight w:val="338"/>
        </w:trPr>
        <w:tc>
          <w:tcPr>
            <w:tcW w:w="1625" w:type="pct"/>
            <w:vMerge/>
            <w:vAlign w:val="center"/>
            <w:hideMark/>
          </w:tcPr>
          <w:p w14:paraId="165188C8" w14:textId="77777777" w:rsidR="00BA4C63" w:rsidRPr="00D4396B" w:rsidRDefault="00BA4C63" w:rsidP="00BA4C63">
            <w:pPr>
              <w:spacing w:after="0"/>
              <w:jc w:val="left"/>
              <w:rPr>
                <w:rFonts w:eastAsia="Times New Roman"/>
                <w:b/>
                <w:bCs/>
                <w:noProof/>
                <w:color w:val="000000"/>
                <w:sz w:val="14"/>
                <w:szCs w:val="14"/>
                <w:lang w:val="de-DE" w:eastAsia="de-DE"/>
              </w:rPr>
            </w:pPr>
          </w:p>
        </w:tc>
        <w:tc>
          <w:tcPr>
            <w:tcW w:w="465" w:type="pct"/>
            <w:tcBorders>
              <w:left w:val="single" w:sz="8" w:space="0" w:color="auto"/>
              <w:bottom w:val="single" w:sz="8" w:space="0" w:color="auto"/>
              <w:right w:val="single" w:sz="8" w:space="0" w:color="auto"/>
            </w:tcBorders>
            <w:shd w:val="clear" w:color="auto" w:fill="DAE9F8"/>
            <w:noWrap/>
            <w:vAlign w:val="bottom"/>
            <w:hideMark/>
          </w:tcPr>
          <w:p w14:paraId="50F92717" w14:textId="1013ECC9" w:rsidR="00BA4C63" w:rsidRPr="00D4396B" w:rsidRDefault="0056539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A.PO3</w:t>
            </w:r>
          </w:p>
        </w:tc>
        <w:tc>
          <w:tcPr>
            <w:tcW w:w="743" w:type="pct"/>
            <w:tcBorders>
              <w:left w:val="single" w:sz="8" w:space="0" w:color="auto"/>
              <w:bottom w:val="single" w:sz="8" w:space="0" w:color="auto"/>
              <w:right w:val="single" w:sz="8" w:space="0" w:color="auto"/>
            </w:tcBorders>
            <w:shd w:val="clear" w:color="auto" w:fill="DAE9F8"/>
            <w:noWrap/>
            <w:vAlign w:val="center"/>
            <w:hideMark/>
          </w:tcPr>
          <w:p w14:paraId="015D6D4F"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1.00</w:t>
            </w:r>
          </w:p>
        </w:tc>
        <w:tc>
          <w:tcPr>
            <w:tcW w:w="590" w:type="pct"/>
            <w:tcBorders>
              <w:left w:val="single" w:sz="8" w:space="0" w:color="auto"/>
              <w:bottom w:val="single" w:sz="8" w:space="0" w:color="auto"/>
              <w:right w:val="single" w:sz="8" w:space="0" w:color="auto"/>
            </w:tcBorders>
            <w:shd w:val="clear" w:color="auto" w:fill="DAE9F8"/>
            <w:noWrap/>
            <w:vAlign w:val="center"/>
            <w:hideMark/>
          </w:tcPr>
          <w:p w14:paraId="78371BE7"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1.60</w:t>
            </w:r>
          </w:p>
        </w:tc>
        <w:tc>
          <w:tcPr>
            <w:tcW w:w="623" w:type="pct"/>
            <w:tcBorders>
              <w:left w:val="single" w:sz="8" w:space="0" w:color="auto"/>
              <w:bottom w:val="single" w:sz="8" w:space="0" w:color="auto"/>
              <w:right w:val="single" w:sz="8" w:space="0" w:color="auto"/>
            </w:tcBorders>
            <w:shd w:val="clear" w:color="auto" w:fill="DAE9F8"/>
            <w:noWrap/>
            <w:vAlign w:val="center"/>
            <w:hideMark/>
          </w:tcPr>
          <w:p w14:paraId="75367390"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1.15</w:t>
            </w:r>
          </w:p>
        </w:tc>
        <w:tc>
          <w:tcPr>
            <w:tcW w:w="953" w:type="pct"/>
            <w:tcBorders>
              <w:left w:val="single" w:sz="8" w:space="0" w:color="auto"/>
              <w:bottom w:val="single" w:sz="8" w:space="0" w:color="auto"/>
              <w:right w:val="single" w:sz="8" w:space="0" w:color="auto"/>
            </w:tcBorders>
            <w:shd w:val="clear" w:color="auto" w:fill="DAE9F8"/>
            <w:noWrap/>
            <w:vAlign w:val="center"/>
            <w:hideMark/>
          </w:tcPr>
          <w:p w14:paraId="44FC506D"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1.21</w:t>
            </w:r>
          </w:p>
        </w:tc>
      </w:tr>
      <w:tr w:rsidR="00294E5C" w:rsidRPr="00D4396B" w14:paraId="403C4507" w14:textId="77777777" w:rsidTr="00181BDA">
        <w:trPr>
          <w:trHeight w:val="338"/>
        </w:trPr>
        <w:tc>
          <w:tcPr>
            <w:tcW w:w="1625" w:type="pct"/>
            <w:vMerge w:val="restart"/>
            <w:tcBorders>
              <w:top w:val="single" w:sz="4" w:space="0" w:color="auto"/>
              <w:left w:val="single" w:sz="8" w:space="0" w:color="auto"/>
              <w:bottom w:val="single" w:sz="8" w:space="0" w:color="auto"/>
              <w:right w:val="single" w:sz="8" w:space="0" w:color="auto"/>
            </w:tcBorders>
            <w:shd w:val="clear" w:color="auto" w:fill="DAF2D0"/>
            <w:vAlign w:val="center"/>
            <w:hideMark/>
          </w:tcPr>
          <w:p w14:paraId="6A528391" w14:textId="488C0495" w:rsidR="00BA4C63" w:rsidRPr="00D4396B" w:rsidRDefault="00BA4C63" w:rsidP="00BA4C63">
            <w:pPr>
              <w:spacing w:after="0"/>
              <w:jc w:val="left"/>
              <w:rPr>
                <w:rFonts w:eastAsia="Times New Roman"/>
                <w:b/>
                <w:bCs/>
                <w:noProof/>
                <w:sz w:val="14"/>
                <w:szCs w:val="14"/>
                <w:lang w:val="en-US" w:eastAsia="de-DE"/>
              </w:rPr>
            </w:pPr>
            <w:r w:rsidRPr="00D4396B">
              <w:rPr>
                <w:rFonts w:eastAsia="Times New Roman"/>
                <w:b/>
                <w:noProof/>
                <w:sz w:val="14"/>
                <w:szCs w:val="14"/>
                <w:lang w:val="en-US" w:eastAsia="de-DE"/>
              </w:rPr>
              <w:t>B. Harmoni</w:t>
            </w:r>
            <w:r w:rsidR="00C8123F">
              <w:rPr>
                <w:rFonts w:eastAsia="Times New Roman"/>
                <w:b/>
                <w:noProof/>
                <w:sz w:val="14"/>
                <w:szCs w:val="14"/>
                <w:lang w:val="en-US" w:eastAsia="de-DE"/>
              </w:rPr>
              <w:t>s</w:t>
            </w:r>
            <w:r w:rsidRPr="00D4396B">
              <w:rPr>
                <w:rFonts w:eastAsia="Times New Roman"/>
                <w:b/>
                <w:noProof/>
                <w:sz w:val="14"/>
                <w:szCs w:val="14"/>
                <w:lang w:val="en-US" w:eastAsia="de-DE"/>
              </w:rPr>
              <w:t>ing Member State implementation of the EJR, including on allocation of cases </w:t>
            </w:r>
          </w:p>
        </w:tc>
        <w:tc>
          <w:tcPr>
            <w:tcW w:w="465" w:type="pct"/>
            <w:tcBorders>
              <w:top w:val="single" w:sz="8" w:space="0" w:color="auto"/>
              <w:left w:val="single" w:sz="8" w:space="0" w:color="auto"/>
              <w:right w:val="single" w:sz="8" w:space="0" w:color="auto"/>
            </w:tcBorders>
            <w:noWrap/>
            <w:vAlign w:val="center"/>
            <w:hideMark/>
          </w:tcPr>
          <w:p w14:paraId="7A8E310E" w14:textId="09B62634" w:rsidR="00BA4C63" w:rsidRPr="00D4396B" w:rsidRDefault="0056539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B.PO1</w:t>
            </w:r>
          </w:p>
        </w:tc>
        <w:tc>
          <w:tcPr>
            <w:tcW w:w="743" w:type="pct"/>
            <w:tcBorders>
              <w:top w:val="single" w:sz="8" w:space="0" w:color="auto"/>
              <w:left w:val="single" w:sz="8" w:space="0" w:color="auto"/>
              <w:right w:val="single" w:sz="8" w:space="0" w:color="auto"/>
            </w:tcBorders>
            <w:noWrap/>
            <w:vAlign w:val="center"/>
            <w:hideMark/>
          </w:tcPr>
          <w:p w14:paraId="3BFCEF0E"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0.25</w:t>
            </w:r>
          </w:p>
        </w:tc>
        <w:tc>
          <w:tcPr>
            <w:tcW w:w="590" w:type="pct"/>
            <w:tcBorders>
              <w:top w:val="single" w:sz="8" w:space="0" w:color="auto"/>
              <w:left w:val="single" w:sz="8" w:space="0" w:color="auto"/>
              <w:right w:val="single" w:sz="8" w:space="0" w:color="auto"/>
            </w:tcBorders>
            <w:noWrap/>
            <w:vAlign w:val="center"/>
            <w:hideMark/>
          </w:tcPr>
          <w:p w14:paraId="716BC76C"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0.25</w:t>
            </w:r>
          </w:p>
        </w:tc>
        <w:tc>
          <w:tcPr>
            <w:tcW w:w="623" w:type="pct"/>
            <w:tcBorders>
              <w:top w:val="single" w:sz="8" w:space="0" w:color="auto"/>
              <w:left w:val="single" w:sz="8" w:space="0" w:color="auto"/>
              <w:right w:val="single" w:sz="8" w:space="0" w:color="auto"/>
            </w:tcBorders>
            <w:noWrap/>
            <w:vAlign w:val="center"/>
            <w:hideMark/>
          </w:tcPr>
          <w:p w14:paraId="4ECE642F" w14:textId="5B54FECB"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w:t>
            </w:r>
            <w:r w:rsidR="003925DD">
              <w:rPr>
                <w:rFonts w:eastAsia="Times New Roman"/>
                <w:noProof/>
                <w:color w:val="000000" w:themeColor="text1"/>
                <w:sz w:val="14"/>
                <w:szCs w:val="14"/>
                <w:lang w:val="de-DE" w:eastAsia="de-DE"/>
              </w:rPr>
              <w:t>38</w:t>
            </w:r>
          </w:p>
        </w:tc>
        <w:tc>
          <w:tcPr>
            <w:tcW w:w="953" w:type="pct"/>
            <w:tcBorders>
              <w:top w:val="single" w:sz="8" w:space="0" w:color="auto"/>
              <w:left w:val="single" w:sz="8" w:space="0" w:color="auto"/>
              <w:right w:val="single" w:sz="8" w:space="0" w:color="auto"/>
            </w:tcBorders>
            <w:noWrap/>
            <w:vAlign w:val="center"/>
            <w:hideMark/>
          </w:tcPr>
          <w:p w14:paraId="5EE632EB" w14:textId="49B03C05"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w:t>
            </w:r>
            <w:r w:rsidR="003925DD">
              <w:rPr>
                <w:rFonts w:eastAsia="Times New Roman"/>
                <w:noProof/>
                <w:color w:val="000000" w:themeColor="text1"/>
                <w:sz w:val="14"/>
                <w:szCs w:val="14"/>
                <w:lang w:val="de-DE" w:eastAsia="de-DE"/>
              </w:rPr>
              <w:t>28</w:t>
            </w:r>
          </w:p>
        </w:tc>
      </w:tr>
      <w:tr w:rsidR="00A14BC0" w:rsidRPr="00D4396B" w14:paraId="5F2C2FC3" w14:textId="77777777" w:rsidTr="145E41EC">
        <w:trPr>
          <w:trHeight w:val="338"/>
        </w:trPr>
        <w:tc>
          <w:tcPr>
            <w:tcW w:w="1625" w:type="pct"/>
            <w:vMerge/>
            <w:vAlign w:val="center"/>
            <w:hideMark/>
          </w:tcPr>
          <w:p w14:paraId="6330E758" w14:textId="77777777" w:rsidR="00BA4C63" w:rsidRPr="00D4396B" w:rsidRDefault="00BA4C63" w:rsidP="00BA4C63">
            <w:pPr>
              <w:spacing w:after="0"/>
              <w:jc w:val="left"/>
              <w:rPr>
                <w:rFonts w:eastAsia="Times New Roman"/>
                <w:b/>
                <w:bCs/>
                <w:noProof/>
                <w:sz w:val="14"/>
                <w:szCs w:val="14"/>
                <w:lang w:val="de-DE" w:eastAsia="de-DE"/>
              </w:rPr>
            </w:pPr>
          </w:p>
        </w:tc>
        <w:tc>
          <w:tcPr>
            <w:tcW w:w="465" w:type="pct"/>
            <w:tcBorders>
              <w:left w:val="single" w:sz="8" w:space="0" w:color="auto"/>
              <w:right w:val="single" w:sz="8" w:space="0" w:color="auto"/>
            </w:tcBorders>
            <w:noWrap/>
            <w:vAlign w:val="center"/>
            <w:hideMark/>
          </w:tcPr>
          <w:p w14:paraId="662817F2" w14:textId="705A4D14" w:rsidR="00BA4C63" w:rsidRPr="00D4396B" w:rsidRDefault="00CA0078"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B.</w:t>
            </w:r>
            <w:r w:rsidR="00BA4C63" w:rsidRPr="00D4396B">
              <w:rPr>
                <w:rFonts w:eastAsia="Times New Roman"/>
                <w:noProof/>
                <w:color w:val="000000" w:themeColor="text1"/>
                <w:sz w:val="14"/>
                <w:szCs w:val="14"/>
                <w:lang w:val="de-DE" w:eastAsia="de-DE"/>
              </w:rPr>
              <w:t>PO2</w:t>
            </w:r>
          </w:p>
        </w:tc>
        <w:tc>
          <w:tcPr>
            <w:tcW w:w="743" w:type="pct"/>
            <w:tcBorders>
              <w:left w:val="single" w:sz="8" w:space="0" w:color="auto"/>
              <w:right w:val="single" w:sz="8" w:space="0" w:color="auto"/>
            </w:tcBorders>
            <w:noWrap/>
            <w:vAlign w:val="center"/>
            <w:hideMark/>
          </w:tcPr>
          <w:p w14:paraId="2B2B9E38"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0.83</w:t>
            </w:r>
          </w:p>
        </w:tc>
        <w:tc>
          <w:tcPr>
            <w:tcW w:w="590" w:type="pct"/>
            <w:tcBorders>
              <w:left w:val="single" w:sz="8" w:space="0" w:color="auto"/>
              <w:right w:val="single" w:sz="8" w:space="0" w:color="auto"/>
            </w:tcBorders>
            <w:noWrap/>
            <w:vAlign w:val="center"/>
            <w:hideMark/>
          </w:tcPr>
          <w:p w14:paraId="4361951F"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1.17</w:t>
            </w:r>
          </w:p>
        </w:tc>
        <w:tc>
          <w:tcPr>
            <w:tcW w:w="623" w:type="pct"/>
            <w:tcBorders>
              <w:left w:val="single" w:sz="8" w:space="0" w:color="auto"/>
              <w:right w:val="single" w:sz="8" w:space="0" w:color="auto"/>
            </w:tcBorders>
            <w:noWrap/>
            <w:vAlign w:val="center"/>
            <w:hideMark/>
          </w:tcPr>
          <w:p w14:paraId="11A2AABE"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1.25</w:t>
            </w:r>
          </w:p>
        </w:tc>
        <w:tc>
          <w:tcPr>
            <w:tcW w:w="953" w:type="pct"/>
            <w:tcBorders>
              <w:left w:val="single" w:sz="8" w:space="0" w:color="auto"/>
              <w:right w:val="single" w:sz="8" w:space="0" w:color="auto"/>
            </w:tcBorders>
            <w:noWrap/>
            <w:vAlign w:val="center"/>
            <w:hideMark/>
          </w:tcPr>
          <w:p w14:paraId="287D04C1"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1.02</w:t>
            </w:r>
          </w:p>
        </w:tc>
      </w:tr>
      <w:tr w:rsidR="004F02CA" w:rsidRPr="00D4396B" w14:paraId="7C1F5CE0" w14:textId="77777777" w:rsidTr="145E41EC">
        <w:trPr>
          <w:trHeight w:val="338"/>
        </w:trPr>
        <w:tc>
          <w:tcPr>
            <w:tcW w:w="1625" w:type="pct"/>
            <w:vMerge/>
            <w:vAlign w:val="center"/>
            <w:hideMark/>
          </w:tcPr>
          <w:p w14:paraId="3D3128E7" w14:textId="77777777" w:rsidR="00BA4C63" w:rsidRPr="00D4396B" w:rsidRDefault="00BA4C63" w:rsidP="00BA4C63">
            <w:pPr>
              <w:spacing w:after="0"/>
              <w:jc w:val="left"/>
              <w:rPr>
                <w:rFonts w:eastAsia="Times New Roman"/>
                <w:b/>
                <w:bCs/>
                <w:noProof/>
                <w:sz w:val="14"/>
                <w:szCs w:val="14"/>
                <w:lang w:val="de-DE" w:eastAsia="de-DE"/>
              </w:rPr>
            </w:pPr>
          </w:p>
        </w:tc>
        <w:tc>
          <w:tcPr>
            <w:tcW w:w="465" w:type="pct"/>
            <w:tcBorders>
              <w:left w:val="single" w:sz="8" w:space="0" w:color="auto"/>
              <w:bottom w:val="single" w:sz="8" w:space="0" w:color="auto"/>
              <w:right w:val="single" w:sz="8" w:space="0" w:color="auto"/>
            </w:tcBorders>
            <w:shd w:val="clear" w:color="auto" w:fill="DAF2D0"/>
            <w:noWrap/>
            <w:vAlign w:val="center"/>
            <w:hideMark/>
          </w:tcPr>
          <w:p w14:paraId="21FAF053" w14:textId="5E76A583" w:rsidR="00BA4C63" w:rsidRPr="00D4396B" w:rsidRDefault="00CA0078"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B.</w:t>
            </w:r>
            <w:r w:rsidR="00BA4C63" w:rsidRPr="00D4396B">
              <w:rPr>
                <w:rFonts w:eastAsia="Times New Roman"/>
                <w:b/>
                <w:noProof/>
                <w:color w:val="000000" w:themeColor="text1"/>
                <w:sz w:val="14"/>
                <w:szCs w:val="14"/>
                <w:lang w:val="de-DE" w:eastAsia="de-DE"/>
              </w:rPr>
              <w:t>PO3</w:t>
            </w:r>
          </w:p>
        </w:tc>
        <w:tc>
          <w:tcPr>
            <w:tcW w:w="743" w:type="pct"/>
            <w:tcBorders>
              <w:left w:val="single" w:sz="8" w:space="0" w:color="auto"/>
              <w:bottom w:val="single" w:sz="8" w:space="0" w:color="auto"/>
              <w:right w:val="single" w:sz="8" w:space="0" w:color="auto"/>
            </w:tcBorders>
            <w:shd w:val="clear" w:color="auto" w:fill="DAF2D0"/>
            <w:noWrap/>
            <w:vAlign w:val="center"/>
            <w:hideMark/>
          </w:tcPr>
          <w:p w14:paraId="32E261CA"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1.00</w:t>
            </w:r>
          </w:p>
        </w:tc>
        <w:tc>
          <w:tcPr>
            <w:tcW w:w="590" w:type="pct"/>
            <w:tcBorders>
              <w:left w:val="single" w:sz="8" w:space="0" w:color="auto"/>
              <w:bottom w:val="single" w:sz="8" w:space="0" w:color="auto"/>
              <w:right w:val="single" w:sz="8" w:space="0" w:color="auto"/>
            </w:tcBorders>
            <w:shd w:val="clear" w:color="auto" w:fill="DAF2D0"/>
            <w:noWrap/>
            <w:vAlign w:val="center"/>
            <w:hideMark/>
          </w:tcPr>
          <w:p w14:paraId="31CE60B8"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1.38</w:t>
            </w:r>
          </w:p>
        </w:tc>
        <w:tc>
          <w:tcPr>
            <w:tcW w:w="623" w:type="pct"/>
            <w:tcBorders>
              <w:left w:val="single" w:sz="8" w:space="0" w:color="auto"/>
              <w:bottom w:val="single" w:sz="8" w:space="0" w:color="auto"/>
              <w:right w:val="single" w:sz="8" w:space="0" w:color="auto"/>
            </w:tcBorders>
            <w:shd w:val="clear" w:color="auto" w:fill="DAF2D0"/>
            <w:noWrap/>
            <w:vAlign w:val="center"/>
            <w:hideMark/>
          </w:tcPr>
          <w:p w14:paraId="5561409E"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1.25</w:t>
            </w:r>
          </w:p>
        </w:tc>
        <w:tc>
          <w:tcPr>
            <w:tcW w:w="953" w:type="pct"/>
            <w:tcBorders>
              <w:left w:val="single" w:sz="8" w:space="0" w:color="auto"/>
              <w:bottom w:val="single" w:sz="8" w:space="0" w:color="auto"/>
              <w:right w:val="single" w:sz="8" w:space="0" w:color="auto"/>
            </w:tcBorders>
            <w:shd w:val="clear" w:color="auto" w:fill="DAF2D0"/>
            <w:noWrap/>
            <w:vAlign w:val="center"/>
            <w:hideMark/>
          </w:tcPr>
          <w:p w14:paraId="0EF8DC12"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1.16</w:t>
            </w:r>
          </w:p>
        </w:tc>
      </w:tr>
      <w:tr w:rsidR="00294E5C" w:rsidRPr="00D4396B" w14:paraId="2518587E" w14:textId="77777777" w:rsidTr="00181BDA">
        <w:trPr>
          <w:trHeight w:val="360"/>
        </w:trPr>
        <w:tc>
          <w:tcPr>
            <w:tcW w:w="1625" w:type="pct"/>
            <w:vMerge w:val="restart"/>
            <w:tcBorders>
              <w:top w:val="single" w:sz="4" w:space="0" w:color="auto"/>
              <w:left w:val="single" w:sz="8" w:space="0" w:color="auto"/>
              <w:bottom w:val="single" w:sz="8" w:space="0" w:color="auto"/>
              <w:right w:val="single" w:sz="8" w:space="0" w:color="auto"/>
            </w:tcBorders>
            <w:shd w:val="clear" w:color="auto" w:fill="FFF5EB"/>
            <w:vAlign w:val="center"/>
            <w:hideMark/>
          </w:tcPr>
          <w:p w14:paraId="5A3B025F" w14:textId="77777777" w:rsidR="00BA4C63" w:rsidRPr="00D4396B" w:rsidRDefault="00BA4C63" w:rsidP="00BA4C63">
            <w:pPr>
              <w:spacing w:after="0"/>
              <w:jc w:val="left"/>
              <w:rPr>
                <w:rFonts w:eastAsia="Times New Roman"/>
                <w:b/>
                <w:bCs/>
                <w:noProof/>
                <w:color w:val="000000"/>
                <w:sz w:val="14"/>
                <w:szCs w:val="14"/>
                <w:lang w:val="en-US" w:eastAsia="de-DE"/>
              </w:rPr>
            </w:pPr>
            <w:r w:rsidRPr="00D4396B">
              <w:rPr>
                <w:rFonts w:eastAsia="Times New Roman"/>
                <w:b/>
                <w:noProof/>
                <w:color w:val="000000" w:themeColor="text1"/>
                <w:sz w:val="14"/>
                <w:szCs w:val="14"/>
                <w:lang w:val="en-US" w:eastAsia="de-DE"/>
              </w:rPr>
              <w:t>C.</w:t>
            </w:r>
            <w:r w:rsidR="09C3A1E4" w:rsidRPr="145E41EC">
              <w:rPr>
                <w:rFonts w:eastAsia="Times New Roman"/>
                <w:b/>
                <w:bCs/>
                <w:noProof/>
                <w:color w:val="000000" w:themeColor="text1"/>
                <w:sz w:val="14"/>
                <w:szCs w:val="14"/>
                <w:lang w:val="en-US" w:eastAsia="de-DE"/>
              </w:rPr>
              <w:t> Establishing a</w:t>
            </w:r>
            <w:r w:rsidRPr="00D4396B">
              <w:rPr>
                <w:rFonts w:eastAsia="Times New Roman"/>
                <w:b/>
                <w:noProof/>
                <w:color w:val="000000" w:themeColor="text1"/>
                <w:sz w:val="14"/>
                <w:szCs w:val="14"/>
                <w:lang w:val="en-US" w:eastAsia="de-DE"/>
              </w:rPr>
              <w:t xml:space="preserve"> streamlined,</w:t>
            </w:r>
            <w:r w:rsidR="09C3A1E4" w:rsidRPr="145E41EC">
              <w:rPr>
                <w:rFonts w:eastAsia="Times New Roman"/>
                <w:b/>
                <w:bCs/>
                <w:noProof/>
                <w:color w:val="000000" w:themeColor="text1"/>
                <w:sz w:val="14"/>
                <w:szCs w:val="14"/>
                <w:lang w:val="en-US" w:eastAsia="de-DE"/>
              </w:rPr>
              <w:t> coherent and</w:t>
            </w:r>
            <w:r w:rsidRPr="00D4396B">
              <w:rPr>
                <w:rFonts w:eastAsia="Times New Roman"/>
                <w:b/>
                <w:noProof/>
                <w:color w:val="000000" w:themeColor="text1"/>
                <w:sz w:val="14"/>
                <w:szCs w:val="14"/>
                <w:lang w:val="en-US" w:eastAsia="de-DE"/>
              </w:rPr>
              <w:t xml:space="preserve"> role-clear governance system that accelerates decision-making </w:t>
            </w:r>
          </w:p>
        </w:tc>
        <w:tc>
          <w:tcPr>
            <w:tcW w:w="465" w:type="pct"/>
            <w:tcBorders>
              <w:top w:val="single" w:sz="8" w:space="0" w:color="auto"/>
              <w:left w:val="single" w:sz="8" w:space="0" w:color="auto"/>
              <w:right w:val="single" w:sz="8" w:space="0" w:color="auto"/>
            </w:tcBorders>
            <w:noWrap/>
            <w:vAlign w:val="center"/>
            <w:hideMark/>
          </w:tcPr>
          <w:p w14:paraId="24D6E03D" w14:textId="6830E5A5" w:rsidR="00BA4C63" w:rsidRPr="00D4396B" w:rsidRDefault="00CA0078"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C.</w:t>
            </w:r>
            <w:r w:rsidR="00BA4C63" w:rsidRPr="00D4396B">
              <w:rPr>
                <w:rFonts w:eastAsia="Times New Roman"/>
                <w:noProof/>
                <w:color w:val="000000" w:themeColor="text1"/>
                <w:sz w:val="14"/>
                <w:szCs w:val="14"/>
                <w:lang w:val="de-DE" w:eastAsia="de-DE"/>
              </w:rPr>
              <w:t>PO1</w:t>
            </w:r>
          </w:p>
        </w:tc>
        <w:tc>
          <w:tcPr>
            <w:tcW w:w="743" w:type="pct"/>
            <w:tcBorders>
              <w:top w:val="single" w:sz="8" w:space="0" w:color="auto"/>
              <w:left w:val="single" w:sz="8" w:space="0" w:color="auto"/>
              <w:right w:val="single" w:sz="8" w:space="0" w:color="auto"/>
            </w:tcBorders>
            <w:noWrap/>
            <w:vAlign w:val="center"/>
            <w:hideMark/>
          </w:tcPr>
          <w:p w14:paraId="626542F3"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0.50</w:t>
            </w:r>
          </w:p>
        </w:tc>
        <w:tc>
          <w:tcPr>
            <w:tcW w:w="590" w:type="pct"/>
            <w:tcBorders>
              <w:top w:val="single" w:sz="8" w:space="0" w:color="auto"/>
              <w:left w:val="single" w:sz="8" w:space="0" w:color="auto"/>
              <w:right w:val="single" w:sz="8" w:space="0" w:color="auto"/>
            </w:tcBorders>
            <w:noWrap/>
            <w:vAlign w:val="center"/>
            <w:hideMark/>
          </w:tcPr>
          <w:p w14:paraId="61C6465B"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0.50</w:t>
            </w:r>
          </w:p>
        </w:tc>
        <w:tc>
          <w:tcPr>
            <w:tcW w:w="623" w:type="pct"/>
            <w:tcBorders>
              <w:top w:val="single" w:sz="8" w:space="0" w:color="auto"/>
              <w:left w:val="single" w:sz="8" w:space="0" w:color="auto"/>
              <w:right w:val="single" w:sz="8" w:space="0" w:color="auto"/>
            </w:tcBorders>
            <w:noWrap/>
            <w:vAlign w:val="center"/>
            <w:hideMark/>
          </w:tcPr>
          <w:p w14:paraId="0E860859"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0.50</w:t>
            </w:r>
          </w:p>
        </w:tc>
        <w:tc>
          <w:tcPr>
            <w:tcW w:w="953" w:type="pct"/>
            <w:tcBorders>
              <w:top w:val="single" w:sz="8" w:space="0" w:color="auto"/>
              <w:left w:val="single" w:sz="8" w:space="0" w:color="auto"/>
              <w:right w:val="single" w:sz="8" w:space="0" w:color="auto"/>
            </w:tcBorders>
            <w:noWrap/>
            <w:vAlign w:val="center"/>
            <w:hideMark/>
          </w:tcPr>
          <w:p w14:paraId="46FAF867"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0.50</w:t>
            </w:r>
          </w:p>
        </w:tc>
      </w:tr>
      <w:tr w:rsidR="00A14BC0" w:rsidRPr="00D4396B" w14:paraId="4FC97DD1" w14:textId="77777777" w:rsidTr="145E41EC">
        <w:trPr>
          <w:trHeight w:val="360"/>
        </w:trPr>
        <w:tc>
          <w:tcPr>
            <w:tcW w:w="1625" w:type="pct"/>
            <w:vMerge/>
            <w:vAlign w:val="center"/>
            <w:hideMark/>
          </w:tcPr>
          <w:p w14:paraId="3207A1C8" w14:textId="77777777" w:rsidR="00BA4C63" w:rsidRPr="00D4396B" w:rsidRDefault="00BA4C63" w:rsidP="00BA4C63">
            <w:pPr>
              <w:spacing w:after="0"/>
              <w:jc w:val="left"/>
              <w:rPr>
                <w:rFonts w:eastAsia="Times New Roman"/>
                <w:b/>
                <w:bCs/>
                <w:noProof/>
                <w:color w:val="000000"/>
                <w:sz w:val="14"/>
                <w:szCs w:val="14"/>
                <w:lang w:val="de-DE" w:eastAsia="de-DE"/>
              </w:rPr>
            </w:pPr>
          </w:p>
        </w:tc>
        <w:tc>
          <w:tcPr>
            <w:tcW w:w="465" w:type="pct"/>
            <w:tcBorders>
              <w:left w:val="single" w:sz="8" w:space="0" w:color="auto"/>
              <w:right w:val="single" w:sz="8" w:space="0" w:color="auto"/>
            </w:tcBorders>
            <w:noWrap/>
            <w:vAlign w:val="center"/>
            <w:hideMark/>
          </w:tcPr>
          <w:p w14:paraId="69D63E7C" w14:textId="0D2B6AFB" w:rsidR="00BA4C63" w:rsidRPr="00D4396B" w:rsidRDefault="00CA0078"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C.</w:t>
            </w:r>
            <w:r w:rsidR="00BA4C63" w:rsidRPr="00D4396B">
              <w:rPr>
                <w:rFonts w:eastAsia="Times New Roman"/>
                <w:noProof/>
                <w:color w:val="000000" w:themeColor="text1"/>
                <w:sz w:val="14"/>
                <w:szCs w:val="14"/>
                <w:lang w:val="de-DE" w:eastAsia="de-DE"/>
              </w:rPr>
              <w:t>PO2</w:t>
            </w:r>
          </w:p>
        </w:tc>
        <w:tc>
          <w:tcPr>
            <w:tcW w:w="743" w:type="pct"/>
            <w:tcBorders>
              <w:left w:val="single" w:sz="8" w:space="0" w:color="auto"/>
              <w:right w:val="single" w:sz="8" w:space="0" w:color="auto"/>
            </w:tcBorders>
            <w:noWrap/>
            <w:vAlign w:val="center"/>
            <w:hideMark/>
          </w:tcPr>
          <w:p w14:paraId="5B280A2A"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1.25</w:t>
            </w:r>
          </w:p>
        </w:tc>
        <w:tc>
          <w:tcPr>
            <w:tcW w:w="590" w:type="pct"/>
            <w:tcBorders>
              <w:left w:val="single" w:sz="8" w:space="0" w:color="auto"/>
              <w:right w:val="single" w:sz="8" w:space="0" w:color="auto"/>
            </w:tcBorders>
            <w:noWrap/>
            <w:vAlign w:val="center"/>
            <w:hideMark/>
          </w:tcPr>
          <w:p w14:paraId="2A1AD569"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1.00</w:t>
            </w:r>
          </w:p>
        </w:tc>
        <w:tc>
          <w:tcPr>
            <w:tcW w:w="623" w:type="pct"/>
            <w:tcBorders>
              <w:left w:val="single" w:sz="8" w:space="0" w:color="auto"/>
              <w:right w:val="single" w:sz="8" w:space="0" w:color="auto"/>
            </w:tcBorders>
            <w:noWrap/>
            <w:vAlign w:val="center"/>
            <w:hideMark/>
          </w:tcPr>
          <w:p w14:paraId="6279E30D"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1.00</w:t>
            </w:r>
          </w:p>
        </w:tc>
        <w:tc>
          <w:tcPr>
            <w:tcW w:w="953" w:type="pct"/>
            <w:tcBorders>
              <w:left w:val="single" w:sz="8" w:space="0" w:color="auto"/>
              <w:right w:val="single" w:sz="8" w:space="0" w:color="auto"/>
            </w:tcBorders>
            <w:noWrap/>
            <w:vAlign w:val="center"/>
            <w:hideMark/>
          </w:tcPr>
          <w:p w14:paraId="7908559E"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1.13</w:t>
            </w:r>
          </w:p>
        </w:tc>
      </w:tr>
      <w:tr w:rsidR="004F02CA" w:rsidRPr="00D4396B" w14:paraId="6A198627" w14:textId="77777777" w:rsidTr="145E41EC">
        <w:trPr>
          <w:trHeight w:val="360"/>
        </w:trPr>
        <w:tc>
          <w:tcPr>
            <w:tcW w:w="1625" w:type="pct"/>
            <w:vMerge/>
            <w:vAlign w:val="center"/>
            <w:hideMark/>
          </w:tcPr>
          <w:p w14:paraId="7FEC98A8" w14:textId="77777777" w:rsidR="00BA4C63" w:rsidRPr="00D4396B" w:rsidRDefault="00BA4C63" w:rsidP="00BA4C63">
            <w:pPr>
              <w:spacing w:after="0"/>
              <w:jc w:val="left"/>
              <w:rPr>
                <w:rFonts w:eastAsia="Times New Roman"/>
                <w:b/>
                <w:bCs/>
                <w:noProof/>
                <w:color w:val="000000"/>
                <w:sz w:val="14"/>
                <w:szCs w:val="14"/>
                <w:lang w:val="de-DE" w:eastAsia="de-DE"/>
              </w:rPr>
            </w:pPr>
          </w:p>
        </w:tc>
        <w:tc>
          <w:tcPr>
            <w:tcW w:w="465" w:type="pct"/>
            <w:tcBorders>
              <w:left w:val="single" w:sz="8" w:space="0" w:color="auto"/>
              <w:bottom w:val="single" w:sz="8" w:space="0" w:color="auto"/>
              <w:right w:val="single" w:sz="8" w:space="0" w:color="auto"/>
            </w:tcBorders>
            <w:shd w:val="clear" w:color="auto" w:fill="FFF5EB"/>
            <w:vAlign w:val="center"/>
            <w:hideMark/>
          </w:tcPr>
          <w:p w14:paraId="32A96E27" w14:textId="09EB7F1E" w:rsidR="00BA4C63" w:rsidRPr="00D4396B" w:rsidRDefault="00CA0078"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C.</w:t>
            </w:r>
            <w:r w:rsidR="00BA4C63" w:rsidRPr="00D4396B">
              <w:rPr>
                <w:rFonts w:eastAsia="Times New Roman"/>
                <w:b/>
                <w:noProof/>
                <w:color w:val="000000" w:themeColor="text1"/>
                <w:sz w:val="14"/>
                <w:szCs w:val="14"/>
                <w:lang w:val="de-DE" w:eastAsia="de-DE"/>
              </w:rPr>
              <w:t>PO3</w:t>
            </w:r>
          </w:p>
        </w:tc>
        <w:tc>
          <w:tcPr>
            <w:tcW w:w="743" w:type="pct"/>
            <w:tcBorders>
              <w:left w:val="single" w:sz="8" w:space="0" w:color="auto"/>
              <w:bottom w:val="single" w:sz="8" w:space="0" w:color="auto"/>
              <w:right w:val="single" w:sz="8" w:space="0" w:color="auto"/>
            </w:tcBorders>
            <w:shd w:val="clear" w:color="auto" w:fill="FFF5EB"/>
            <w:vAlign w:val="center"/>
            <w:hideMark/>
          </w:tcPr>
          <w:p w14:paraId="28F3913B"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2.75</w:t>
            </w:r>
          </w:p>
        </w:tc>
        <w:tc>
          <w:tcPr>
            <w:tcW w:w="590" w:type="pct"/>
            <w:tcBorders>
              <w:left w:val="single" w:sz="8" w:space="0" w:color="auto"/>
              <w:bottom w:val="single" w:sz="8" w:space="0" w:color="auto"/>
              <w:right w:val="single" w:sz="8" w:space="0" w:color="auto"/>
            </w:tcBorders>
            <w:shd w:val="clear" w:color="auto" w:fill="FFF5EB"/>
            <w:vAlign w:val="center"/>
            <w:hideMark/>
          </w:tcPr>
          <w:p w14:paraId="23174DB7"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2.50</w:t>
            </w:r>
          </w:p>
        </w:tc>
        <w:tc>
          <w:tcPr>
            <w:tcW w:w="623" w:type="pct"/>
            <w:tcBorders>
              <w:left w:val="single" w:sz="8" w:space="0" w:color="auto"/>
              <w:bottom w:val="single" w:sz="8" w:space="0" w:color="auto"/>
              <w:right w:val="single" w:sz="8" w:space="0" w:color="auto"/>
            </w:tcBorders>
            <w:shd w:val="clear" w:color="auto" w:fill="FFF5EB"/>
            <w:vAlign w:val="center"/>
            <w:hideMark/>
          </w:tcPr>
          <w:p w14:paraId="500D31AF"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2.00</w:t>
            </w:r>
          </w:p>
        </w:tc>
        <w:tc>
          <w:tcPr>
            <w:tcW w:w="953" w:type="pct"/>
            <w:tcBorders>
              <w:left w:val="single" w:sz="8" w:space="0" w:color="auto"/>
              <w:bottom w:val="single" w:sz="8" w:space="0" w:color="auto"/>
              <w:right w:val="single" w:sz="8" w:space="0" w:color="auto"/>
            </w:tcBorders>
            <w:shd w:val="clear" w:color="auto" w:fill="FFF5EB"/>
            <w:vAlign w:val="center"/>
            <w:hideMark/>
          </w:tcPr>
          <w:p w14:paraId="2537D600" w14:textId="77777777" w:rsidR="00BA4C63" w:rsidRPr="00D4396B" w:rsidRDefault="00BA4C63" w:rsidP="00BA4C63">
            <w:pPr>
              <w:spacing w:after="0"/>
              <w:jc w:val="center"/>
              <w:rPr>
                <w:rFonts w:eastAsia="Times New Roman"/>
                <w:b/>
                <w:bCs/>
                <w:noProof/>
                <w:color w:val="000000"/>
                <w:sz w:val="14"/>
                <w:szCs w:val="14"/>
                <w:lang w:val="de-DE" w:eastAsia="de-DE"/>
              </w:rPr>
            </w:pPr>
            <w:r w:rsidRPr="00D4396B">
              <w:rPr>
                <w:rFonts w:eastAsia="Times New Roman"/>
                <w:b/>
                <w:noProof/>
                <w:color w:val="000000" w:themeColor="text1"/>
                <w:sz w:val="14"/>
                <w:szCs w:val="14"/>
                <w:lang w:val="de-DE" w:eastAsia="de-DE"/>
              </w:rPr>
              <w:t>2.53</w:t>
            </w:r>
          </w:p>
        </w:tc>
      </w:tr>
      <w:tr w:rsidR="00294E5C" w:rsidRPr="00D4396B" w14:paraId="2FBDB646" w14:textId="77777777" w:rsidTr="00181BDA">
        <w:trPr>
          <w:trHeight w:val="338"/>
        </w:trPr>
        <w:tc>
          <w:tcPr>
            <w:tcW w:w="1625" w:type="pct"/>
            <w:vMerge w:val="restart"/>
            <w:tcBorders>
              <w:top w:val="single" w:sz="4" w:space="0" w:color="auto"/>
              <w:left w:val="single" w:sz="8" w:space="0" w:color="auto"/>
              <w:bottom w:val="single" w:sz="8" w:space="0" w:color="auto"/>
              <w:right w:val="single" w:sz="8" w:space="0" w:color="auto"/>
            </w:tcBorders>
            <w:shd w:val="clear" w:color="auto" w:fill="EBF8F8"/>
            <w:vAlign w:val="center"/>
            <w:hideMark/>
          </w:tcPr>
          <w:p w14:paraId="0355D73A" w14:textId="7C1A76C6" w:rsidR="00BA4C63" w:rsidRPr="00D4396B" w:rsidRDefault="000E0A78" w:rsidP="00BA4C63">
            <w:pPr>
              <w:spacing w:after="0"/>
              <w:jc w:val="left"/>
              <w:rPr>
                <w:rFonts w:eastAsia="Times New Roman"/>
                <w:b/>
                <w:bCs/>
                <w:noProof/>
                <w:sz w:val="14"/>
                <w:szCs w:val="14"/>
                <w:lang w:val="en-US" w:eastAsia="de-DE"/>
              </w:rPr>
            </w:pPr>
            <w:r w:rsidRPr="00D4396B">
              <w:rPr>
                <w:rFonts w:eastAsia="Times New Roman"/>
                <w:b/>
                <w:noProof/>
                <w:sz w:val="14"/>
                <w:szCs w:val="14"/>
                <w:lang w:val="en-US" w:eastAsia="de-DE"/>
              </w:rPr>
              <w:t>D</w:t>
            </w:r>
            <w:r w:rsidR="00BA4C63" w:rsidRPr="00D4396B">
              <w:rPr>
                <w:rFonts w:eastAsia="Times New Roman"/>
                <w:b/>
                <w:noProof/>
                <w:sz w:val="14"/>
                <w:szCs w:val="14"/>
                <w:lang w:val="en-US" w:eastAsia="de-DE"/>
              </w:rPr>
              <w:t>. Fostering and strengthening structured operational cooperation with Europol </w:t>
            </w:r>
          </w:p>
        </w:tc>
        <w:tc>
          <w:tcPr>
            <w:tcW w:w="465" w:type="pct"/>
            <w:tcBorders>
              <w:top w:val="single" w:sz="8" w:space="0" w:color="auto"/>
              <w:left w:val="single" w:sz="8" w:space="0" w:color="auto"/>
              <w:right w:val="single" w:sz="8" w:space="0" w:color="auto"/>
            </w:tcBorders>
            <w:noWrap/>
            <w:vAlign w:val="center"/>
            <w:hideMark/>
          </w:tcPr>
          <w:p w14:paraId="0F2E8BD6" w14:textId="1E4B8A49" w:rsidR="00BA4C63" w:rsidRPr="00D4396B" w:rsidRDefault="00547931"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D</w:t>
            </w:r>
            <w:r w:rsidR="00784F9F" w:rsidRPr="00D4396B">
              <w:rPr>
                <w:rFonts w:eastAsia="Times New Roman"/>
                <w:noProof/>
                <w:color w:val="000000" w:themeColor="text1"/>
                <w:sz w:val="14"/>
                <w:szCs w:val="14"/>
                <w:lang w:val="de-DE" w:eastAsia="de-DE"/>
              </w:rPr>
              <w:t>.</w:t>
            </w:r>
            <w:r w:rsidR="00BA4C63" w:rsidRPr="00D4396B">
              <w:rPr>
                <w:rFonts w:eastAsia="Times New Roman"/>
                <w:noProof/>
                <w:color w:val="000000" w:themeColor="text1"/>
                <w:sz w:val="14"/>
                <w:szCs w:val="14"/>
                <w:lang w:val="de-DE" w:eastAsia="de-DE"/>
              </w:rPr>
              <w:t>PO1</w:t>
            </w:r>
          </w:p>
        </w:tc>
        <w:tc>
          <w:tcPr>
            <w:tcW w:w="743" w:type="pct"/>
            <w:tcBorders>
              <w:top w:val="single" w:sz="8" w:space="0" w:color="auto"/>
              <w:left w:val="single" w:sz="8" w:space="0" w:color="auto"/>
              <w:right w:val="single" w:sz="8" w:space="0" w:color="auto"/>
            </w:tcBorders>
            <w:noWrap/>
            <w:vAlign w:val="center"/>
            <w:hideMark/>
          </w:tcPr>
          <w:p w14:paraId="07B75A53"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0.25</w:t>
            </w:r>
          </w:p>
        </w:tc>
        <w:tc>
          <w:tcPr>
            <w:tcW w:w="590" w:type="pct"/>
            <w:tcBorders>
              <w:top w:val="single" w:sz="8" w:space="0" w:color="auto"/>
              <w:left w:val="single" w:sz="8" w:space="0" w:color="auto"/>
              <w:right w:val="single" w:sz="8" w:space="0" w:color="auto"/>
            </w:tcBorders>
            <w:noWrap/>
            <w:vAlign w:val="center"/>
            <w:hideMark/>
          </w:tcPr>
          <w:p w14:paraId="2010E3DE"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0.50</w:t>
            </w:r>
          </w:p>
        </w:tc>
        <w:tc>
          <w:tcPr>
            <w:tcW w:w="623" w:type="pct"/>
            <w:tcBorders>
              <w:top w:val="single" w:sz="8" w:space="0" w:color="auto"/>
              <w:left w:val="single" w:sz="8" w:space="0" w:color="auto"/>
              <w:right w:val="single" w:sz="8" w:space="0" w:color="auto"/>
            </w:tcBorders>
            <w:noWrap/>
            <w:vAlign w:val="center"/>
            <w:hideMark/>
          </w:tcPr>
          <w:p w14:paraId="43027A97"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0.75</w:t>
            </w:r>
          </w:p>
        </w:tc>
        <w:tc>
          <w:tcPr>
            <w:tcW w:w="953" w:type="pct"/>
            <w:tcBorders>
              <w:top w:val="single" w:sz="8" w:space="0" w:color="auto"/>
              <w:left w:val="single" w:sz="8" w:space="0" w:color="auto"/>
              <w:right w:val="single" w:sz="8" w:space="0" w:color="auto"/>
            </w:tcBorders>
            <w:noWrap/>
            <w:vAlign w:val="center"/>
            <w:hideMark/>
          </w:tcPr>
          <w:p w14:paraId="5125BC82"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0.43</w:t>
            </w:r>
          </w:p>
        </w:tc>
      </w:tr>
      <w:tr w:rsidR="00A14BC0" w:rsidRPr="00D4396B" w14:paraId="0509ABEA" w14:textId="77777777" w:rsidTr="145E41EC">
        <w:trPr>
          <w:trHeight w:val="338"/>
        </w:trPr>
        <w:tc>
          <w:tcPr>
            <w:tcW w:w="1625" w:type="pct"/>
            <w:vMerge/>
            <w:vAlign w:val="center"/>
            <w:hideMark/>
          </w:tcPr>
          <w:p w14:paraId="1C065640" w14:textId="77777777" w:rsidR="00BA4C63" w:rsidRPr="00D4396B" w:rsidRDefault="00BA4C63" w:rsidP="00BA4C63">
            <w:pPr>
              <w:spacing w:after="0"/>
              <w:jc w:val="left"/>
              <w:rPr>
                <w:rFonts w:eastAsia="Times New Roman"/>
                <w:b/>
                <w:bCs/>
                <w:noProof/>
                <w:sz w:val="14"/>
                <w:szCs w:val="14"/>
                <w:lang w:val="de-DE" w:eastAsia="de-DE"/>
              </w:rPr>
            </w:pPr>
          </w:p>
        </w:tc>
        <w:tc>
          <w:tcPr>
            <w:tcW w:w="465" w:type="pct"/>
            <w:tcBorders>
              <w:left w:val="single" w:sz="8" w:space="0" w:color="auto"/>
              <w:right w:val="single" w:sz="8" w:space="0" w:color="auto"/>
            </w:tcBorders>
            <w:noWrap/>
            <w:vAlign w:val="center"/>
            <w:hideMark/>
          </w:tcPr>
          <w:p w14:paraId="3A279F48" w14:textId="5304CBD7" w:rsidR="00BA4C63" w:rsidRPr="00D4396B" w:rsidRDefault="00A80DD4"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D</w:t>
            </w:r>
            <w:r w:rsidR="000B6AB6" w:rsidRPr="00D4396B">
              <w:rPr>
                <w:rFonts w:eastAsia="Times New Roman"/>
                <w:noProof/>
                <w:color w:val="000000" w:themeColor="text1"/>
                <w:sz w:val="14"/>
                <w:szCs w:val="14"/>
                <w:lang w:val="de-DE" w:eastAsia="de-DE"/>
              </w:rPr>
              <w:t>.</w:t>
            </w:r>
            <w:r w:rsidR="00BA4C63" w:rsidRPr="00D4396B">
              <w:rPr>
                <w:rFonts w:eastAsia="Times New Roman"/>
                <w:noProof/>
                <w:color w:val="000000" w:themeColor="text1"/>
                <w:sz w:val="14"/>
                <w:szCs w:val="14"/>
                <w:lang w:val="de-DE" w:eastAsia="de-DE"/>
              </w:rPr>
              <w:t>PO2</w:t>
            </w:r>
          </w:p>
        </w:tc>
        <w:tc>
          <w:tcPr>
            <w:tcW w:w="743" w:type="pct"/>
            <w:tcBorders>
              <w:left w:val="single" w:sz="8" w:space="0" w:color="auto"/>
              <w:right w:val="single" w:sz="8" w:space="0" w:color="auto"/>
            </w:tcBorders>
            <w:noWrap/>
            <w:vAlign w:val="center"/>
            <w:hideMark/>
          </w:tcPr>
          <w:p w14:paraId="1D165251"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1.00</w:t>
            </w:r>
          </w:p>
        </w:tc>
        <w:tc>
          <w:tcPr>
            <w:tcW w:w="590" w:type="pct"/>
            <w:tcBorders>
              <w:left w:val="single" w:sz="8" w:space="0" w:color="auto"/>
              <w:right w:val="single" w:sz="8" w:space="0" w:color="auto"/>
            </w:tcBorders>
            <w:noWrap/>
            <w:vAlign w:val="center"/>
            <w:hideMark/>
          </w:tcPr>
          <w:p w14:paraId="7C60BA00"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1.38</w:t>
            </w:r>
          </w:p>
        </w:tc>
        <w:tc>
          <w:tcPr>
            <w:tcW w:w="623" w:type="pct"/>
            <w:tcBorders>
              <w:left w:val="single" w:sz="8" w:space="0" w:color="auto"/>
              <w:right w:val="single" w:sz="8" w:space="0" w:color="auto"/>
            </w:tcBorders>
            <w:noWrap/>
            <w:vAlign w:val="center"/>
            <w:hideMark/>
          </w:tcPr>
          <w:p w14:paraId="25CC8444"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1.56</w:t>
            </w:r>
          </w:p>
        </w:tc>
        <w:tc>
          <w:tcPr>
            <w:tcW w:w="953" w:type="pct"/>
            <w:tcBorders>
              <w:left w:val="single" w:sz="8" w:space="0" w:color="auto"/>
              <w:right w:val="single" w:sz="8" w:space="0" w:color="auto"/>
            </w:tcBorders>
            <w:noWrap/>
            <w:vAlign w:val="center"/>
            <w:hideMark/>
          </w:tcPr>
          <w:p w14:paraId="31FAFEB1"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1.23</w:t>
            </w:r>
          </w:p>
        </w:tc>
      </w:tr>
      <w:tr w:rsidR="004F02CA" w:rsidRPr="00D4396B" w14:paraId="27B6ED97" w14:textId="77777777" w:rsidTr="145E41EC">
        <w:trPr>
          <w:trHeight w:val="338"/>
        </w:trPr>
        <w:tc>
          <w:tcPr>
            <w:tcW w:w="1625" w:type="pct"/>
            <w:vMerge/>
            <w:vAlign w:val="center"/>
            <w:hideMark/>
          </w:tcPr>
          <w:p w14:paraId="5F14DACA" w14:textId="77777777" w:rsidR="00BA4C63" w:rsidRPr="00D4396B" w:rsidRDefault="00BA4C63" w:rsidP="00BA4C63">
            <w:pPr>
              <w:spacing w:after="0"/>
              <w:jc w:val="left"/>
              <w:rPr>
                <w:rFonts w:eastAsia="Times New Roman"/>
                <w:b/>
                <w:bCs/>
                <w:noProof/>
                <w:sz w:val="14"/>
                <w:szCs w:val="14"/>
                <w:lang w:val="de-DE" w:eastAsia="de-DE"/>
              </w:rPr>
            </w:pPr>
          </w:p>
        </w:tc>
        <w:tc>
          <w:tcPr>
            <w:tcW w:w="465" w:type="pct"/>
            <w:tcBorders>
              <w:left w:val="single" w:sz="8" w:space="0" w:color="auto"/>
              <w:bottom w:val="single" w:sz="8" w:space="0" w:color="auto"/>
              <w:right w:val="single" w:sz="8" w:space="0" w:color="auto"/>
            </w:tcBorders>
            <w:shd w:val="clear" w:color="auto" w:fill="EBF8F8"/>
            <w:vAlign w:val="center"/>
            <w:hideMark/>
          </w:tcPr>
          <w:p w14:paraId="3E1A6CB9" w14:textId="7A0CCF38" w:rsidR="00BA4C63" w:rsidRPr="00D4396B" w:rsidRDefault="00A80DD4"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D</w:t>
            </w:r>
            <w:r w:rsidR="000B6AB6" w:rsidRPr="00D4396B">
              <w:rPr>
                <w:rFonts w:eastAsia="Times New Roman"/>
                <w:b/>
                <w:noProof/>
                <w:sz w:val="14"/>
                <w:szCs w:val="14"/>
                <w:lang w:val="de-DE" w:eastAsia="de-DE"/>
              </w:rPr>
              <w:t>.</w:t>
            </w:r>
            <w:r w:rsidR="00BA4C63" w:rsidRPr="00D4396B">
              <w:rPr>
                <w:rFonts w:eastAsia="Times New Roman"/>
                <w:b/>
                <w:noProof/>
                <w:sz w:val="14"/>
                <w:szCs w:val="14"/>
                <w:lang w:val="de-DE" w:eastAsia="de-DE"/>
              </w:rPr>
              <w:t>PO3</w:t>
            </w:r>
          </w:p>
        </w:tc>
        <w:tc>
          <w:tcPr>
            <w:tcW w:w="743" w:type="pct"/>
            <w:tcBorders>
              <w:left w:val="single" w:sz="8" w:space="0" w:color="auto"/>
              <w:bottom w:val="single" w:sz="8" w:space="0" w:color="auto"/>
              <w:right w:val="single" w:sz="8" w:space="0" w:color="auto"/>
            </w:tcBorders>
            <w:shd w:val="clear" w:color="auto" w:fill="EBF8F8"/>
            <w:vAlign w:val="center"/>
            <w:hideMark/>
          </w:tcPr>
          <w:p w14:paraId="16C9B9EB"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1.40</w:t>
            </w:r>
          </w:p>
        </w:tc>
        <w:tc>
          <w:tcPr>
            <w:tcW w:w="590" w:type="pct"/>
            <w:tcBorders>
              <w:left w:val="single" w:sz="8" w:space="0" w:color="auto"/>
              <w:bottom w:val="single" w:sz="8" w:space="0" w:color="auto"/>
              <w:right w:val="single" w:sz="8" w:space="0" w:color="auto"/>
            </w:tcBorders>
            <w:shd w:val="clear" w:color="auto" w:fill="EBF8F8"/>
            <w:vAlign w:val="center"/>
            <w:hideMark/>
          </w:tcPr>
          <w:p w14:paraId="53EE3580"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1.50</w:t>
            </w:r>
          </w:p>
        </w:tc>
        <w:tc>
          <w:tcPr>
            <w:tcW w:w="623" w:type="pct"/>
            <w:tcBorders>
              <w:left w:val="single" w:sz="8" w:space="0" w:color="auto"/>
              <w:bottom w:val="single" w:sz="8" w:space="0" w:color="auto"/>
              <w:right w:val="single" w:sz="8" w:space="0" w:color="auto"/>
            </w:tcBorders>
            <w:shd w:val="clear" w:color="auto" w:fill="EBF8F8"/>
            <w:vAlign w:val="center"/>
            <w:hideMark/>
          </w:tcPr>
          <w:p w14:paraId="74875420"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1.65</w:t>
            </w:r>
          </w:p>
        </w:tc>
        <w:tc>
          <w:tcPr>
            <w:tcW w:w="953" w:type="pct"/>
            <w:tcBorders>
              <w:left w:val="single" w:sz="8" w:space="0" w:color="auto"/>
              <w:bottom w:val="single" w:sz="8" w:space="0" w:color="auto"/>
              <w:right w:val="single" w:sz="8" w:space="0" w:color="auto"/>
            </w:tcBorders>
            <w:shd w:val="clear" w:color="auto" w:fill="EBF8F8"/>
            <w:vAlign w:val="center"/>
            <w:hideMark/>
          </w:tcPr>
          <w:p w14:paraId="06B34DA9"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1.48</w:t>
            </w:r>
          </w:p>
        </w:tc>
      </w:tr>
      <w:tr w:rsidR="00294E5C" w:rsidRPr="00D4396B" w14:paraId="30782A76" w14:textId="77777777" w:rsidTr="00181BDA">
        <w:trPr>
          <w:trHeight w:val="338"/>
        </w:trPr>
        <w:tc>
          <w:tcPr>
            <w:tcW w:w="1625" w:type="pct"/>
            <w:vMerge w:val="restart"/>
            <w:tcBorders>
              <w:top w:val="single" w:sz="4" w:space="0" w:color="auto"/>
              <w:left w:val="single" w:sz="8" w:space="0" w:color="auto"/>
              <w:bottom w:val="single" w:sz="8" w:space="0" w:color="auto"/>
              <w:right w:val="single" w:sz="8" w:space="0" w:color="auto"/>
            </w:tcBorders>
            <w:shd w:val="clear" w:color="auto" w:fill="FFEEEE"/>
            <w:vAlign w:val="center"/>
            <w:hideMark/>
          </w:tcPr>
          <w:p w14:paraId="2FC57F3E" w14:textId="5876888F" w:rsidR="00BA4C63" w:rsidRPr="00D4396B" w:rsidRDefault="00446D49" w:rsidP="00BA4C63">
            <w:pPr>
              <w:spacing w:after="0"/>
              <w:jc w:val="left"/>
              <w:rPr>
                <w:rFonts w:eastAsia="Times New Roman"/>
                <w:b/>
                <w:bCs/>
                <w:noProof/>
                <w:sz w:val="14"/>
                <w:szCs w:val="14"/>
                <w:lang w:val="en-US" w:eastAsia="de-DE"/>
              </w:rPr>
            </w:pPr>
            <w:r w:rsidRPr="00D4396B">
              <w:rPr>
                <w:rFonts w:eastAsia="Times New Roman"/>
                <w:b/>
                <w:noProof/>
                <w:sz w:val="14"/>
                <w:szCs w:val="14"/>
                <w:lang w:val="en-US" w:eastAsia="de-DE"/>
              </w:rPr>
              <w:t>E</w:t>
            </w:r>
            <w:r w:rsidR="00BA4C63" w:rsidRPr="00D4396B">
              <w:rPr>
                <w:rFonts w:eastAsia="Times New Roman"/>
                <w:b/>
                <w:noProof/>
                <w:sz w:val="14"/>
                <w:szCs w:val="14"/>
                <w:lang w:val="en-US" w:eastAsia="de-DE"/>
              </w:rPr>
              <w:t>. Promoting fully developed cooperation with the EPPO </w:t>
            </w:r>
          </w:p>
        </w:tc>
        <w:tc>
          <w:tcPr>
            <w:tcW w:w="465" w:type="pct"/>
            <w:tcBorders>
              <w:top w:val="single" w:sz="8" w:space="0" w:color="auto"/>
              <w:left w:val="single" w:sz="8" w:space="0" w:color="auto"/>
              <w:right w:val="single" w:sz="8" w:space="0" w:color="auto"/>
            </w:tcBorders>
            <w:noWrap/>
            <w:vAlign w:val="center"/>
            <w:hideMark/>
          </w:tcPr>
          <w:p w14:paraId="46AF28A4" w14:textId="5661C178" w:rsidR="00BA4C63" w:rsidRPr="00D4396B" w:rsidRDefault="00446D49"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E</w:t>
            </w:r>
            <w:r w:rsidR="000B6AB6" w:rsidRPr="00D4396B">
              <w:rPr>
                <w:rFonts w:eastAsia="Times New Roman"/>
                <w:noProof/>
                <w:color w:val="000000" w:themeColor="text1"/>
                <w:sz w:val="14"/>
                <w:szCs w:val="14"/>
                <w:lang w:val="de-DE" w:eastAsia="de-DE"/>
              </w:rPr>
              <w:t>.</w:t>
            </w:r>
            <w:r w:rsidR="00BA4C63" w:rsidRPr="00D4396B">
              <w:rPr>
                <w:rFonts w:eastAsia="Times New Roman"/>
                <w:noProof/>
                <w:color w:val="000000" w:themeColor="text1"/>
                <w:sz w:val="14"/>
                <w:szCs w:val="14"/>
                <w:lang w:val="de-DE" w:eastAsia="de-DE"/>
              </w:rPr>
              <w:t>PO1</w:t>
            </w:r>
          </w:p>
        </w:tc>
        <w:tc>
          <w:tcPr>
            <w:tcW w:w="743" w:type="pct"/>
            <w:tcBorders>
              <w:top w:val="single" w:sz="8" w:space="0" w:color="auto"/>
              <w:left w:val="single" w:sz="8" w:space="0" w:color="auto"/>
              <w:right w:val="single" w:sz="8" w:space="0" w:color="auto"/>
            </w:tcBorders>
            <w:noWrap/>
            <w:vAlign w:val="center"/>
            <w:hideMark/>
          </w:tcPr>
          <w:p w14:paraId="48B7017B"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0.25</w:t>
            </w:r>
          </w:p>
        </w:tc>
        <w:tc>
          <w:tcPr>
            <w:tcW w:w="590" w:type="pct"/>
            <w:tcBorders>
              <w:top w:val="single" w:sz="8" w:space="0" w:color="auto"/>
              <w:left w:val="single" w:sz="8" w:space="0" w:color="auto"/>
              <w:right w:val="single" w:sz="8" w:space="0" w:color="auto"/>
            </w:tcBorders>
            <w:noWrap/>
            <w:vAlign w:val="center"/>
            <w:hideMark/>
          </w:tcPr>
          <w:p w14:paraId="2FC0A6B9"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0.75</w:t>
            </w:r>
          </w:p>
        </w:tc>
        <w:tc>
          <w:tcPr>
            <w:tcW w:w="623" w:type="pct"/>
            <w:tcBorders>
              <w:top w:val="single" w:sz="8" w:space="0" w:color="auto"/>
              <w:left w:val="single" w:sz="8" w:space="0" w:color="auto"/>
              <w:right w:val="single" w:sz="8" w:space="0" w:color="auto"/>
            </w:tcBorders>
            <w:noWrap/>
            <w:vAlign w:val="center"/>
            <w:hideMark/>
          </w:tcPr>
          <w:p w14:paraId="0CC8D549"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0.75</w:t>
            </w:r>
          </w:p>
        </w:tc>
        <w:tc>
          <w:tcPr>
            <w:tcW w:w="953" w:type="pct"/>
            <w:tcBorders>
              <w:top w:val="single" w:sz="8" w:space="0" w:color="auto"/>
              <w:left w:val="single" w:sz="8" w:space="0" w:color="auto"/>
              <w:right w:val="single" w:sz="8" w:space="0" w:color="auto"/>
            </w:tcBorders>
            <w:noWrap/>
            <w:vAlign w:val="center"/>
            <w:hideMark/>
          </w:tcPr>
          <w:p w14:paraId="0FAB0F57"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0.50</w:t>
            </w:r>
          </w:p>
        </w:tc>
      </w:tr>
      <w:tr w:rsidR="004F02CA" w:rsidRPr="00D4396B" w14:paraId="548AF0E5" w14:textId="77777777" w:rsidTr="145E41EC">
        <w:trPr>
          <w:trHeight w:val="338"/>
        </w:trPr>
        <w:tc>
          <w:tcPr>
            <w:tcW w:w="1625" w:type="pct"/>
            <w:vMerge/>
            <w:vAlign w:val="center"/>
            <w:hideMark/>
          </w:tcPr>
          <w:p w14:paraId="0D01D101" w14:textId="77777777" w:rsidR="00BA4C63" w:rsidRPr="00D4396B" w:rsidRDefault="00BA4C63" w:rsidP="00BA4C63">
            <w:pPr>
              <w:spacing w:after="0"/>
              <w:jc w:val="left"/>
              <w:rPr>
                <w:rFonts w:eastAsia="Times New Roman"/>
                <w:b/>
                <w:bCs/>
                <w:noProof/>
                <w:sz w:val="14"/>
                <w:szCs w:val="14"/>
                <w:lang w:val="de-DE" w:eastAsia="de-DE"/>
              </w:rPr>
            </w:pPr>
          </w:p>
        </w:tc>
        <w:tc>
          <w:tcPr>
            <w:tcW w:w="465" w:type="pct"/>
            <w:tcBorders>
              <w:left w:val="single" w:sz="8" w:space="0" w:color="auto"/>
              <w:right w:val="single" w:sz="8" w:space="0" w:color="auto"/>
            </w:tcBorders>
            <w:shd w:val="clear" w:color="auto" w:fill="FFEEEE"/>
            <w:vAlign w:val="center"/>
            <w:hideMark/>
          </w:tcPr>
          <w:p w14:paraId="19BBC891" w14:textId="3F24D196" w:rsidR="00BA4C63" w:rsidRPr="00D4396B" w:rsidRDefault="00446D49"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E</w:t>
            </w:r>
            <w:r w:rsidR="000B6AB6" w:rsidRPr="00D4396B">
              <w:rPr>
                <w:rFonts w:eastAsia="Times New Roman"/>
                <w:b/>
                <w:noProof/>
                <w:sz w:val="14"/>
                <w:szCs w:val="14"/>
                <w:lang w:val="de-DE" w:eastAsia="de-DE"/>
              </w:rPr>
              <w:t>.</w:t>
            </w:r>
            <w:r w:rsidR="00BA4C63" w:rsidRPr="00D4396B">
              <w:rPr>
                <w:rFonts w:eastAsia="Times New Roman"/>
                <w:b/>
                <w:noProof/>
                <w:sz w:val="14"/>
                <w:szCs w:val="14"/>
                <w:lang w:val="de-DE" w:eastAsia="de-DE"/>
              </w:rPr>
              <w:t>PO2</w:t>
            </w:r>
          </w:p>
        </w:tc>
        <w:tc>
          <w:tcPr>
            <w:tcW w:w="743" w:type="pct"/>
            <w:tcBorders>
              <w:left w:val="single" w:sz="8" w:space="0" w:color="auto"/>
              <w:right w:val="single" w:sz="8" w:space="0" w:color="auto"/>
            </w:tcBorders>
            <w:shd w:val="clear" w:color="auto" w:fill="FFEEEE"/>
            <w:vAlign w:val="center"/>
            <w:hideMark/>
          </w:tcPr>
          <w:p w14:paraId="540A14CD"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1.08</w:t>
            </w:r>
          </w:p>
        </w:tc>
        <w:tc>
          <w:tcPr>
            <w:tcW w:w="590" w:type="pct"/>
            <w:tcBorders>
              <w:left w:val="single" w:sz="8" w:space="0" w:color="auto"/>
              <w:right w:val="single" w:sz="8" w:space="0" w:color="auto"/>
            </w:tcBorders>
            <w:shd w:val="clear" w:color="auto" w:fill="FFEEEE"/>
            <w:vAlign w:val="center"/>
            <w:hideMark/>
          </w:tcPr>
          <w:p w14:paraId="21CCEA2B"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1.50</w:t>
            </w:r>
          </w:p>
        </w:tc>
        <w:tc>
          <w:tcPr>
            <w:tcW w:w="623" w:type="pct"/>
            <w:tcBorders>
              <w:left w:val="single" w:sz="8" w:space="0" w:color="auto"/>
              <w:right w:val="single" w:sz="8" w:space="0" w:color="auto"/>
            </w:tcBorders>
            <w:shd w:val="clear" w:color="auto" w:fill="FFEEEE"/>
            <w:vAlign w:val="center"/>
            <w:hideMark/>
          </w:tcPr>
          <w:p w14:paraId="4D404A76"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1.33</w:t>
            </w:r>
          </w:p>
        </w:tc>
        <w:tc>
          <w:tcPr>
            <w:tcW w:w="953" w:type="pct"/>
            <w:tcBorders>
              <w:left w:val="single" w:sz="8" w:space="0" w:color="auto"/>
              <w:right w:val="single" w:sz="8" w:space="0" w:color="auto"/>
            </w:tcBorders>
            <w:shd w:val="clear" w:color="auto" w:fill="FFEEEE"/>
            <w:vAlign w:val="center"/>
            <w:hideMark/>
          </w:tcPr>
          <w:p w14:paraId="36757EB7"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1.26</w:t>
            </w:r>
          </w:p>
        </w:tc>
      </w:tr>
      <w:tr w:rsidR="00A14BC0" w:rsidRPr="00D4396B" w14:paraId="1B727062" w14:textId="77777777" w:rsidTr="145E41EC">
        <w:trPr>
          <w:trHeight w:val="338"/>
        </w:trPr>
        <w:tc>
          <w:tcPr>
            <w:tcW w:w="1625" w:type="pct"/>
            <w:vMerge/>
            <w:vAlign w:val="center"/>
            <w:hideMark/>
          </w:tcPr>
          <w:p w14:paraId="714866CB" w14:textId="77777777" w:rsidR="00BA4C63" w:rsidRPr="00D4396B" w:rsidRDefault="00BA4C63" w:rsidP="00BA4C63">
            <w:pPr>
              <w:spacing w:after="0"/>
              <w:jc w:val="left"/>
              <w:rPr>
                <w:rFonts w:eastAsia="Times New Roman"/>
                <w:b/>
                <w:bCs/>
                <w:noProof/>
                <w:sz w:val="14"/>
                <w:szCs w:val="14"/>
                <w:lang w:val="de-DE" w:eastAsia="de-DE"/>
              </w:rPr>
            </w:pPr>
          </w:p>
        </w:tc>
        <w:tc>
          <w:tcPr>
            <w:tcW w:w="465" w:type="pct"/>
            <w:tcBorders>
              <w:left w:val="single" w:sz="8" w:space="0" w:color="auto"/>
              <w:bottom w:val="single" w:sz="8" w:space="0" w:color="auto"/>
              <w:right w:val="single" w:sz="8" w:space="0" w:color="auto"/>
            </w:tcBorders>
            <w:noWrap/>
            <w:vAlign w:val="center"/>
            <w:hideMark/>
          </w:tcPr>
          <w:p w14:paraId="019C5F47" w14:textId="02894515" w:rsidR="00BA4C63" w:rsidRPr="00D4396B" w:rsidRDefault="00446D49"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E</w:t>
            </w:r>
            <w:r w:rsidR="00BA1CD7" w:rsidRPr="00D4396B">
              <w:rPr>
                <w:rFonts w:eastAsia="Times New Roman"/>
                <w:noProof/>
                <w:color w:val="000000" w:themeColor="text1"/>
                <w:sz w:val="14"/>
                <w:szCs w:val="14"/>
                <w:lang w:val="de-DE" w:eastAsia="de-DE"/>
              </w:rPr>
              <w:t>.</w:t>
            </w:r>
            <w:r w:rsidR="00BA4C63" w:rsidRPr="00D4396B">
              <w:rPr>
                <w:rFonts w:eastAsia="Times New Roman"/>
                <w:noProof/>
                <w:color w:val="000000" w:themeColor="text1"/>
                <w:sz w:val="14"/>
                <w:szCs w:val="14"/>
                <w:lang w:val="de-DE" w:eastAsia="de-DE"/>
              </w:rPr>
              <w:t>PO3</w:t>
            </w:r>
          </w:p>
        </w:tc>
        <w:tc>
          <w:tcPr>
            <w:tcW w:w="743" w:type="pct"/>
            <w:tcBorders>
              <w:left w:val="single" w:sz="8" w:space="0" w:color="auto"/>
              <w:bottom w:val="single" w:sz="8" w:space="0" w:color="auto"/>
              <w:right w:val="single" w:sz="8" w:space="0" w:color="auto"/>
            </w:tcBorders>
            <w:noWrap/>
            <w:vAlign w:val="center"/>
            <w:hideMark/>
          </w:tcPr>
          <w:p w14:paraId="66FFDF10"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1.06</w:t>
            </w:r>
          </w:p>
        </w:tc>
        <w:tc>
          <w:tcPr>
            <w:tcW w:w="590" w:type="pct"/>
            <w:tcBorders>
              <w:left w:val="single" w:sz="8" w:space="0" w:color="auto"/>
              <w:bottom w:val="single" w:sz="8" w:space="0" w:color="auto"/>
              <w:right w:val="single" w:sz="8" w:space="0" w:color="auto"/>
            </w:tcBorders>
            <w:noWrap/>
            <w:vAlign w:val="center"/>
            <w:hideMark/>
          </w:tcPr>
          <w:p w14:paraId="011D5277"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1.31</w:t>
            </w:r>
          </w:p>
        </w:tc>
        <w:tc>
          <w:tcPr>
            <w:tcW w:w="623" w:type="pct"/>
            <w:tcBorders>
              <w:left w:val="single" w:sz="8" w:space="0" w:color="auto"/>
              <w:bottom w:val="single" w:sz="8" w:space="0" w:color="auto"/>
              <w:right w:val="single" w:sz="8" w:space="0" w:color="auto"/>
            </w:tcBorders>
            <w:noWrap/>
            <w:vAlign w:val="center"/>
            <w:hideMark/>
          </w:tcPr>
          <w:p w14:paraId="5CF16284"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1.31</w:t>
            </w:r>
          </w:p>
        </w:tc>
        <w:tc>
          <w:tcPr>
            <w:tcW w:w="953" w:type="pct"/>
            <w:tcBorders>
              <w:left w:val="single" w:sz="8" w:space="0" w:color="auto"/>
              <w:bottom w:val="single" w:sz="8" w:space="0" w:color="auto"/>
              <w:right w:val="single" w:sz="8" w:space="0" w:color="auto"/>
            </w:tcBorders>
            <w:noWrap/>
            <w:vAlign w:val="center"/>
            <w:hideMark/>
          </w:tcPr>
          <w:p w14:paraId="335D4024"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1.19</w:t>
            </w:r>
          </w:p>
        </w:tc>
      </w:tr>
      <w:tr w:rsidR="00294E5C" w:rsidRPr="00D4396B" w14:paraId="14675A71" w14:textId="77777777" w:rsidTr="00181BDA">
        <w:trPr>
          <w:trHeight w:val="338"/>
        </w:trPr>
        <w:tc>
          <w:tcPr>
            <w:tcW w:w="1625" w:type="pct"/>
            <w:vMerge w:val="restart"/>
            <w:tcBorders>
              <w:top w:val="single" w:sz="4" w:space="0" w:color="auto"/>
              <w:left w:val="single" w:sz="8" w:space="0" w:color="auto"/>
              <w:bottom w:val="single" w:sz="8" w:space="0" w:color="auto"/>
              <w:right w:val="single" w:sz="8" w:space="0" w:color="auto"/>
            </w:tcBorders>
            <w:shd w:val="clear" w:color="auto" w:fill="FFFAEB"/>
            <w:vAlign w:val="center"/>
            <w:hideMark/>
          </w:tcPr>
          <w:p w14:paraId="104E2823" w14:textId="672BE515" w:rsidR="00BA4C63" w:rsidRPr="00D4396B" w:rsidRDefault="00F21953" w:rsidP="00BA4C63">
            <w:pPr>
              <w:spacing w:after="0"/>
              <w:jc w:val="left"/>
              <w:rPr>
                <w:rFonts w:eastAsia="Times New Roman"/>
                <w:b/>
                <w:bCs/>
                <w:noProof/>
                <w:sz w:val="14"/>
                <w:szCs w:val="14"/>
                <w:lang w:val="en-US" w:eastAsia="de-DE"/>
              </w:rPr>
            </w:pPr>
            <w:r w:rsidRPr="00D4396B">
              <w:rPr>
                <w:rFonts w:eastAsia="Times New Roman"/>
                <w:b/>
                <w:noProof/>
                <w:sz w:val="14"/>
                <w:szCs w:val="14"/>
                <w:lang w:val="en-US" w:eastAsia="de-DE"/>
              </w:rPr>
              <w:t>F</w:t>
            </w:r>
            <w:r w:rsidR="00BA4C63" w:rsidRPr="00D4396B">
              <w:rPr>
                <w:rFonts w:eastAsia="Times New Roman"/>
                <w:b/>
                <w:noProof/>
                <w:sz w:val="14"/>
                <w:szCs w:val="14"/>
                <w:lang w:val="en-US" w:eastAsia="de-DE"/>
              </w:rPr>
              <w:t>. Consolidating cooperation with third countries and international organisations </w:t>
            </w:r>
          </w:p>
        </w:tc>
        <w:tc>
          <w:tcPr>
            <w:tcW w:w="465" w:type="pct"/>
            <w:tcBorders>
              <w:top w:val="single" w:sz="8" w:space="0" w:color="auto"/>
              <w:left w:val="single" w:sz="8" w:space="0" w:color="auto"/>
              <w:right w:val="single" w:sz="8" w:space="0" w:color="auto"/>
            </w:tcBorders>
            <w:noWrap/>
            <w:vAlign w:val="center"/>
            <w:hideMark/>
          </w:tcPr>
          <w:p w14:paraId="21667399" w14:textId="1A004826" w:rsidR="00BA4C63" w:rsidRPr="00D4396B" w:rsidRDefault="00F2195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F</w:t>
            </w:r>
            <w:r w:rsidR="00C459CB" w:rsidRPr="00D4396B">
              <w:rPr>
                <w:rFonts w:eastAsia="Times New Roman"/>
                <w:noProof/>
                <w:color w:val="000000" w:themeColor="text1"/>
                <w:sz w:val="14"/>
                <w:szCs w:val="14"/>
                <w:lang w:val="de-DE" w:eastAsia="de-DE"/>
              </w:rPr>
              <w:t>.</w:t>
            </w:r>
            <w:r w:rsidR="00BA4C63" w:rsidRPr="00D4396B">
              <w:rPr>
                <w:rFonts w:eastAsia="Times New Roman"/>
                <w:noProof/>
                <w:color w:val="000000" w:themeColor="text1"/>
                <w:sz w:val="14"/>
                <w:szCs w:val="14"/>
                <w:lang w:val="de-DE" w:eastAsia="de-DE"/>
              </w:rPr>
              <w:t>PO1</w:t>
            </w:r>
          </w:p>
        </w:tc>
        <w:tc>
          <w:tcPr>
            <w:tcW w:w="743" w:type="pct"/>
            <w:tcBorders>
              <w:top w:val="single" w:sz="8" w:space="0" w:color="auto"/>
              <w:left w:val="single" w:sz="8" w:space="0" w:color="auto"/>
              <w:right w:val="single" w:sz="8" w:space="0" w:color="auto"/>
            </w:tcBorders>
            <w:noWrap/>
            <w:vAlign w:val="center"/>
            <w:hideMark/>
          </w:tcPr>
          <w:p w14:paraId="726D86DA"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0.50</w:t>
            </w:r>
          </w:p>
        </w:tc>
        <w:tc>
          <w:tcPr>
            <w:tcW w:w="590" w:type="pct"/>
            <w:tcBorders>
              <w:top w:val="single" w:sz="8" w:space="0" w:color="auto"/>
              <w:left w:val="single" w:sz="8" w:space="0" w:color="auto"/>
              <w:right w:val="single" w:sz="8" w:space="0" w:color="auto"/>
            </w:tcBorders>
            <w:noWrap/>
            <w:vAlign w:val="center"/>
            <w:hideMark/>
          </w:tcPr>
          <w:p w14:paraId="6EDB43F7"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0.50</w:t>
            </w:r>
          </w:p>
        </w:tc>
        <w:tc>
          <w:tcPr>
            <w:tcW w:w="623" w:type="pct"/>
            <w:tcBorders>
              <w:top w:val="single" w:sz="8" w:space="0" w:color="auto"/>
              <w:left w:val="single" w:sz="8" w:space="0" w:color="auto"/>
              <w:right w:val="single" w:sz="8" w:space="0" w:color="auto"/>
            </w:tcBorders>
            <w:noWrap/>
            <w:vAlign w:val="center"/>
            <w:hideMark/>
          </w:tcPr>
          <w:p w14:paraId="6CCB54C9"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0.50</w:t>
            </w:r>
          </w:p>
        </w:tc>
        <w:tc>
          <w:tcPr>
            <w:tcW w:w="953" w:type="pct"/>
            <w:tcBorders>
              <w:top w:val="single" w:sz="8" w:space="0" w:color="auto"/>
              <w:left w:val="single" w:sz="8" w:space="0" w:color="auto"/>
              <w:right w:val="single" w:sz="8" w:space="0" w:color="auto"/>
            </w:tcBorders>
            <w:noWrap/>
            <w:vAlign w:val="center"/>
            <w:hideMark/>
          </w:tcPr>
          <w:p w14:paraId="4F809F2D"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0.50</w:t>
            </w:r>
          </w:p>
        </w:tc>
      </w:tr>
      <w:tr w:rsidR="004F02CA" w:rsidRPr="00D4396B" w14:paraId="44F1B730" w14:textId="77777777" w:rsidTr="145E41EC">
        <w:trPr>
          <w:trHeight w:val="338"/>
        </w:trPr>
        <w:tc>
          <w:tcPr>
            <w:tcW w:w="1625" w:type="pct"/>
            <w:vMerge/>
            <w:vAlign w:val="center"/>
            <w:hideMark/>
          </w:tcPr>
          <w:p w14:paraId="5C055367" w14:textId="77777777" w:rsidR="00BA4C63" w:rsidRPr="00D4396B" w:rsidRDefault="00BA4C63" w:rsidP="00BA4C63">
            <w:pPr>
              <w:spacing w:after="0"/>
              <w:jc w:val="left"/>
              <w:rPr>
                <w:rFonts w:eastAsia="Times New Roman"/>
                <w:b/>
                <w:bCs/>
                <w:noProof/>
                <w:sz w:val="14"/>
                <w:szCs w:val="14"/>
                <w:lang w:val="de-DE" w:eastAsia="de-DE"/>
              </w:rPr>
            </w:pPr>
          </w:p>
        </w:tc>
        <w:tc>
          <w:tcPr>
            <w:tcW w:w="465" w:type="pct"/>
            <w:tcBorders>
              <w:left w:val="single" w:sz="8" w:space="0" w:color="auto"/>
              <w:right w:val="single" w:sz="8" w:space="0" w:color="auto"/>
            </w:tcBorders>
            <w:shd w:val="clear" w:color="auto" w:fill="FFFAEB"/>
            <w:vAlign w:val="center"/>
            <w:hideMark/>
          </w:tcPr>
          <w:p w14:paraId="535D72A7" w14:textId="17DCAB68" w:rsidR="00BA4C63" w:rsidRPr="00D4396B" w:rsidRDefault="00F2195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F</w:t>
            </w:r>
            <w:r w:rsidR="00C459CB" w:rsidRPr="00D4396B">
              <w:rPr>
                <w:rFonts w:eastAsia="Times New Roman"/>
                <w:b/>
                <w:noProof/>
                <w:sz w:val="14"/>
                <w:szCs w:val="14"/>
                <w:lang w:val="de-DE" w:eastAsia="de-DE"/>
              </w:rPr>
              <w:t>.</w:t>
            </w:r>
            <w:r w:rsidR="00BA4C63" w:rsidRPr="00D4396B">
              <w:rPr>
                <w:rFonts w:eastAsia="Times New Roman"/>
                <w:b/>
                <w:noProof/>
                <w:sz w:val="14"/>
                <w:szCs w:val="14"/>
                <w:lang w:val="de-DE" w:eastAsia="de-DE"/>
              </w:rPr>
              <w:t>PO2</w:t>
            </w:r>
          </w:p>
        </w:tc>
        <w:tc>
          <w:tcPr>
            <w:tcW w:w="743" w:type="pct"/>
            <w:tcBorders>
              <w:left w:val="single" w:sz="8" w:space="0" w:color="auto"/>
              <w:right w:val="single" w:sz="8" w:space="0" w:color="auto"/>
            </w:tcBorders>
            <w:shd w:val="clear" w:color="auto" w:fill="FFFAEB"/>
            <w:vAlign w:val="center"/>
            <w:hideMark/>
          </w:tcPr>
          <w:p w14:paraId="43046183"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1.19</w:t>
            </w:r>
          </w:p>
        </w:tc>
        <w:tc>
          <w:tcPr>
            <w:tcW w:w="590" w:type="pct"/>
            <w:tcBorders>
              <w:left w:val="single" w:sz="8" w:space="0" w:color="auto"/>
              <w:right w:val="single" w:sz="8" w:space="0" w:color="auto"/>
            </w:tcBorders>
            <w:shd w:val="clear" w:color="auto" w:fill="FFFAEB"/>
            <w:vAlign w:val="center"/>
            <w:hideMark/>
          </w:tcPr>
          <w:p w14:paraId="1A1DA733"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0.88</w:t>
            </w:r>
          </w:p>
        </w:tc>
        <w:tc>
          <w:tcPr>
            <w:tcW w:w="623" w:type="pct"/>
            <w:tcBorders>
              <w:left w:val="single" w:sz="8" w:space="0" w:color="auto"/>
              <w:right w:val="single" w:sz="8" w:space="0" w:color="auto"/>
            </w:tcBorders>
            <w:shd w:val="clear" w:color="auto" w:fill="FFFAEB"/>
            <w:vAlign w:val="center"/>
            <w:hideMark/>
          </w:tcPr>
          <w:p w14:paraId="7EA40360"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0.69</w:t>
            </w:r>
          </w:p>
        </w:tc>
        <w:tc>
          <w:tcPr>
            <w:tcW w:w="953" w:type="pct"/>
            <w:tcBorders>
              <w:left w:val="single" w:sz="8" w:space="0" w:color="auto"/>
              <w:right w:val="single" w:sz="8" w:space="0" w:color="auto"/>
            </w:tcBorders>
            <w:shd w:val="clear" w:color="auto" w:fill="FFFAEB"/>
            <w:vAlign w:val="center"/>
            <w:hideMark/>
          </w:tcPr>
          <w:p w14:paraId="75226E63" w14:textId="77777777" w:rsidR="00BA4C63" w:rsidRPr="00D4396B" w:rsidRDefault="00BA4C63" w:rsidP="00BA4C63">
            <w:pPr>
              <w:spacing w:after="0"/>
              <w:jc w:val="center"/>
              <w:rPr>
                <w:rFonts w:eastAsia="Times New Roman"/>
                <w:b/>
                <w:bCs/>
                <w:noProof/>
                <w:sz w:val="14"/>
                <w:szCs w:val="14"/>
                <w:lang w:val="de-DE" w:eastAsia="de-DE"/>
              </w:rPr>
            </w:pPr>
            <w:r w:rsidRPr="00D4396B">
              <w:rPr>
                <w:rFonts w:eastAsia="Times New Roman"/>
                <w:b/>
                <w:noProof/>
                <w:sz w:val="14"/>
                <w:szCs w:val="14"/>
                <w:lang w:val="de-DE" w:eastAsia="de-DE"/>
              </w:rPr>
              <w:t>0.99</w:t>
            </w:r>
          </w:p>
        </w:tc>
      </w:tr>
      <w:tr w:rsidR="00A14BC0" w:rsidRPr="00D4396B" w14:paraId="7A36CF9E" w14:textId="77777777" w:rsidTr="145E41EC">
        <w:trPr>
          <w:trHeight w:val="338"/>
        </w:trPr>
        <w:tc>
          <w:tcPr>
            <w:tcW w:w="1625" w:type="pct"/>
            <w:vMerge/>
            <w:vAlign w:val="center"/>
            <w:hideMark/>
          </w:tcPr>
          <w:p w14:paraId="080D8395" w14:textId="77777777" w:rsidR="00BA4C63" w:rsidRPr="00D4396B" w:rsidRDefault="00BA4C63" w:rsidP="00BA4C63">
            <w:pPr>
              <w:spacing w:after="0"/>
              <w:jc w:val="left"/>
              <w:rPr>
                <w:rFonts w:eastAsia="Times New Roman"/>
                <w:b/>
                <w:bCs/>
                <w:noProof/>
                <w:sz w:val="14"/>
                <w:szCs w:val="14"/>
                <w:lang w:val="de-DE" w:eastAsia="de-DE"/>
              </w:rPr>
            </w:pPr>
          </w:p>
        </w:tc>
        <w:tc>
          <w:tcPr>
            <w:tcW w:w="465" w:type="pct"/>
            <w:tcBorders>
              <w:left w:val="single" w:sz="8" w:space="0" w:color="auto"/>
              <w:bottom w:val="single" w:sz="8" w:space="0" w:color="auto"/>
              <w:right w:val="single" w:sz="8" w:space="0" w:color="auto"/>
            </w:tcBorders>
            <w:noWrap/>
            <w:vAlign w:val="center"/>
            <w:hideMark/>
          </w:tcPr>
          <w:p w14:paraId="097DA820" w14:textId="07A860D8" w:rsidR="00BA4C63" w:rsidRPr="00D4396B" w:rsidRDefault="00F2195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F</w:t>
            </w:r>
            <w:r w:rsidR="00805ECF" w:rsidRPr="00D4396B">
              <w:rPr>
                <w:rFonts w:eastAsia="Times New Roman"/>
                <w:noProof/>
                <w:color w:val="000000" w:themeColor="text1"/>
                <w:sz w:val="14"/>
                <w:szCs w:val="14"/>
                <w:lang w:val="de-DE" w:eastAsia="de-DE"/>
              </w:rPr>
              <w:t>.</w:t>
            </w:r>
            <w:r w:rsidR="00BA4C63" w:rsidRPr="00D4396B">
              <w:rPr>
                <w:rFonts w:eastAsia="Times New Roman"/>
                <w:noProof/>
                <w:color w:val="000000" w:themeColor="text1"/>
                <w:sz w:val="14"/>
                <w:szCs w:val="14"/>
                <w:lang w:val="de-DE" w:eastAsia="de-DE"/>
              </w:rPr>
              <w:t>PO3</w:t>
            </w:r>
          </w:p>
        </w:tc>
        <w:tc>
          <w:tcPr>
            <w:tcW w:w="743" w:type="pct"/>
            <w:tcBorders>
              <w:left w:val="single" w:sz="8" w:space="0" w:color="auto"/>
              <w:bottom w:val="single" w:sz="8" w:space="0" w:color="auto"/>
              <w:right w:val="single" w:sz="8" w:space="0" w:color="auto"/>
            </w:tcBorders>
            <w:noWrap/>
            <w:vAlign w:val="center"/>
            <w:hideMark/>
          </w:tcPr>
          <w:p w14:paraId="34A7818F"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1.10</w:t>
            </w:r>
          </w:p>
        </w:tc>
        <w:tc>
          <w:tcPr>
            <w:tcW w:w="590" w:type="pct"/>
            <w:tcBorders>
              <w:left w:val="single" w:sz="8" w:space="0" w:color="auto"/>
              <w:bottom w:val="single" w:sz="8" w:space="0" w:color="auto"/>
              <w:right w:val="single" w:sz="8" w:space="0" w:color="auto"/>
            </w:tcBorders>
            <w:noWrap/>
            <w:vAlign w:val="center"/>
            <w:hideMark/>
          </w:tcPr>
          <w:p w14:paraId="19220BB1"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0.80</w:t>
            </w:r>
          </w:p>
        </w:tc>
        <w:tc>
          <w:tcPr>
            <w:tcW w:w="623" w:type="pct"/>
            <w:tcBorders>
              <w:left w:val="single" w:sz="8" w:space="0" w:color="auto"/>
              <w:bottom w:val="single" w:sz="8" w:space="0" w:color="auto"/>
              <w:right w:val="single" w:sz="8" w:space="0" w:color="auto"/>
            </w:tcBorders>
            <w:noWrap/>
            <w:vAlign w:val="center"/>
            <w:hideMark/>
          </w:tcPr>
          <w:p w14:paraId="4A273661"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0.70</w:t>
            </w:r>
          </w:p>
        </w:tc>
        <w:tc>
          <w:tcPr>
            <w:tcW w:w="953" w:type="pct"/>
            <w:tcBorders>
              <w:left w:val="single" w:sz="8" w:space="0" w:color="auto"/>
              <w:bottom w:val="single" w:sz="8" w:space="0" w:color="auto"/>
              <w:right w:val="single" w:sz="8" w:space="0" w:color="auto"/>
            </w:tcBorders>
            <w:noWrap/>
            <w:vAlign w:val="center"/>
            <w:hideMark/>
          </w:tcPr>
          <w:p w14:paraId="5D5E001A" w14:textId="77777777" w:rsidR="00BA4C63" w:rsidRPr="00D4396B" w:rsidRDefault="00BA4C63" w:rsidP="00BA4C63">
            <w:pPr>
              <w:spacing w:after="0"/>
              <w:jc w:val="center"/>
              <w:rPr>
                <w:rFonts w:eastAsia="Times New Roman"/>
                <w:noProof/>
                <w:color w:val="000000"/>
                <w:sz w:val="14"/>
                <w:szCs w:val="14"/>
                <w:lang w:val="de-DE" w:eastAsia="de-DE"/>
              </w:rPr>
            </w:pPr>
            <w:r w:rsidRPr="00D4396B">
              <w:rPr>
                <w:rFonts w:eastAsia="Times New Roman"/>
                <w:noProof/>
                <w:color w:val="000000" w:themeColor="text1"/>
                <w:sz w:val="14"/>
                <w:szCs w:val="14"/>
                <w:lang w:val="de-DE" w:eastAsia="de-DE"/>
              </w:rPr>
              <w:t>0.93</w:t>
            </w:r>
          </w:p>
        </w:tc>
      </w:tr>
    </w:tbl>
    <w:p w14:paraId="68092FD2" w14:textId="77777777" w:rsidR="00BA4C63" w:rsidRPr="00D4396B" w:rsidRDefault="00BA4C63" w:rsidP="003B0D3B">
      <w:pPr>
        <w:spacing w:after="120"/>
        <w:ind w:right="284"/>
        <w:rPr>
          <w:noProof/>
          <w:lang w:val="en-US"/>
        </w:rPr>
      </w:pPr>
    </w:p>
    <w:p w14:paraId="2BF8B3CB" w14:textId="4540D03F" w:rsidR="006B087E" w:rsidRPr="00D4396B" w:rsidRDefault="58827623" w:rsidP="00781830">
      <w:pPr>
        <w:pStyle w:val="Heading1"/>
        <w:rPr>
          <w:noProof/>
          <w:lang w:val="en-US"/>
        </w:rPr>
      </w:pPr>
      <w:bookmarkStart w:id="170" w:name="_Toc674354909"/>
      <w:bookmarkStart w:id="171" w:name="_Toc927920377"/>
      <w:bookmarkStart w:id="172" w:name="_Toc221260318"/>
      <w:bookmarkStart w:id="173" w:name="_Toc232176428"/>
      <w:r w:rsidRPr="00D4396B">
        <w:rPr>
          <w:noProof/>
        </w:rPr>
        <w:t>8</w:t>
      </w:r>
      <w:r w:rsidR="41775C7C" w:rsidRPr="00D4396B">
        <w:rPr>
          <w:noProof/>
        </w:rPr>
        <w:t>.</w:t>
      </w:r>
      <w:r w:rsidR="00B92D41" w:rsidRPr="00D4396B">
        <w:rPr>
          <w:noProof/>
        </w:rPr>
        <w:tab/>
      </w:r>
      <w:r w:rsidR="006B087E" w:rsidRPr="00D4396B">
        <w:rPr>
          <w:noProof/>
        </w:rPr>
        <w:t>Preferred option</w:t>
      </w:r>
      <w:bookmarkEnd w:id="170"/>
      <w:bookmarkEnd w:id="171"/>
      <w:bookmarkEnd w:id="172"/>
      <w:bookmarkEnd w:id="173"/>
    </w:p>
    <w:p w14:paraId="0FE1E8FF" w14:textId="7C3C9081" w:rsidR="232B0994" w:rsidRPr="00D4396B" w:rsidRDefault="232B0994" w:rsidP="003B0D3B">
      <w:pPr>
        <w:rPr>
          <w:rStyle w:val="normaltextrun"/>
          <w:rFonts w:ascii="Times New Roman" w:eastAsia="Times New Roman" w:hAnsi="Times New Roman" w:cs="Times New Roman"/>
          <w:noProof/>
          <w:color w:val="000000" w:themeColor="text1"/>
        </w:rPr>
      </w:pPr>
      <w:r w:rsidRPr="00D4396B">
        <w:rPr>
          <w:rStyle w:val="normaltextrun"/>
          <w:rFonts w:ascii="Times New Roman" w:eastAsia="Times New Roman" w:hAnsi="Times New Roman" w:cs="Times New Roman"/>
          <w:noProof/>
          <w:color w:val="000000" w:themeColor="text1"/>
        </w:rPr>
        <w:t>Based on</w:t>
      </w:r>
      <w:r w:rsidR="00A166B1">
        <w:rPr>
          <w:rStyle w:val="normaltextrun"/>
          <w:rFonts w:ascii="Times New Roman" w:eastAsia="Times New Roman" w:hAnsi="Times New Roman" w:cs="Times New Roman"/>
          <w:noProof/>
          <w:color w:val="000000" w:themeColor="text1"/>
        </w:rPr>
        <w:t xml:space="preserve"> the</w:t>
      </w:r>
      <w:r w:rsidRPr="00D4396B">
        <w:rPr>
          <w:rStyle w:val="normaltextrun"/>
          <w:rFonts w:ascii="Times New Roman" w:eastAsia="Times New Roman" w:hAnsi="Times New Roman" w:cs="Times New Roman"/>
          <w:noProof/>
          <w:color w:val="000000" w:themeColor="text1"/>
        </w:rPr>
        <w:t xml:space="preserve"> </w:t>
      </w:r>
      <w:r w:rsidR="00691962" w:rsidRPr="00D4396B">
        <w:rPr>
          <w:rStyle w:val="normaltextrun"/>
          <w:rFonts w:ascii="Times New Roman" w:eastAsia="Times New Roman" w:hAnsi="Times New Roman" w:cs="Times New Roman"/>
          <w:noProof/>
          <w:color w:val="000000" w:themeColor="text1"/>
        </w:rPr>
        <w:t xml:space="preserve">impacts assessed </w:t>
      </w:r>
      <w:r w:rsidR="00691962">
        <w:rPr>
          <w:rStyle w:val="normaltextrun"/>
          <w:rFonts w:ascii="Times New Roman" w:eastAsia="Times New Roman" w:hAnsi="Times New Roman" w:cs="Times New Roman"/>
          <w:noProof/>
          <w:color w:val="000000" w:themeColor="text1"/>
        </w:rPr>
        <w:t>(</w:t>
      </w:r>
      <w:r w:rsidR="00AC667D">
        <w:rPr>
          <w:rStyle w:val="normaltextrun"/>
          <w:rFonts w:ascii="Times New Roman" w:eastAsia="Times New Roman" w:hAnsi="Times New Roman" w:cs="Times New Roman"/>
          <w:noProof/>
          <w:color w:val="000000" w:themeColor="text1"/>
        </w:rPr>
        <w:t>c</w:t>
      </w:r>
      <w:r w:rsidR="00691962" w:rsidRPr="00D4396B">
        <w:rPr>
          <w:rStyle w:val="normaltextrun"/>
          <w:rFonts w:ascii="Times New Roman" w:eastAsia="Times New Roman" w:hAnsi="Times New Roman" w:cs="Times New Roman"/>
          <w:noProof/>
          <w:color w:val="000000" w:themeColor="text1"/>
        </w:rPr>
        <w:t>hapter 6</w:t>
      </w:r>
      <w:r w:rsidR="00691962">
        <w:rPr>
          <w:rStyle w:val="normaltextrun"/>
          <w:rFonts w:ascii="Times New Roman" w:eastAsia="Times New Roman" w:hAnsi="Times New Roman" w:cs="Times New Roman"/>
          <w:noProof/>
          <w:color w:val="000000" w:themeColor="text1"/>
        </w:rPr>
        <w:t xml:space="preserve">) and </w:t>
      </w:r>
      <w:r w:rsidRPr="00D4396B">
        <w:rPr>
          <w:rStyle w:val="normaltextrun"/>
          <w:rFonts w:ascii="Times New Roman" w:eastAsia="Times New Roman" w:hAnsi="Times New Roman" w:cs="Times New Roman"/>
          <w:noProof/>
          <w:color w:val="000000" w:themeColor="text1"/>
        </w:rPr>
        <w:t xml:space="preserve">comparison of policy options </w:t>
      </w:r>
      <w:r w:rsidR="00691962">
        <w:rPr>
          <w:rStyle w:val="normaltextrun"/>
          <w:rFonts w:ascii="Times New Roman" w:eastAsia="Times New Roman" w:hAnsi="Times New Roman" w:cs="Times New Roman"/>
          <w:noProof/>
          <w:color w:val="000000" w:themeColor="text1"/>
        </w:rPr>
        <w:t>(</w:t>
      </w:r>
      <w:r w:rsidR="00AC667D">
        <w:rPr>
          <w:rStyle w:val="normaltextrun"/>
          <w:rFonts w:ascii="Times New Roman" w:eastAsia="Times New Roman" w:hAnsi="Times New Roman" w:cs="Times New Roman"/>
          <w:noProof/>
          <w:color w:val="000000" w:themeColor="text1"/>
        </w:rPr>
        <w:t>c</w:t>
      </w:r>
      <w:r w:rsidRPr="00D4396B">
        <w:rPr>
          <w:rStyle w:val="normaltextrun"/>
          <w:rFonts w:ascii="Times New Roman" w:eastAsia="Times New Roman" w:hAnsi="Times New Roman" w:cs="Times New Roman"/>
          <w:noProof/>
          <w:color w:val="000000" w:themeColor="text1"/>
        </w:rPr>
        <w:t>hapter 7</w:t>
      </w:r>
      <w:r w:rsidR="00691962" w:rsidRPr="7C4B4C93">
        <w:rPr>
          <w:rStyle w:val="normaltextrun"/>
          <w:rFonts w:ascii="Times New Roman" w:eastAsia="Times New Roman" w:hAnsi="Times New Roman" w:cs="Times New Roman"/>
          <w:noProof/>
          <w:color w:val="000000" w:themeColor="text1"/>
        </w:rPr>
        <w:t>)</w:t>
      </w:r>
      <w:r w:rsidRPr="7C4B4C93">
        <w:rPr>
          <w:rStyle w:val="normaltextrun"/>
          <w:rFonts w:ascii="Times New Roman" w:eastAsia="Times New Roman" w:hAnsi="Times New Roman" w:cs="Times New Roman"/>
          <w:noProof/>
          <w:color w:val="000000" w:themeColor="text1"/>
        </w:rPr>
        <w:t>,</w:t>
      </w:r>
      <w:r w:rsidRPr="00D4396B">
        <w:rPr>
          <w:rStyle w:val="normaltextrun"/>
          <w:rFonts w:ascii="Times New Roman" w:eastAsia="Times New Roman" w:hAnsi="Times New Roman" w:cs="Times New Roman"/>
          <w:noProof/>
          <w:color w:val="000000" w:themeColor="text1"/>
        </w:rPr>
        <w:t xml:space="preserve"> the preferred option </w:t>
      </w:r>
      <w:r w:rsidR="00691962">
        <w:rPr>
          <w:rStyle w:val="normaltextrun"/>
          <w:rFonts w:ascii="Times New Roman" w:eastAsia="Times New Roman" w:hAnsi="Times New Roman" w:cs="Times New Roman"/>
          <w:noProof/>
          <w:color w:val="000000" w:themeColor="text1"/>
        </w:rPr>
        <w:t>is</w:t>
      </w:r>
      <w:r w:rsidR="00FD7460" w:rsidRPr="00D4396B">
        <w:rPr>
          <w:rStyle w:val="normaltextrun"/>
          <w:rFonts w:ascii="Times New Roman" w:eastAsia="Times New Roman" w:hAnsi="Times New Roman" w:cs="Times New Roman"/>
          <w:noProof/>
          <w:color w:val="000000" w:themeColor="text1"/>
        </w:rPr>
        <w:t xml:space="preserve"> </w:t>
      </w:r>
      <w:r w:rsidR="00691962">
        <w:rPr>
          <w:rStyle w:val="normaltextrun"/>
          <w:rFonts w:ascii="Times New Roman" w:eastAsia="Times New Roman" w:hAnsi="Times New Roman" w:cs="Times New Roman"/>
          <w:noProof/>
          <w:color w:val="000000" w:themeColor="text1"/>
        </w:rPr>
        <w:t xml:space="preserve">the </w:t>
      </w:r>
      <w:r w:rsidRPr="00D4396B">
        <w:rPr>
          <w:rStyle w:val="normaltextrun"/>
          <w:rFonts w:ascii="Times New Roman" w:eastAsia="Times New Roman" w:hAnsi="Times New Roman" w:cs="Times New Roman"/>
          <w:noProof/>
          <w:color w:val="000000" w:themeColor="text1"/>
        </w:rPr>
        <w:t>package of preferred policy options under each intervention</w:t>
      </w:r>
      <w:r w:rsidR="00FD7460" w:rsidRPr="00FD7460">
        <w:rPr>
          <w:rStyle w:val="normaltextrun"/>
          <w:rFonts w:ascii="Times New Roman" w:eastAsia="Times New Roman" w:hAnsi="Times New Roman" w:cs="Times New Roman"/>
          <w:noProof/>
          <w:color w:val="000000" w:themeColor="text1"/>
        </w:rPr>
        <w:t xml:space="preserve"> </w:t>
      </w:r>
      <w:r w:rsidR="00FD7460" w:rsidRPr="00D4396B">
        <w:rPr>
          <w:rStyle w:val="normaltextrun"/>
          <w:rFonts w:ascii="Times New Roman" w:eastAsia="Times New Roman" w:hAnsi="Times New Roman" w:cs="Times New Roman"/>
          <w:noProof/>
          <w:color w:val="000000" w:themeColor="text1"/>
        </w:rPr>
        <w:t>area</w:t>
      </w:r>
      <w:r w:rsidRPr="00D4396B">
        <w:rPr>
          <w:rStyle w:val="normaltextrun"/>
          <w:rFonts w:ascii="Times New Roman" w:eastAsia="Times New Roman" w:hAnsi="Times New Roman" w:cs="Times New Roman"/>
          <w:noProof/>
          <w:color w:val="000000" w:themeColor="text1"/>
        </w:rPr>
        <w:t>.</w:t>
      </w:r>
    </w:p>
    <w:p w14:paraId="4F049B44" w14:textId="60D2F009" w:rsidR="000C3545" w:rsidRDefault="6633E03B" w:rsidP="46483A8A">
      <w:pPr>
        <w:rPr>
          <w:rStyle w:val="normaltextrun"/>
          <w:rFonts w:ascii="Times New Roman" w:eastAsia="Times New Roman" w:hAnsi="Times New Roman" w:cs="Times New Roman"/>
          <w:noProof/>
          <w:color w:val="000000" w:themeColor="text1"/>
        </w:rPr>
      </w:pPr>
      <w:r w:rsidRPr="00D4396B">
        <w:rPr>
          <w:rStyle w:val="normaltextrun"/>
          <w:rFonts w:ascii="Times New Roman" w:eastAsia="Times New Roman" w:hAnsi="Times New Roman" w:cs="Times New Roman"/>
          <w:noProof/>
          <w:color w:val="000000" w:themeColor="text1"/>
        </w:rPr>
        <w:t>All policy options retained</w:t>
      </w:r>
      <w:r w:rsidR="0031303D">
        <w:rPr>
          <w:rStyle w:val="normaltextrun"/>
          <w:rFonts w:ascii="Times New Roman" w:eastAsia="Times New Roman" w:hAnsi="Times New Roman" w:cs="Times New Roman"/>
          <w:noProof/>
          <w:color w:val="000000" w:themeColor="text1"/>
        </w:rPr>
        <w:t xml:space="preserve"> </w:t>
      </w:r>
      <w:r w:rsidRPr="00D4396B">
        <w:rPr>
          <w:rStyle w:val="normaltextrun"/>
          <w:rFonts w:ascii="Times New Roman" w:eastAsia="Times New Roman" w:hAnsi="Times New Roman" w:cs="Times New Roman"/>
          <w:noProof/>
          <w:color w:val="000000" w:themeColor="text1"/>
        </w:rPr>
        <w:t xml:space="preserve">are complementary and </w:t>
      </w:r>
      <w:r w:rsidR="18DA14CB" w:rsidRPr="347450C9">
        <w:rPr>
          <w:rStyle w:val="normaltextrun"/>
          <w:rFonts w:ascii="Times New Roman" w:eastAsia="Times New Roman" w:hAnsi="Times New Roman" w:cs="Times New Roman"/>
          <w:noProof/>
          <w:color w:val="000000" w:themeColor="text1"/>
        </w:rPr>
        <w:t xml:space="preserve">reflect </w:t>
      </w:r>
      <w:r w:rsidR="00691962">
        <w:rPr>
          <w:rStyle w:val="normaltextrun"/>
          <w:rFonts w:ascii="Times New Roman" w:eastAsia="Times New Roman" w:hAnsi="Times New Roman" w:cs="Times New Roman"/>
          <w:noProof/>
          <w:color w:val="000000" w:themeColor="text1"/>
        </w:rPr>
        <w:t xml:space="preserve">the </w:t>
      </w:r>
      <w:r w:rsidR="18DA14CB" w:rsidRPr="347450C9">
        <w:rPr>
          <w:rStyle w:val="normaltextrun"/>
          <w:rFonts w:ascii="Times New Roman" w:eastAsia="Times New Roman" w:hAnsi="Times New Roman" w:cs="Times New Roman"/>
          <w:noProof/>
          <w:color w:val="000000" w:themeColor="text1"/>
        </w:rPr>
        <w:t>evidence collected (</w:t>
      </w:r>
      <w:r w:rsidR="001C6646" w:rsidRPr="3A86E8DA">
        <w:rPr>
          <w:rStyle w:val="normaltextrun"/>
          <w:rFonts w:ascii="Times New Roman" w:eastAsia="Times New Roman" w:hAnsi="Times New Roman" w:cs="Times New Roman"/>
          <w:noProof/>
          <w:color w:val="000000" w:themeColor="text1"/>
        </w:rPr>
        <w:t>i</w:t>
      </w:r>
      <w:r w:rsidR="001C6646">
        <w:rPr>
          <w:rStyle w:val="normaltextrun"/>
          <w:rFonts w:ascii="Times New Roman" w:eastAsia="Times New Roman" w:hAnsi="Times New Roman" w:cs="Times New Roman"/>
          <w:noProof/>
          <w:color w:val="000000" w:themeColor="text1"/>
        </w:rPr>
        <w:t>.</w:t>
      </w:r>
      <w:r w:rsidR="51A87609" w:rsidRPr="022394A7">
        <w:rPr>
          <w:rStyle w:val="normaltextrun"/>
          <w:rFonts w:ascii="Times New Roman" w:eastAsia="Times New Roman" w:hAnsi="Times New Roman" w:cs="Times New Roman"/>
          <w:noProof/>
          <w:color w:val="000000" w:themeColor="text1"/>
        </w:rPr>
        <w:t>e</w:t>
      </w:r>
      <w:r w:rsidR="001C6646">
        <w:rPr>
          <w:rStyle w:val="normaltextrun"/>
          <w:rFonts w:ascii="Times New Roman" w:eastAsia="Times New Roman" w:hAnsi="Times New Roman" w:cs="Times New Roman"/>
          <w:noProof/>
          <w:color w:val="000000" w:themeColor="text1"/>
        </w:rPr>
        <w:t>.</w:t>
      </w:r>
      <w:r w:rsidR="18DA14CB" w:rsidRPr="347450C9">
        <w:rPr>
          <w:rStyle w:val="normaltextrun"/>
          <w:rFonts w:ascii="Times New Roman" w:eastAsia="Times New Roman" w:hAnsi="Times New Roman" w:cs="Times New Roman"/>
          <w:noProof/>
          <w:color w:val="000000" w:themeColor="text1"/>
        </w:rPr>
        <w:t xml:space="preserve"> </w:t>
      </w:r>
      <w:r w:rsidR="18DA14CB" w:rsidRPr="50549597">
        <w:rPr>
          <w:rStyle w:val="normaltextrun"/>
          <w:rFonts w:ascii="Times New Roman" w:eastAsia="Times New Roman" w:hAnsi="Times New Roman" w:cs="Times New Roman"/>
          <w:noProof/>
          <w:color w:val="000000" w:themeColor="text1"/>
        </w:rPr>
        <w:t>stakeholders’ views). The</w:t>
      </w:r>
      <w:r w:rsidR="5224007D" w:rsidRPr="50549597">
        <w:rPr>
          <w:rStyle w:val="normaltextrun"/>
          <w:rFonts w:ascii="Times New Roman" w:eastAsia="Times New Roman" w:hAnsi="Times New Roman" w:cs="Times New Roman"/>
          <w:noProof/>
          <w:color w:val="000000" w:themeColor="text1"/>
        </w:rPr>
        <w:t xml:space="preserve">y </w:t>
      </w:r>
      <w:r w:rsidR="002D6DB5" w:rsidRPr="50549597">
        <w:rPr>
          <w:rStyle w:val="normaltextrun"/>
          <w:rFonts w:ascii="Times New Roman" w:eastAsia="Times New Roman" w:hAnsi="Times New Roman" w:cs="Times New Roman"/>
          <w:noProof/>
          <w:color w:val="000000" w:themeColor="text1"/>
        </w:rPr>
        <w:t>scored</w:t>
      </w:r>
      <w:r w:rsidR="002D6DB5">
        <w:rPr>
          <w:rStyle w:val="normaltextrun"/>
          <w:rFonts w:ascii="Times New Roman" w:eastAsia="Times New Roman" w:hAnsi="Times New Roman" w:cs="Times New Roman"/>
          <w:noProof/>
          <w:color w:val="000000" w:themeColor="text1"/>
        </w:rPr>
        <w:t xml:space="preserve"> highest</w:t>
      </w:r>
      <w:r w:rsidR="00C640CF">
        <w:rPr>
          <w:rStyle w:val="normaltextrun"/>
          <w:rFonts w:ascii="Times New Roman" w:eastAsia="Times New Roman" w:hAnsi="Times New Roman" w:cs="Times New Roman"/>
          <w:noProof/>
          <w:color w:val="000000" w:themeColor="text1"/>
        </w:rPr>
        <w:t xml:space="preserve"> </w:t>
      </w:r>
      <w:r w:rsidR="006D2450">
        <w:rPr>
          <w:rStyle w:val="normaltextrun"/>
          <w:rFonts w:ascii="Times New Roman" w:eastAsia="Times New Roman" w:hAnsi="Times New Roman" w:cs="Times New Roman"/>
          <w:noProof/>
          <w:color w:val="000000" w:themeColor="text1"/>
        </w:rPr>
        <w:t>in terms of</w:t>
      </w:r>
      <w:r w:rsidRPr="00D4396B" w:rsidDel="006D2450">
        <w:rPr>
          <w:rStyle w:val="normaltextrun"/>
          <w:rFonts w:ascii="Times New Roman" w:eastAsia="Times New Roman" w:hAnsi="Times New Roman" w:cs="Times New Roman"/>
          <w:noProof/>
          <w:color w:val="000000" w:themeColor="text1"/>
        </w:rPr>
        <w:t xml:space="preserve"> </w:t>
      </w:r>
      <w:r w:rsidR="006D2450">
        <w:rPr>
          <w:rStyle w:val="normaltextrun"/>
          <w:rFonts w:ascii="Times New Roman" w:eastAsia="Times New Roman" w:hAnsi="Times New Roman" w:cs="Times New Roman"/>
          <w:noProof/>
          <w:color w:val="000000" w:themeColor="text1"/>
        </w:rPr>
        <w:t xml:space="preserve">their </w:t>
      </w:r>
      <w:r w:rsidRPr="00D4396B">
        <w:rPr>
          <w:rStyle w:val="normaltextrun"/>
          <w:rFonts w:ascii="Times New Roman" w:eastAsia="Times New Roman" w:hAnsi="Times New Roman" w:cs="Times New Roman"/>
          <w:noProof/>
          <w:color w:val="000000" w:themeColor="text1"/>
        </w:rPr>
        <w:t>effectiveness</w:t>
      </w:r>
      <w:r w:rsidR="0031303D">
        <w:rPr>
          <w:rStyle w:val="normaltextrun"/>
          <w:rFonts w:ascii="Times New Roman" w:eastAsia="Times New Roman" w:hAnsi="Times New Roman" w:cs="Times New Roman"/>
          <w:noProof/>
          <w:color w:val="000000" w:themeColor="text1"/>
        </w:rPr>
        <w:t xml:space="preserve"> (towards </w:t>
      </w:r>
      <w:r w:rsidR="00BE280B">
        <w:rPr>
          <w:rStyle w:val="normaltextrun"/>
          <w:rFonts w:ascii="Times New Roman" w:eastAsia="Times New Roman" w:hAnsi="Times New Roman" w:cs="Times New Roman"/>
          <w:noProof/>
          <w:color w:val="000000" w:themeColor="text1"/>
        </w:rPr>
        <w:t xml:space="preserve">their </w:t>
      </w:r>
      <w:r w:rsidR="0031303D" w:rsidRPr="00D4396B">
        <w:rPr>
          <w:rStyle w:val="normaltextrun"/>
          <w:rFonts w:ascii="Times New Roman" w:eastAsia="Times New Roman" w:hAnsi="Times New Roman" w:cs="Times New Roman"/>
          <w:noProof/>
          <w:color w:val="000000" w:themeColor="text1"/>
        </w:rPr>
        <w:t xml:space="preserve">specific </w:t>
      </w:r>
      <w:r w:rsidR="0031303D" w:rsidRPr="78BED579">
        <w:rPr>
          <w:rStyle w:val="normaltextrun"/>
          <w:rFonts w:ascii="Times New Roman" w:eastAsia="Times New Roman" w:hAnsi="Times New Roman" w:cs="Times New Roman"/>
          <w:noProof/>
          <w:color w:val="000000" w:themeColor="text1"/>
        </w:rPr>
        <w:t>objective</w:t>
      </w:r>
      <w:r w:rsidR="0017674B">
        <w:rPr>
          <w:rStyle w:val="normaltextrun"/>
          <w:rFonts w:ascii="Times New Roman" w:eastAsia="Times New Roman" w:hAnsi="Times New Roman" w:cs="Times New Roman"/>
          <w:noProof/>
          <w:color w:val="000000" w:themeColor="text1"/>
        </w:rPr>
        <w:t xml:space="preserve"> and the </w:t>
      </w:r>
      <w:r w:rsidR="0017674B" w:rsidRPr="00D4396B">
        <w:rPr>
          <w:rStyle w:val="normaltextrun"/>
          <w:rFonts w:ascii="Times New Roman" w:eastAsia="Times New Roman" w:hAnsi="Times New Roman" w:cs="Times New Roman"/>
          <w:noProof/>
          <w:color w:val="000000" w:themeColor="text1"/>
        </w:rPr>
        <w:t>general objective</w:t>
      </w:r>
      <w:r w:rsidR="0031303D">
        <w:rPr>
          <w:rStyle w:val="normaltextrun"/>
          <w:rFonts w:ascii="Times New Roman" w:eastAsia="Times New Roman" w:hAnsi="Times New Roman" w:cs="Times New Roman"/>
          <w:noProof/>
          <w:color w:val="000000" w:themeColor="text1"/>
        </w:rPr>
        <w:t>)</w:t>
      </w:r>
      <w:r w:rsidRPr="00D4396B">
        <w:rPr>
          <w:rStyle w:val="normaltextrun"/>
          <w:rFonts w:ascii="Times New Roman" w:eastAsia="Times New Roman" w:hAnsi="Times New Roman" w:cs="Times New Roman"/>
          <w:noProof/>
          <w:color w:val="000000" w:themeColor="text1"/>
        </w:rPr>
        <w:t>, efficiency and coherence</w:t>
      </w:r>
      <w:r w:rsidR="006D2450">
        <w:rPr>
          <w:rStyle w:val="normaltextrun"/>
          <w:rFonts w:ascii="Times New Roman" w:eastAsia="Times New Roman" w:hAnsi="Times New Roman" w:cs="Times New Roman"/>
          <w:noProof/>
          <w:color w:val="000000" w:themeColor="text1"/>
        </w:rPr>
        <w:t xml:space="preserve"> mix</w:t>
      </w:r>
      <w:r w:rsidRPr="00FE35A4">
        <w:rPr>
          <w:rStyle w:val="normaltextrun"/>
          <w:rFonts w:ascii="Times New Roman" w:eastAsia="Times New Roman" w:hAnsi="Times New Roman" w:cs="Times New Roman"/>
          <w:noProof/>
          <w:color w:val="000000" w:themeColor="text1"/>
        </w:rPr>
        <w:t>:</w:t>
      </w:r>
    </w:p>
    <w:p w14:paraId="174F722C" w14:textId="77777777" w:rsidR="000C3545" w:rsidRDefault="000C3545">
      <w:pPr>
        <w:spacing w:after="200" w:line="276" w:lineRule="auto"/>
        <w:jc w:val="left"/>
        <w:rPr>
          <w:rStyle w:val="normaltextrun"/>
          <w:rFonts w:ascii="Times New Roman" w:eastAsia="Times New Roman" w:hAnsi="Times New Roman" w:cs="Times New Roman"/>
          <w:noProof/>
          <w:color w:val="000000" w:themeColor="text1"/>
        </w:rPr>
      </w:pPr>
      <w:r>
        <w:rPr>
          <w:rStyle w:val="normaltextrun"/>
          <w:rFonts w:ascii="Times New Roman" w:eastAsia="Times New Roman" w:hAnsi="Times New Roman" w:cs="Times New Roman"/>
          <w:noProof/>
          <w:color w:val="000000" w:themeColor="text1"/>
        </w:rPr>
        <w:br w:type="page"/>
      </w:r>
    </w:p>
    <w:p w14:paraId="0E2FFF7B" w14:textId="78B4DC65" w:rsidR="00981587" w:rsidRPr="00D4396B" w:rsidRDefault="00981587" w:rsidP="46483A8A">
      <w:pPr>
        <w:rPr>
          <w:rStyle w:val="normaltextrun"/>
          <w:rFonts w:ascii="Times New Roman" w:eastAsia="Times New Roman" w:hAnsi="Times New Roman" w:cs="Times New Roman"/>
          <w:noProof/>
          <w:color w:val="000000" w:themeColor="text1"/>
          <w:highlight w:val="yellow"/>
          <w:u w:val="single"/>
        </w:rPr>
      </w:pPr>
      <w:r w:rsidRPr="00D4396B">
        <w:rPr>
          <w:rStyle w:val="normaltextrun"/>
          <w:rFonts w:ascii="Times New Roman" w:eastAsia="Times New Roman" w:hAnsi="Times New Roman" w:cs="Times New Roman"/>
          <w:noProof/>
          <w:color w:val="000000" w:themeColor="text1"/>
          <w:u w:val="single"/>
        </w:rPr>
        <w:t xml:space="preserve">Table </w:t>
      </w:r>
      <w:r w:rsidRPr="78BED579">
        <w:rPr>
          <w:rStyle w:val="normaltextrun"/>
          <w:rFonts w:ascii="Times New Roman" w:eastAsia="Times New Roman" w:hAnsi="Times New Roman" w:cs="Times New Roman"/>
          <w:noProof/>
          <w:color w:val="000000" w:themeColor="text1"/>
          <w:u w:val="single"/>
        </w:rPr>
        <w:t>1</w:t>
      </w:r>
      <w:r w:rsidR="005E1135" w:rsidRPr="78BED579">
        <w:rPr>
          <w:rStyle w:val="normaltextrun"/>
          <w:rFonts w:ascii="Times New Roman" w:eastAsia="Times New Roman" w:hAnsi="Times New Roman" w:cs="Times New Roman"/>
          <w:noProof/>
          <w:color w:val="000000" w:themeColor="text1"/>
          <w:u w:val="single"/>
        </w:rPr>
        <w:t>2</w:t>
      </w:r>
      <w:r>
        <w:rPr>
          <w:rStyle w:val="normaltextrun"/>
          <w:rFonts w:ascii="Times New Roman" w:eastAsia="Times New Roman" w:hAnsi="Times New Roman" w:cs="Times New Roman"/>
          <w:noProof/>
          <w:color w:val="000000" w:themeColor="text1"/>
          <w:u w:val="single"/>
        </w:rPr>
        <w:t>:</w:t>
      </w:r>
      <w:r w:rsidR="00A52653">
        <w:rPr>
          <w:rStyle w:val="normaltextrun"/>
          <w:rFonts w:ascii="Times New Roman" w:eastAsia="Times New Roman" w:hAnsi="Times New Roman" w:cs="Times New Roman"/>
          <w:noProof/>
          <w:color w:val="000000" w:themeColor="text1"/>
          <w:u w:val="single"/>
        </w:rPr>
        <w:t xml:space="preserve"> Preferred Option</w:t>
      </w:r>
    </w:p>
    <w:tbl>
      <w:tblPr>
        <w:tblW w:w="9701"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7441"/>
        <w:gridCol w:w="10"/>
        <w:gridCol w:w="2250"/>
      </w:tblGrid>
      <w:tr w:rsidR="00EA4210" w:rsidRPr="00D4396B" w14:paraId="50A0320A" w14:textId="77777777" w:rsidTr="6E834B38">
        <w:trPr>
          <w:cantSplit/>
        </w:trPr>
        <w:tc>
          <w:tcPr>
            <w:tcW w:w="9701" w:type="dxa"/>
            <w:gridSpan w:val="3"/>
            <w:tcBorders>
              <w:top w:val="single" w:sz="6" w:space="0" w:color="auto"/>
              <w:left w:val="single" w:sz="6" w:space="0" w:color="auto"/>
              <w:bottom w:val="nil"/>
              <w:right w:val="single" w:sz="6" w:space="0" w:color="auto"/>
            </w:tcBorders>
            <w:shd w:val="clear" w:color="auto" w:fill="F2F2F2" w:themeFill="background1" w:themeFillShade="F2"/>
            <w:vAlign w:val="center"/>
            <w:hideMark/>
          </w:tcPr>
          <w:p w14:paraId="2CF1BB03" w14:textId="4412A625" w:rsidR="00EA4210" w:rsidRPr="00D4396B" w:rsidRDefault="62D07431" w:rsidP="4B98F4DA">
            <w:pPr>
              <w:spacing w:after="0"/>
              <w:jc w:val="center"/>
              <w:textAlignment w:val="baseline"/>
              <w:rPr>
                <w:rFonts w:eastAsia="Times New Roman"/>
                <w:b/>
                <w:bCs/>
                <w:smallCaps/>
                <w:noProof/>
                <w:sz w:val="18"/>
                <w:szCs w:val="18"/>
                <w:lang w:eastAsia="en-IE"/>
              </w:rPr>
            </w:pPr>
            <w:r w:rsidRPr="00D4396B">
              <w:rPr>
                <w:rFonts w:eastAsia="Times New Roman"/>
                <w:b/>
                <w:bCs/>
                <w:smallCaps/>
                <w:noProof/>
                <w:sz w:val="18"/>
                <w:szCs w:val="18"/>
                <w:lang w:eastAsia="en-IE"/>
              </w:rPr>
              <w:t>Preferred Option</w:t>
            </w:r>
          </w:p>
        </w:tc>
      </w:tr>
      <w:tr w:rsidR="00335542" w:rsidRPr="00D4396B" w14:paraId="02BFB8C5" w14:textId="77777777" w:rsidTr="6E834B38">
        <w:trPr>
          <w:cantSplit/>
        </w:trPr>
        <w:tc>
          <w:tcPr>
            <w:tcW w:w="7441" w:type="dxa"/>
            <w:tcBorders>
              <w:top w:val="single" w:sz="6" w:space="0" w:color="auto"/>
              <w:left w:val="single" w:sz="6" w:space="0" w:color="auto"/>
              <w:bottom w:val="single" w:sz="4" w:space="0" w:color="auto"/>
              <w:right w:val="single" w:sz="4" w:space="0" w:color="auto"/>
            </w:tcBorders>
            <w:shd w:val="clear" w:color="auto" w:fill="EBF5FF"/>
            <w:vAlign w:val="center"/>
            <w:hideMark/>
          </w:tcPr>
          <w:p w14:paraId="2CAC7C35" w14:textId="12434A5B" w:rsidR="00EA4210" w:rsidRPr="00D4396B" w:rsidRDefault="00EA4210">
            <w:pPr>
              <w:spacing w:after="2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A. Extending the scope of material competences to face the new judicial landscape</w:t>
            </w:r>
            <w:r w:rsidRPr="00D4396B">
              <w:rPr>
                <w:rFonts w:eastAsia="Times New Roman"/>
                <w:noProof/>
                <w:sz w:val="18"/>
                <w:szCs w:val="18"/>
                <w:lang w:eastAsia="en-IE"/>
              </w:rPr>
              <w:t> </w:t>
            </w:r>
          </w:p>
          <w:p w14:paraId="71F0FC7B" w14:textId="2C5D6230" w:rsidR="00EA4210" w:rsidRPr="00D4396B" w:rsidRDefault="00EA4210" w:rsidP="00D90CCD">
            <w:pPr>
              <w:spacing w:after="0"/>
              <w:textAlignment w:val="baseline"/>
              <w:rPr>
                <w:rFonts w:ascii="Segoe UI" w:eastAsia="Times New Roman" w:hAnsi="Segoe UI" w:cs="Segoe UI"/>
                <w:noProof/>
                <w:sz w:val="18"/>
                <w:szCs w:val="18"/>
                <w:lang w:eastAsia="en-IE"/>
              </w:rPr>
            </w:pPr>
            <w:r w:rsidRPr="00D4396B">
              <w:rPr>
                <w:rFonts w:eastAsia="Times New Roman"/>
                <w:i/>
                <w:iCs/>
                <w:noProof/>
                <w:sz w:val="18"/>
                <w:szCs w:val="18"/>
                <w:lang w:eastAsia="en-IE"/>
              </w:rPr>
              <w:t>Addressing problem driver(s):</w:t>
            </w:r>
            <w:r w:rsidR="00D90CCD" w:rsidRPr="00D4396B">
              <w:rPr>
                <w:rFonts w:eastAsia="Times New Roman"/>
                <w:i/>
                <w:iCs/>
                <w:noProof/>
                <w:sz w:val="18"/>
                <w:szCs w:val="18"/>
                <w:lang w:eastAsia="en-IE"/>
              </w:rPr>
              <w:t xml:space="preserve"> </w:t>
            </w:r>
            <w:r w:rsidRPr="00D4396B">
              <w:rPr>
                <w:rFonts w:eastAsia="Times New Roman"/>
                <w:noProof/>
                <w:sz w:val="18"/>
                <w:szCs w:val="18"/>
                <w:lang w:eastAsia="en-IE"/>
              </w:rPr>
              <w:t>#2 Insufficient competences and associated toolset</w:t>
            </w:r>
          </w:p>
        </w:tc>
        <w:tc>
          <w:tcPr>
            <w:tcW w:w="2260" w:type="dxa"/>
            <w:gridSpan w:val="2"/>
            <w:tcBorders>
              <w:top w:val="single" w:sz="6" w:space="0" w:color="auto"/>
              <w:left w:val="single" w:sz="4" w:space="0" w:color="auto"/>
              <w:bottom w:val="single" w:sz="4" w:space="0" w:color="auto"/>
              <w:right w:val="single" w:sz="6" w:space="0" w:color="000000" w:themeColor="text1"/>
            </w:tcBorders>
            <w:shd w:val="clear" w:color="auto" w:fill="CDDEF4"/>
            <w:vAlign w:val="center"/>
          </w:tcPr>
          <w:p w14:paraId="4512F14C" w14:textId="77777777" w:rsidR="00EA4210" w:rsidRPr="00D4396B" w:rsidRDefault="00EA4210">
            <w:pPr>
              <w:spacing w:after="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A.PO3</w:t>
            </w:r>
            <w:r w:rsidRPr="00D4396B">
              <w:rPr>
                <w:rFonts w:eastAsia="Times New Roman"/>
                <w:noProof/>
                <w:sz w:val="18"/>
                <w:szCs w:val="18"/>
                <w:lang w:eastAsia="en-IE"/>
              </w:rPr>
              <w:t> </w:t>
            </w:r>
          </w:p>
        </w:tc>
      </w:tr>
      <w:tr w:rsidR="00EA4210" w:rsidRPr="00D4396B" w14:paraId="38C4C9F9" w14:textId="77777777" w:rsidTr="6E834B38">
        <w:trPr>
          <w:cantSplit/>
        </w:trPr>
        <w:tc>
          <w:tcPr>
            <w:tcW w:w="9701" w:type="dxa"/>
            <w:gridSpan w:val="3"/>
            <w:tcBorders>
              <w:top w:val="single" w:sz="4" w:space="0" w:color="auto"/>
              <w:left w:val="single" w:sz="6" w:space="0" w:color="auto"/>
              <w:bottom w:val="single" w:sz="6" w:space="0" w:color="auto"/>
              <w:right w:val="single" w:sz="6" w:space="0" w:color="auto"/>
            </w:tcBorders>
            <w:shd w:val="clear" w:color="auto" w:fill="CDDEF4"/>
            <w:vAlign w:val="center"/>
            <w:hideMark/>
          </w:tcPr>
          <w:p w14:paraId="10200DF9" w14:textId="77777777"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i.b</w:t>
            </w:r>
            <w:r w:rsidRPr="00D4396B">
              <w:rPr>
                <w:rFonts w:eastAsia="Times New Roman"/>
                <w:noProof/>
                <w:sz w:val="18"/>
                <w:szCs w:val="18"/>
                <w:lang w:eastAsia="en-IE"/>
              </w:rPr>
              <w:t> Enhancing Eurojust’s involvement in EU policy-making and strategic cycles by introducing a dedicated EJR provision</w:t>
            </w:r>
          </w:p>
        </w:tc>
      </w:tr>
      <w:tr w:rsidR="00EA4210" w:rsidRPr="00D4396B" w14:paraId="4068C8CD"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CDDEF4"/>
            <w:vAlign w:val="center"/>
            <w:hideMark/>
          </w:tcPr>
          <w:p w14:paraId="70852EFE" w14:textId="1C0A2F85"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ii.b</w:t>
            </w:r>
            <w:r w:rsidRPr="00D4396B">
              <w:rPr>
                <w:rFonts w:eastAsia="Times New Roman"/>
                <w:noProof/>
                <w:sz w:val="18"/>
                <w:szCs w:val="18"/>
                <w:lang w:eastAsia="en-IE"/>
              </w:rPr>
              <w:t> Formally entrusting Eurojust with new operational functions (e-evidence, victims’ rights)</w:t>
            </w:r>
          </w:p>
        </w:tc>
      </w:tr>
      <w:tr w:rsidR="00EA4210" w:rsidRPr="00D4396B" w14:paraId="14330705"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CDDEF4"/>
            <w:vAlign w:val="center"/>
            <w:hideMark/>
          </w:tcPr>
          <w:p w14:paraId="0EEC2423" w14:textId="77777777"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iii.b</w:t>
            </w:r>
            <w:r w:rsidRPr="00D4396B">
              <w:rPr>
                <w:rFonts w:eastAsia="Times New Roman"/>
                <w:noProof/>
                <w:sz w:val="18"/>
                <w:szCs w:val="18"/>
                <w:lang w:eastAsia="en-IE"/>
              </w:rPr>
              <w:t> Introducing semi-permanent operational platforms to support JITs by introducing a reference in the EJR</w:t>
            </w:r>
          </w:p>
        </w:tc>
      </w:tr>
      <w:tr w:rsidR="00EA4210" w:rsidRPr="00D4396B" w14:paraId="2E0C2325" w14:textId="77777777" w:rsidTr="6E834B38">
        <w:trPr>
          <w:cantSplit/>
          <w:trHeight w:val="300"/>
        </w:trPr>
        <w:tc>
          <w:tcPr>
            <w:tcW w:w="9701" w:type="dxa"/>
            <w:gridSpan w:val="3"/>
            <w:tcBorders>
              <w:top w:val="nil"/>
              <w:left w:val="single" w:sz="6" w:space="0" w:color="auto"/>
              <w:bottom w:val="single" w:sz="6" w:space="0" w:color="auto"/>
              <w:right w:val="single" w:sz="6" w:space="0" w:color="auto"/>
            </w:tcBorders>
            <w:shd w:val="clear" w:color="auto" w:fill="CDDEF4"/>
            <w:vAlign w:val="center"/>
            <w:hideMark/>
          </w:tcPr>
          <w:p w14:paraId="04A0F60E" w14:textId="3F4741EA"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iv.</w:t>
            </w:r>
            <w:r w:rsidRPr="00D4396B">
              <w:rPr>
                <w:rFonts w:eastAsia="Times New Roman"/>
                <w:noProof/>
                <w:sz w:val="18"/>
                <w:szCs w:val="18"/>
                <w:lang w:eastAsia="en-IE"/>
              </w:rPr>
              <w:t> Extending Eurojust’s material competence to new crimes (VURM, cybercrime, GBV)</w:t>
            </w:r>
          </w:p>
        </w:tc>
      </w:tr>
      <w:tr w:rsidR="00EA4210" w:rsidRPr="00D4396B" w14:paraId="650354C2"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CDDEF4"/>
            <w:vAlign w:val="center"/>
            <w:hideMark/>
          </w:tcPr>
          <w:p w14:paraId="22AD14CA" w14:textId="77777777"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v.</w:t>
            </w:r>
            <w:r w:rsidRPr="00D4396B">
              <w:rPr>
                <w:rFonts w:eastAsia="Times New Roman"/>
                <w:noProof/>
                <w:sz w:val="18"/>
                <w:szCs w:val="18"/>
                <w:lang w:eastAsia="en-IE"/>
              </w:rPr>
              <w:t> Expanding Eurojust’s analytical function to key crime areas (organised crime and accessory crimes)</w:t>
            </w:r>
          </w:p>
        </w:tc>
      </w:tr>
      <w:tr w:rsidR="00EA4210" w:rsidRPr="00D4396B" w14:paraId="77C3EABD" w14:textId="77777777" w:rsidTr="6E834B38">
        <w:trPr>
          <w:cantSplit/>
          <w:trHeight w:val="709"/>
        </w:trPr>
        <w:tc>
          <w:tcPr>
            <w:tcW w:w="7441" w:type="dxa"/>
            <w:tcBorders>
              <w:top w:val="single" w:sz="6" w:space="0" w:color="auto"/>
              <w:left w:val="single" w:sz="6" w:space="0" w:color="auto"/>
              <w:bottom w:val="single" w:sz="4" w:space="0" w:color="auto"/>
              <w:right w:val="single" w:sz="4" w:space="0" w:color="auto"/>
            </w:tcBorders>
            <w:shd w:val="clear" w:color="auto" w:fill="EEFAEE"/>
            <w:vAlign w:val="center"/>
            <w:hideMark/>
          </w:tcPr>
          <w:p w14:paraId="4BD78C57" w14:textId="10168055" w:rsidR="00EA4210" w:rsidRPr="00D4396B" w:rsidRDefault="00EA4210">
            <w:pPr>
              <w:spacing w:after="2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B. </w:t>
            </w:r>
            <w:r w:rsidR="71D7AFC4" w:rsidRPr="78BED579">
              <w:rPr>
                <w:rFonts w:eastAsia="Times New Roman"/>
                <w:b/>
                <w:bCs/>
                <w:noProof/>
                <w:sz w:val="18"/>
                <w:szCs w:val="18"/>
                <w:lang w:eastAsia="en-IE"/>
              </w:rPr>
              <w:t>Harmoni</w:t>
            </w:r>
            <w:r w:rsidR="70B6C150" w:rsidRPr="78BED579">
              <w:rPr>
                <w:rFonts w:eastAsia="Times New Roman"/>
                <w:b/>
                <w:bCs/>
                <w:noProof/>
                <w:sz w:val="18"/>
                <w:szCs w:val="18"/>
                <w:lang w:eastAsia="en-IE"/>
              </w:rPr>
              <w:t>s</w:t>
            </w:r>
            <w:r w:rsidR="71D7AFC4" w:rsidRPr="78BED579">
              <w:rPr>
                <w:rFonts w:eastAsia="Times New Roman"/>
                <w:b/>
                <w:bCs/>
                <w:noProof/>
                <w:sz w:val="18"/>
                <w:szCs w:val="18"/>
                <w:lang w:eastAsia="en-IE"/>
              </w:rPr>
              <w:t>ing</w:t>
            </w:r>
            <w:r w:rsidRPr="00D4396B">
              <w:rPr>
                <w:rFonts w:eastAsia="Times New Roman"/>
                <w:b/>
                <w:bCs/>
                <w:noProof/>
                <w:sz w:val="18"/>
                <w:szCs w:val="18"/>
                <w:lang w:eastAsia="en-IE"/>
              </w:rPr>
              <w:t xml:space="preserve"> Member State implementation of the EJR, including on allocation of cases</w:t>
            </w:r>
            <w:r w:rsidRPr="00D4396B">
              <w:rPr>
                <w:rFonts w:eastAsia="Times New Roman"/>
                <w:noProof/>
                <w:sz w:val="18"/>
                <w:szCs w:val="18"/>
                <w:lang w:eastAsia="en-IE"/>
              </w:rPr>
              <w:t> </w:t>
            </w:r>
          </w:p>
          <w:p w14:paraId="5161E104" w14:textId="2004DF92" w:rsidR="00EA4210" w:rsidRPr="00D4396B" w:rsidRDefault="00EA4210" w:rsidP="00D90CCD">
            <w:pPr>
              <w:spacing w:after="0"/>
              <w:textAlignment w:val="baseline"/>
              <w:rPr>
                <w:rFonts w:ascii="Segoe UI" w:eastAsia="Times New Roman" w:hAnsi="Segoe UI" w:cs="Segoe UI"/>
                <w:noProof/>
                <w:sz w:val="18"/>
                <w:szCs w:val="18"/>
                <w:lang w:eastAsia="en-IE"/>
              </w:rPr>
            </w:pPr>
            <w:r w:rsidRPr="00D4396B">
              <w:rPr>
                <w:rFonts w:eastAsia="Times New Roman"/>
                <w:i/>
                <w:iCs/>
                <w:noProof/>
                <w:sz w:val="18"/>
                <w:szCs w:val="18"/>
                <w:lang w:eastAsia="en-IE"/>
              </w:rPr>
              <w:t>Addressing problem driver(s):</w:t>
            </w:r>
            <w:r w:rsidRPr="00D4396B">
              <w:rPr>
                <w:rFonts w:eastAsia="Times New Roman"/>
                <w:noProof/>
                <w:sz w:val="18"/>
                <w:szCs w:val="18"/>
                <w:lang w:eastAsia="en-IE"/>
              </w:rPr>
              <w:t> #1 Inadequate model to select and prioritise cases</w:t>
            </w:r>
            <w:r w:rsidR="00D90CCD" w:rsidRPr="00D4396B">
              <w:rPr>
                <w:rFonts w:eastAsia="Times New Roman"/>
                <w:noProof/>
                <w:sz w:val="18"/>
                <w:szCs w:val="18"/>
                <w:lang w:eastAsia="en-IE"/>
              </w:rPr>
              <w:t xml:space="preserve">; </w:t>
            </w:r>
            <w:r w:rsidRPr="00D4396B">
              <w:rPr>
                <w:rFonts w:eastAsia="Times New Roman"/>
                <w:noProof/>
                <w:sz w:val="18"/>
                <w:szCs w:val="18"/>
                <w:lang w:eastAsia="en-IE"/>
              </w:rPr>
              <w:t>#3 Divergent Member State engagement and implementation of the EJR</w:t>
            </w:r>
          </w:p>
        </w:tc>
        <w:tc>
          <w:tcPr>
            <w:tcW w:w="2260" w:type="dxa"/>
            <w:gridSpan w:val="2"/>
            <w:tcBorders>
              <w:top w:val="single" w:sz="6" w:space="0" w:color="auto"/>
              <w:left w:val="single" w:sz="4" w:space="0" w:color="auto"/>
              <w:bottom w:val="single" w:sz="4" w:space="0" w:color="auto"/>
              <w:right w:val="single" w:sz="4" w:space="0" w:color="auto"/>
            </w:tcBorders>
            <w:shd w:val="clear" w:color="auto" w:fill="D0E6D0"/>
            <w:vAlign w:val="center"/>
          </w:tcPr>
          <w:p w14:paraId="33023BFB" w14:textId="77777777" w:rsidR="00EA4210" w:rsidRPr="00D4396B" w:rsidRDefault="00EA4210">
            <w:pPr>
              <w:spacing w:after="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B.PO3</w:t>
            </w:r>
            <w:r w:rsidRPr="00D4396B">
              <w:rPr>
                <w:rFonts w:eastAsia="Times New Roman"/>
                <w:noProof/>
                <w:sz w:val="18"/>
                <w:szCs w:val="18"/>
                <w:lang w:eastAsia="en-IE"/>
              </w:rPr>
              <w:t> </w:t>
            </w:r>
          </w:p>
        </w:tc>
      </w:tr>
      <w:tr w:rsidR="00EA4210" w:rsidRPr="00D4396B" w14:paraId="5F44A4C5" w14:textId="77777777" w:rsidTr="6E834B38">
        <w:trPr>
          <w:cantSplit/>
        </w:trPr>
        <w:tc>
          <w:tcPr>
            <w:tcW w:w="9701" w:type="dxa"/>
            <w:gridSpan w:val="3"/>
            <w:tcBorders>
              <w:top w:val="single" w:sz="4" w:space="0" w:color="auto"/>
              <w:left w:val="single" w:sz="6" w:space="0" w:color="auto"/>
              <w:bottom w:val="single" w:sz="6" w:space="0" w:color="auto"/>
              <w:right w:val="single" w:sz="6" w:space="0" w:color="auto"/>
            </w:tcBorders>
            <w:shd w:val="clear" w:color="auto" w:fill="D0E6D0"/>
            <w:vAlign w:val="center"/>
            <w:hideMark/>
          </w:tcPr>
          <w:p w14:paraId="32115DB5" w14:textId="45D69F00"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w:t>
            </w:r>
            <w:r w:rsidR="1E821DF2" w:rsidRPr="361AEBE1">
              <w:rPr>
                <w:rFonts w:eastAsia="Times New Roman"/>
                <w:noProof/>
                <w:sz w:val="18"/>
                <w:szCs w:val="18"/>
                <w:u w:val="single"/>
                <w:lang w:eastAsia="en-IE"/>
              </w:rPr>
              <w:t>b</w:t>
            </w:r>
            <w:r w:rsidR="1E821DF2" w:rsidRPr="361AEBE1">
              <w:rPr>
                <w:rFonts w:eastAsia="Times New Roman"/>
                <w:noProof/>
                <w:sz w:val="18"/>
                <w:szCs w:val="18"/>
                <w:lang w:eastAsia="en-IE"/>
              </w:rPr>
              <w:t> </w:t>
            </w:r>
            <w:r w:rsidR="7D6B2133" w:rsidRPr="27EC1494">
              <w:rPr>
                <w:rFonts w:eastAsia="Times New Roman"/>
                <w:noProof/>
                <w:sz w:val="18"/>
                <w:szCs w:val="18"/>
                <w:lang w:eastAsia="en-IE"/>
              </w:rPr>
              <w:t>Introduc</w:t>
            </w:r>
            <w:r w:rsidR="0C60E14F" w:rsidRPr="27EC1494">
              <w:rPr>
                <w:rFonts w:eastAsia="Times New Roman"/>
                <w:noProof/>
                <w:sz w:val="18"/>
                <w:szCs w:val="18"/>
                <w:lang w:eastAsia="en-IE"/>
              </w:rPr>
              <w:t>ing</w:t>
            </w:r>
            <w:r w:rsidRPr="00D4396B">
              <w:rPr>
                <w:rFonts w:eastAsia="Times New Roman"/>
                <w:noProof/>
                <w:sz w:val="18"/>
                <w:szCs w:val="18"/>
                <w:lang w:eastAsia="en-IE"/>
              </w:rPr>
              <w:t xml:space="preserve"> a Eurojust-EJN case-allocation system by defining </w:t>
            </w:r>
            <w:r w:rsidR="1967D955" w:rsidRPr="071A7FAA">
              <w:rPr>
                <w:rFonts w:eastAsia="Times New Roman"/>
                <w:noProof/>
                <w:sz w:val="18"/>
                <w:szCs w:val="18"/>
                <w:lang w:eastAsia="en-IE"/>
              </w:rPr>
              <w:t xml:space="preserve">in EJR what’s </w:t>
            </w:r>
            <w:r w:rsidR="1E821DF2" w:rsidRPr="071A7FAA">
              <w:rPr>
                <w:rFonts w:eastAsia="Times New Roman"/>
                <w:noProof/>
                <w:sz w:val="18"/>
                <w:szCs w:val="18"/>
                <w:lang w:eastAsia="en-IE"/>
              </w:rPr>
              <w:t>a</w:t>
            </w:r>
            <w:r w:rsidRPr="00D4396B">
              <w:rPr>
                <w:rFonts w:eastAsia="Times New Roman"/>
                <w:noProof/>
                <w:sz w:val="18"/>
                <w:szCs w:val="18"/>
                <w:lang w:eastAsia="en-IE"/>
              </w:rPr>
              <w:t xml:space="preserve"> ‘Eurojust case’</w:t>
            </w:r>
          </w:p>
        </w:tc>
      </w:tr>
      <w:tr w:rsidR="00EA4210" w:rsidRPr="00D4396B" w14:paraId="1C6AEDBC"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D0E6D0"/>
            <w:vAlign w:val="center"/>
            <w:hideMark/>
          </w:tcPr>
          <w:p w14:paraId="6772065C" w14:textId="7EBFAACB" w:rsidR="00EA4210" w:rsidRPr="00D4396B" w:rsidRDefault="477173D9">
            <w:pPr>
              <w:spacing w:after="0"/>
              <w:textAlignment w:val="baseline"/>
              <w:rPr>
                <w:rFonts w:ascii="Segoe UI" w:eastAsia="Times New Roman" w:hAnsi="Segoe UI" w:cs="Segoe UI"/>
                <w:noProof/>
                <w:sz w:val="18"/>
                <w:szCs w:val="18"/>
                <w:lang w:eastAsia="en-IE"/>
              </w:rPr>
            </w:pPr>
            <w:r w:rsidRPr="6E834B38">
              <w:rPr>
                <w:rFonts w:eastAsia="Times New Roman"/>
                <w:noProof/>
                <w:sz w:val="18"/>
                <w:szCs w:val="18"/>
                <w:u w:val="single"/>
                <w:lang w:eastAsia="en-IE"/>
              </w:rPr>
              <w:t>I</w:t>
            </w:r>
            <w:r w:rsidR="2DE70489" w:rsidRPr="6E834B38">
              <w:rPr>
                <w:rFonts w:eastAsia="Times New Roman"/>
                <w:noProof/>
                <w:sz w:val="18"/>
                <w:szCs w:val="18"/>
                <w:u w:val="single"/>
                <w:lang w:eastAsia="en-IE"/>
              </w:rPr>
              <w:t>i.b</w:t>
            </w:r>
            <w:r w:rsidR="2DE70489" w:rsidRPr="6E834B38">
              <w:rPr>
                <w:rFonts w:eastAsia="Times New Roman"/>
                <w:noProof/>
                <w:sz w:val="18"/>
                <w:szCs w:val="18"/>
                <w:lang w:eastAsia="en-IE"/>
              </w:rPr>
              <w:t> Re</w:t>
            </w:r>
            <w:r w:rsidR="5AF37AD3" w:rsidRPr="6E834B38">
              <w:rPr>
                <w:rFonts w:eastAsia="Times New Roman"/>
                <w:noProof/>
                <w:sz w:val="18"/>
                <w:szCs w:val="18"/>
                <w:lang w:eastAsia="en-IE"/>
              </w:rPr>
              <w:t xml:space="preserve">inforce </w:t>
            </w:r>
            <w:r w:rsidRPr="6E834B38">
              <w:rPr>
                <w:rFonts w:eastAsia="Times New Roman"/>
                <w:noProof/>
                <w:sz w:val="18"/>
                <w:szCs w:val="18"/>
                <w:lang w:eastAsia="en-IE"/>
              </w:rPr>
              <w:t>the status of</w:t>
            </w:r>
            <w:r w:rsidR="2DE70489" w:rsidRPr="6E834B38">
              <w:rPr>
                <w:rFonts w:eastAsia="Times New Roman"/>
                <w:noProof/>
                <w:sz w:val="18"/>
                <w:szCs w:val="18"/>
                <w:lang w:eastAsia="en-IE"/>
              </w:rPr>
              <w:t xml:space="preserve"> National Members </w:t>
            </w:r>
            <w:r w:rsidR="48572C57" w:rsidRPr="6E834B38">
              <w:rPr>
                <w:rFonts w:eastAsia="Times New Roman"/>
                <w:noProof/>
                <w:sz w:val="18"/>
                <w:szCs w:val="18"/>
                <w:lang w:eastAsia="en-IE"/>
              </w:rPr>
              <w:t>to give them</w:t>
            </w:r>
            <w:r w:rsidR="2DE70489" w:rsidRPr="6E834B38">
              <w:rPr>
                <w:rFonts w:eastAsia="Times New Roman"/>
                <w:noProof/>
                <w:sz w:val="18"/>
                <w:szCs w:val="18"/>
                <w:lang w:eastAsia="en-IE"/>
              </w:rPr>
              <w:t xml:space="preserve"> full operational powers by amending EJR provisions</w:t>
            </w:r>
          </w:p>
        </w:tc>
      </w:tr>
      <w:tr w:rsidR="00EA4210" w:rsidRPr="00D4396B" w14:paraId="22B37FEF"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D0E6D0"/>
            <w:vAlign w:val="center"/>
            <w:hideMark/>
          </w:tcPr>
          <w:p w14:paraId="4D2F17DE" w14:textId="3DC1D702" w:rsidR="00EA4210" w:rsidRPr="00D4396B" w:rsidRDefault="455BBEF4">
            <w:pPr>
              <w:spacing w:after="0"/>
              <w:textAlignment w:val="baseline"/>
              <w:rPr>
                <w:rFonts w:ascii="Segoe UI" w:eastAsia="Times New Roman" w:hAnsi="Segoe UI" w:cs="Segoe UI"/>
                <w:noProof/>
                <w:sz w:val="18"/>
                <w:szCs w:val="18"/>
                <w:lang w:eastAsia="en-IE"/>
              </w:rPr>
            </w:pPr>
            <w:r w:rsidRPr="522EFC56">
              <w:rPr>
                <w:rFonts w:eastAsia="Times New Roman"/>
                <w:noProof/>
                <w:sz w:val="18"/>
                <w:szCs w:val="18"/>
                <w:u w:val="single"/>
                <w:lang w:eastAsia="en-IE"/>
              </w:rPr>
              <w:t>iii.</w:t>
            </w:r>
            <w:r w:rsidRPr="522EFC56">
              <w:rPr>
                <w:rFonts w:eastAsia="Times New Roman"/>
                <w:noProof/>
                <w:sz w:val="18"/>
                <w:szCs w:val="18"/>
                <w:lang w:eastAsia="en-IE"/>
              </w:rPr>
              <w:t> Entrusting National Members with new capabilities (issuing freezing orders</w:t>
            </w:r>
            <w:r w:rsidR="4223D5BA" w:rsidRPr="522EFC56">
              <w:rPr>
                <w:rFonts w:eastAsia="Times New Roman"/>
                <w:noProof/>
                <w:sz w:val="18"/>
                <w:szCs w:val="18"/>
                <w:lang w:eastAsia="en-IE"/>
              </w:rPr>
              <w:t xml:space="preserve"> (or immediate action)</w:t>
            </w:r>
            <w:r w:rsidRPr="522EFC56">
              <w:rPr>
                <w:rFonts w:eastAsia="Times New Roman"/>
                <w:noProof/>
                <w:sz w:val="18"/>
                <w:szCs w:val="18"/>
                <w:lang w:eastAsia="en-IE"/>
              </w:rPr>
              <w:t>, </w:t>
            </w:r>
            <w:r w:rsidR="05D05156" w:rsidRPr="522EFC56">
              <w:rPr>
                <w:rFonts w:eastAsia="Times New Roman"/>
                <w:noProof/>
                <w:sz w:val="18"/>
                <w:szCs w:val="18"/>
                <w:lang w:eastAsia="en-IE"/>
              </w:rPr>
              <w:t>e-evidence orders</w:t>
            </w:r>
            <w:r w:rsidRPr="522EFC56">
              <w:rPr>
                <w:rFonts w:eastAsia="Times New Roman"/>
                <w:noProof/>
                <w:sz w:val="18"/>
                <w:szCs w:val="18"/>
                <w:lang w:eastAsia="en-IE"/>
              </w:rPr>
              <w:t>, signing JIT agreements)</w:t>
            </w:r>
          </w:p>
        </w:tc>
      </w:tr>
      <w:tr w:rsidR="00EA4210" w:rsidRPr="00D4396B" w14:paraId="365ACB9E"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D0E6D0"/>
            <w:vAlign w:val="center"/>
            <w:hideMark/>
          </w:tcPr>
          <w:p w14:paraId="5B3FB6F5" w14:textId="3BFC9880"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iv.</w:t>
            </w:r>
            <w:r w:rsidRPr="00D4396B">
              <w:rPr>
                <w:rFonts w:eastAsia="Times New Roman"/>
                <w:noProof/>
                <w:sz w:val="18"/>
                <w:szCs w:val="18"/>
                <w:lang w:eastAsia="en-IE"/>
              </w:rPr>
              <w:t> </w:t>
            </w:r>
            <w:r w:rsidRPr="5341516C">
              <w:rPr>
                <w:rFonts w:eastAsia="Times New Roman"/>
                <w:noProof/>
                <w:sz w:val="18"/>
                <w:szCs w:val="18"/>
                <w:lang w:eastAsia="en-IE"/>
              </w:rPr>
              <w:t>Grant</w:t>
            </w:r>
            <w:r w:rsidR="3B7AB11E" w:rsidRPr="5341516C">
              <w:rPr>
                <w:rFonts w:eastAsia="Times New Roman"/>
                <w:noProof/>
                <w:sz w:val="18"/>
                <w:szCs w:val="18"/>
                <w:lang w:eastAsia="en-IE"/>
              </w:rPr>
              <w:t>ing</w:t>
            </w:r>
            <w:r w:rsidRPr="00D4396B">
              <w:rPr>
                <w:rFonts w:eastAsia="Times New Roman"/>
                <w:noProof/>
                <w:sz w:val="18"/>
                <w:szCs w:val="18"/>
                <w:lang w:eastAsia="en-IE"/>
              </w:rPr>
              <w:t xml:space="preserve"> National Members the authority to open cases</w:t>
            </w:r>
          </w:p>
        </w:tc>
      </w:tr>
      <w:tr w:rsidR="00EA4210" w:rsidRPr="00D4396B" w14:paraId="3E18B699" w14:textId="77777777" w:rsidTr="6E834B38">
        <w:trPr>
          <w:cantSplit/>
        </w:trPr>
        <w:tc>
          <w:tcPr>
            <w:tcW w:w="7441" w:type="dxa"/>
            <w:tcBorders>
              <w:top w:val="single" w:sz="6" w:space="0" w:color="auto"/>
              <w:left w:val="single" w:sz="6" w:space="0" w:color="auto"/>
              <w:right w:val="single" w:sz="4" w:space="0" w:color="auto"/>
            </w:tcBorders>
            <w:shd w:val="clear" w:color="auto" w:fill="FFF5EB"/>
            <w:vAlign w:val="center"/>
            <w:hideMark/>
          </w:tcPr>
          <w:p w14:paraId="5442347B" w14:textId="77777777" w:rsidR="00EA4210" w:rsidRPr="00D4396B" w:rsidRDefault="00EA4210">
            <w:pPr>
              <w:spacing w:after="2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C. Establishing a streamlined governance system that accelerates decision-making</w:t>
            </w:r>
            <w:r w:rsidRPr="00D4396B">
              <w:rPr>
                <w:rFonts w:eastAsia="Times New Roman"/>
                <w:noProof/>
                <w:sz w:val="18"/>
                <w:szCs w:val="18"/>
                <w:lang w:eastAsia="en-IE"/>
              </w:rPr>
              <w:t> </w:t>
            </w:r>
          </w:p>
          <w:p w14:paraId="74F902BC" w14:textId="1E8900EE" w:rsidR="00EA4210" w:rsidRPr="00D4396B" w:rsidRDefault="00EA4210" w:rsidP="009031D2">
            <w:pPr>
              <w:spacing w:after="0"/>
              <w:textAlignment w:val="baseline"/>
              <w:rPr>
                <w:rFonts w:ascii="Segoe UI" w:eastAsia="Times New Roman" w:hAnsi="Segoe UI" w:cs="Segoe UI"/>
                <w:noProof/>
                <w:sz w:val="18"/>
                <w:szCs w:val="18"/>
                <w:lang w:eastAsia="en-IE"/>
              </w:rPr>
            </w:pPr>
            <w:r w:rsidRPr="00D4396B">
              <w:rPr>
                <w:rFonts w:eastAsia="Times New Roman"/>
                <w:i/>
                <w:iCs/>
                <w:noProof/>
                <w:sz w:val="18"/>
                <w:szCs w:val="18"/>
                <w:lang w:eastAsia="en-IE"/>
              </w:rPr>
              <w:t>Addressing problem driver(s):</w:t>
            </w:r>
            <w:r w:rsidRPr="00D4396B">
              <w:rPr>
                <w:rFonts w:eastAsia="Times New Roman"/>
                <w:noProof/>
                <w:sz w:val="18"/>
                <w:szCs w:val="18"/>
                <w:lang w:eastAsia="en-IE"/>
              </w:rPr>
              <w:t> #4 Lack of clear separation between operational and administrative responsibilities</w:t>
            </w:r>
            <w:r w:rsidR="009031D2" w:rsidRPr="00D4396B">
              <w:rPr>
                <w:rFonts w:eastAsia="Times New Roman"/>
                <w:noProof/>
                <w:sz w:val="18"/>
                <w:szCs w:val="18"/>
                <w:lang w:eastAsia="en-IE"/>
              </w:rPr>
              <w:t>;</w:t>
            </w:r>
            <w:r w:rsidRPr="00D4396B">
              <w:rPr>
                <w:rFonts w:eastAsia="Times New Roman"/>
                <w:noProof/>
                <w:sz w:val="18"/>
                <w:szCs w:val="18"/>
                <w:lang w:eastAsia="en-IE"/>
              </w:rPr>
              <w:t> #5</w:t>
            </w:r>
            <w:r w:rsidRPr="00D4396B">
              <w:rPr>
                <w:rFonts w:eastAsia="Times New Roman"/>
                <w:b/>
                <w:bCs/>
                <w:noProof/>
                <w:sz w:val="18"/>
                <w:szCs w:val="18"/>
                <w:lang w:eastAsia="en-IE"/>
              </w:rPr>
              <w:t> </w:t>
            </w:r>
            <w:r w:rsidRPr="00D4396B">
              <w:rPr>
                <w:rFonts w:eastAsia="Times New Roman"/>
                <w:noProof/>
                <w:sz w:val="18"/>
                <w:szCs w:val="18"/>
                <w:lang w:eastAsia="en-IE"/>
              </w:rPr>
              <w:t>Complex governance structure and outdated legacy organisational culture </w:t>
            </w:r>
          </w:p>
        </w:tc>
        <w:tc>
          <w:tcPr>
            <w:tcW w:w="2260" w:type="dxa"/>
            <w:gridSpan w:val="2"/>
            <w:tcBorders>
              <w:top w:val="single" w:sz="6" w:space="0" w:color="auto"/>
              <w:left w:val="single" w:sz="4" w:space="0" w:color="auto"/>
              <w:right w:val="single" w:sz="6" w:space="0" w:color="000000" w:themeColor="text1"/>
            </w:tcBorders>
            <w:shd w:val="clear" w:color="auto" w:fill="F4DECD"/>
            <w:vAlign w:val="center"/>
          </w:tcPr>
          <w:p w14:paraId="0FEACF20" w14:textId="77777777" w:rsidR="00EA4210" w:rsidRPr="00D4396B" w:rsidRDefault="00EA4210">
            <w:pPr>
              <w:spacing w:after="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C.PO3</w:t>
            </w:r>
            <w:r w:rsidRPr="00D4396B">
              <w:rPr>
                <w:rFonts w:eastAsia="Times New Roman"/>
                <w:noProof/>
                <w:sz w:val="18"/>
                <w:szCs w:val="18"/>
                <w:lang w:eastAsia="en-IE"/>
              </w:rPr>
              <w:t> </w:t>
            </w:r>
          </w:p>
        </w:tc>
      </w:tr>
      <w:tr w:rsidR="00EA4210" w:rsidRPr="00D4396B" w14:paraId="0E9C66BB" w14:textId="77777777" w:rsidTr="6E834B38">
        <w:trPr>
          <w:cantSplit/>
        </w:trPr>
        <w:tc>
          <w:tcPr>
            <w:tcW w:w="9701" w:type="dxa"/>
            <w:gridSpan w:val="3"/>
            <w:tcBorders>
              <w:top w:val="single" w:sz="4" w:space="0" w:color="auto"/>
              <w:left w:val="single" w:sz="6" w:space="0" w:color="auto"/>
              <w:bottom w:val="single" w:sz="6" w:space="0" w:color="auto"/>
              <w:right w:val="single" w:sz="6" w:space="0" w:color="auto"/>
            </w:tcBorders>
            <w:shd w:val="clear" w:color="auto" w:fill="F4DECD"/>
            <w:vAlign w:val="center"/>
            <w:hideMark/>
          </w:tcPr>
          <w:p w14:paraId="1BFE404C" w14:textId="3FC4ABE7" w:rsidR="51D687B5" w:rsidRPr="00D4396B" w:rsidRDefault="51D687B5" w:rsidP="15DD6539">
            <w:pPr>
              <w:spacing w:after="0"/>
              <w:rPr>
                <w:rFonts w:eastAsia="Times New Roman"/>
                <w:noProof/>
                <w:sz w:val="18"/>
                <w:szCs w:val="18"/>
                <w:u w:val="single"/>
                <w:lang w:eastAsia="en-IE"/>
              </w:rPr>
            </w:pPr>
            <w:r w:rsidRPr="00D4396B">
              <w:rPr>
                <w:rFonts w:eastAsia="Times New Roman"/>
                <w:noProof/>
                <w:sz w:val="18"/>
                <w:szCs w:val="18"/>
                <w:u w:val="single"/>
                <w:lang w:eastAsia="en-IE"/>
              </w:rPr>
              <w:t>i</w:t>
            </w:r>
            <w:r w:rsidR="00AA72C2">
              <w:rPr>
                <w:rFonts w:eastAsia="Times New Roman"/>
                <w:noProof/>
                <w:sz w:val="18"/>
                <w:szCs w:val="18"/>
                <w:u w:val="single"/>
                <w:lang w:eastAsia="en-IE"/>
              </w:rPr>
              <w:t>.</w:t>
            </w:r>
            <w:r w:rsidRPr="6907809E">
              <w:rPr>
                <w:rFonts w:eastAsia="Times New Roman"/>
                <w:noProof/>
                <w:sz w:val="18"/>
                <w:szCs w:val="18"/>
                <w:lang w:eastAsia="en-IE"/>
              </w:rPr>
              <w:t xml:space="preserve"> Revision of the allocation of responsibilities between governance bodies</w:t>
            </w:r>
          </w:p>
          <w:p w14:paraId="41120824" w14:textId="545C5725" w:rsidR="51D687B5" w:rsidRPr="00D4396B" w:rsidRDefault="51D687B5" w:rsidP="15DD6539">
            <w:pPr>
              <w:spacing w:after="0"/>
              <w:rPr>
                <w:rFonts w:eastAsia="Times New Roman"/>
                <w:noProof/>
                <w:sz w:val="18"/>
                <w:szCs w:val="18"/>
                <w:u w:val="single"/>
                <w:lang w:eastAsia="en-IE"/>
              </w:rPr>
            </w:pPr>
            <w:r w:rsidRPr="00D4396B">
              <w:rPr>
                <w:rFonts w:eastAsia="Times New Roman"/>
                <w:noProof/>
                <w:sz w:val="18"/>
                <w:szCs w:val="18"/>
                <w:u w:val="single"/>
                <w:lang w:eastAsia="en-IE"/>
              </w:rPr>
              <w:t>ii</w:t>
            </w:r>
            <w:r w:rsidR="00AA72C2">
              <w:rPr>
                <w:rFonts w:eastAsia="Times New Roman"/>
                <w:noProof/>
                <w:sz w:val="18"/>
                <w:szCs w:val="18"/>
                <w:u w:val="single"/>
                <w:lang w:eastAsia="en-IE"/>
              </w:rPr>
              <w:t>.</w:t>
            </w:r>
            <w:r w:rsidRPr="6907809E">
              <w:rPr>
                <w:rFonts w:eastAsia="Times New Roman"/>
                <w:noProof/>
                <w:sz w:val="18"/>
                <w:szCs w:val="18"/>
                <w:lang w:eastAsia="en-IE"/>
              </w:rPr>
              <w:t xml:space="preserve"> Reform of the Executive Board</w:t>
            </w:r>
          </w:p>
          <w:p w14:paraId="5521D95B" w14:textId="3A3E9765" w:rsidR="00EA4210" w:rsidRPr="00D4396B" w:rsidRDefault="075A35E8">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iii.</w:t>
            </w:r>
            <w:r w:rsidRPr="00D4396B">
              <w:rPr>
                <w:rFonts w:eastAsia="Times New Roman"/>
                <w:noProof/>
                <w:sz w:val="18"/>
                <w:szCs w:val="18"/>
                <w:lang w:eastAsia="en-IE"/>
              </w:rPr>
              <w:t xml:space="preserve"> Introduction of </w:t>
            </w:r>
            <w:r w:rsidR="0F9977C1" w:rsidRPr="14241969">
              <w:rPr>
                <w:rFonts w:eastAsia="Times New Roman"/>
                <w:noProof/>
                <w:sz w:val="18"/>
                <w:szCs w:val="18"/>
                <w:lang w:eastAsia="en-IE"/>
              </w:rPr>
              <w:t>a</w:t>
            </w:r>
            <w:r w:rsidR="383FD7CA" w:rsidRPr="14241969">
              <w:rPr>
                <w:rFonts w:eastAsia="Times New Roman"/>
                <w:noProof/>
                <w:sz w:val="18"/>
                <w:szCs w:val="18"/>
                <w:lang w:eastAsia="en-IE"/>
              </w:rPr>
              <w:t xml:space="preserve"> </w:t>
            </w:r>
            <w:r w:rsidR="0F9977C1" w:rsidRPr="14241969">
              <w:rPr>
                <w:rFonts w:eastAsia="Times New Roman"/>
                <w:noProof/>
                <w:sz w:val="18"/>
                <w:szCs w:val="18"/>
                <w:lang w:eastAsia="en-IE"/>
              </w:rPr>
              <w:t>Management</w:t>
            </w:r>
            <w:r w:rsidRPr="00D4396B">
              <w:rPr>
                <w:rFonts w:eastAsia="Times New Roman"/>
                <w:noProof/>
                <w:sz w:val="18"/>
                <w:szCs w:val="18"/>
                <w:lang w:eastAsia="en-IE"/>
              </w:rPr>
              <w:t xml:space="preserve"> Board</w:t>
            </w:r>
          </w:p>
        </w:tc>
      </w:tr>
      <w:tr w:rsidR="00EA4210" w:rsidRPr="00D4396B" w14:paraId="0DE1EDFE" w14:textId="77777777" w:rsidTr="6E834B38">
        <w:trPr>
          <w:cantSplit/>
        </w:trPr>
        <w:tc>
          <w:tcPr>
            <w:tcW w:w="7451" w:type="dxa"/>
            <w:gridSpan w:val="2"/>
            <w:tcBorders>
              <w:top w:val="single" w:sz="6" w:space="0" w:color="auto"/>
              <w:left w:val="single" w:sz="6" w:space="0" w:color="auto"/>
              <w:bottom w:val="single" w:sz="4" w:space="0" w:color="auto"/>
              <w:right w:val="single" w:sz="4" w:space="0" w:color="auto"/>
            </w:tcBorders>
            <w:shd w:val="clear" w:color="auto" w:fill="EBF8F8"/>
            <w:vAlign w:val="center"/>
            <w:hideMark/>
          </w:tcPr>
          <w:p w14:paraId="5F9029CB" w14:textId="163791D7" w:rsidR="00EA4210" w:rsidRPr="00D4396B" w:rsidRDefault="00A434F8">
            <w:pPr>
              <w:spacing w:after="2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D</w:t>
            </w:r>
            <w:r w:rsidR="00EA4210" w:rsidRPr="00D4396B">
              <w:rPr>
                <w:rFonts w:eastAsia="Times New Roman"/>
                <w:b/>
                <w:bCs/>
                <w:noProof/>
                <w:sz w:val="18"/>
                <w:szCs w:val="18"/>
                <w:lang w:eastAsia="en-IE"/>
              </w:rPr>
              <w:t>. Fostering and strengthening structured operational cooperation with Europol</w:t>
            </w:r>
            <w:r w:rsidR="00EA4210" w:rsidRPr="00D4396B">
              <w:rPr>
                <w:rFonts w:eastAsia="Times New Roman"/>
                <w:noProof/>
                <w:sz w:val="18"/>
                <w:szCs w:val="18"/>
                <w:lang w:eastAsia="en-IE"/>
              </w:rPr>
              <w:t> </w:t>
            </w:r>
          </w:p>
          <w:p w14:paraId="744C45A0" w14:textId="3C052C11" w:rsidR="00EA4210" w:rsidRPr="00D4396B" w:rsidRDefault="00EA4210" w:rsidP="009031D2">
            <w:pPr>
              <w:spacing w:after="0"/>
              <w:textAlignment w:val="baseline"/>
              <w:rPr>
                <w:rFonts w:ascii="Segoe UI" w:eastAsia="Times New Roman" w:hAnsi="Segoe UI" w:cs="Segoe UI"/>
                <w:noProof/>
                <w:sz w:val="18"/>
                <w:szCs w:val="18"/>
                <w:lang w:eastAsia="en-IE"/>
              </w:rPr>
            </w:pPr>
            <w:r w:rsidRPr="00D4396B">
              <w:rPr>
                <w:rFonts w:eastAsia="Times New Roman"/>
                <w:i/>
                <w:iCs/>
                <w:noProof/>
                <w:sz w:val="18"/>
                <w:szCs w:val="18"/>
                <w:lang w:eastAsia="en-IE"/>
              </w:rPr>
              <w:t>Addressing problem driver(s):</w:t>
            </w:r>
            <w:r w:rsidRPr="00D4396B">
              <w:rPr>
                <w:rFonts w:eastAsia="Times New Roman"/>
                <w:noProof/>
                <w:sz w:val="18"/>
                <w:szCs w:val="18"/>
                <w:lang w:eastAsia="en-IE"/>
              </w:rPr>
              <w:t> #8 Absence of a structurally embedded cooperation with Europol </w:t>
            </w:r>
          </w:p>
        </w:tc>
        <w:tc>
          <w:tcPr>
            <w:tcW w:w="2250" w:type="dxa"/>
            <w:tcBorders>
              <w:top w:val="single" w:sz="6" w:space="0" w:color="auto"/>
              <w:left w:val="single" w:sz="4" w:space="0" w:color="auto"/>
              <w:bottom w:val="single" w:sz="4" w:space="0" w:color="auto"/>
              <w:right w:val="single" w:sz="6" w:space="0" w:color="000000" w:themeColor="text1"/>
            </w:tcBorders>
            <w:shd w:val="clear" w:color="auto" w:fill="CDE6E6"/>
            <w:vAlign w:val="center"/>
          </w:tcPr>
          <w:p w14:paraId="2D18076F" w14:textId="6CE2AA09" w:rsidR="00EA4210" w:rsidRPr="00D4396B" w:rsidRDefault="00A434F8">
            <w:pPr>
              <w:spacing w:after="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D</w:t>
            </w:r>
            <w:r w:rsidR="00EA4210" w:rsidRPr="00D4396B">
              <w:rPr>
                <w:rFonts w:eastAsia="Times New Roman"/>
                <w:b/>
                <w:bCs/>
                <w:noProof/>
                <w:sz w:val="18"/>
                <w:szCs w:val="18"/>
                <w:lang w:eastAsia="en-IE"/>
              </w:rPr>
              <w:t>.PO3</w:t>
            </w:r>
            <w:r w:rsidR="00EA4210" w:rsidRPr="00D4396B">
              <w:rPr>
                <w:rFonts w:eastAsia="Times New Roman"/>
                <w:noProof/>
                <w:sz w:val="18"/>
                <w:szCs w:val="18"/>
                <w:lang w:eastAsia="en-IE"/>
              </w:rPr>
              <w:t> </w:t>
            </w:r>
          </w:p>
        </w:tc>
      </w:tr>
      <w:tr w:rsidR="00EA4210" w:rsidRPr="00D4396B" w14:paraId="09813397" w14:textId="77777777" w:rsidTr="6E834B38">
        <w:trPr>
          <w:cantSplit/>
        </w:trPr>
        <w:tc>
          <w:tcPr>
            <w:tcW w:w="9701" w:type="dxa"/>
            <w:gridSpan w:val="3"/>
            <w:tcBorders>
              <w:top w:val="single" w:sz="4" w:space="0" w:color="auto"/>
              <w:left w:val="single" w:sz="6" w:space="0" w:color="auto"/>
              <w:bottom w:val="single" w:sz="6" w:space="0" w:color="auto"/>
              <w:right w:val="single" w:sz="6" w:space="0" w:color="auto"/>
            </w:tcBorders>
            <w:shd w:val="clear" w:color="auto" w:fill="CDE6E6"/>
            <w:vAlign w:val="center"/>
            <w:hideMark/>
          </w:tcPr>
          <w:p w14:paraId="2F73D362" w14:textId="3CA5BB76" w:rsidR="00EA4210" w:rsidRPr="00D4396B" w:rsidRDefault="00EA4210">
            <w:pPr>
              <w:spacing w:after="0"/>
              <w:jc w:val="left"/>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w:t>
            </w:r>
            <w:r w:rsidR="3EAA03AF" w:rsidRPr="00D4396B">
              <w:rPr>
                <w:rFonts w:eastAsia="Times New Roman"/>
                <w:noProof/>
                <w:sz w:val="18"/>
                <w:szCs w:val="18"/>
                <w:u w:val="single"/>
                <w:lang w:eastAsia="en-IE"/>
              </w:rPr>
              <w:t>b</w:t>
            </w:r>
            <w:r w:rsidR="3EAA03AF" w:rsidRPr="00D4396B">
              <w:rPr>
                <w:rFonts w:eastAsia="Times New Roman"/>
                <w:noProof/>
                <w:sz w:val="18"/>
                <w:szCs w:val="18"/>
                <w:lang w:eastAsia="en-IE"/>
              </w:rPr>
              <w:t> Optimising</w:t>
            </w:r>
            <w:r w:rsidRPr="00D4396B">
              <w:rPr>
                <w:rFonts w:eastAsia="Times New Roman"/>
                <w:noProof/>
                <w:sz w:val="18"/>
                <w:szCs w:val="18"/>
                <w:lang w:eastAsia="en-IE"/>
              </w:rPr>
              <w:t xml:space="preserve"> Eurojust-</w:t>
            </w:r>
            <w:r w:rsidR="46CF1071" w:rsidRPr="00D4396B">
              <w:rPr>
                <w:rFonts w:eastAsia="Times New Roman"/>
                <w:noProof/>
                <w:sz w:val="18"/>
                <w:szCs w:val="18"/>
                <w:lang w:eastAsia="en-IE"/>
              </w:rPr>
              <w:t>Europol</w:t>
            </w:r>
            <w:r w:rsidR="3EAA03AF" w:rsidRPr="00D4396B">
              <w:rPr>
                <w:rFonts w:eastAsia="Times New Roman"/>
                <w:noProof/>
                <w:sz w:val="18"/>
                <w:szCs w:val="18"/>
                <w:lang w:eastAsia="en-IE"/>
              </w:rPr>
              <w:t>’s</w:t>
            </w:r>
            <w:r w:rsidRPr="00D4396B">
              <w:rPr>
                <w:rFonts w:eastAsia="Times New Roman"/>
                <w:noProof/>
                <w:sz w:val="18"/>
                <w:szCs w:val="18"/>
                <w:lang w:eastAsia="en-IE"/>
              </w:rPr>
              <w:t xml:space="preserve"> hit/no-hit system through technical measures linked to new legal obligations</w:t>
            </w:r>
          </w:p>
        </w:tc>
      </w:tr>
      <w:tr w:rsidR="00EA4210" w:rsidRPr="00D4396B" w14:paraId="1DE36202"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CDE6E6"/>
            <w:vAlign w:val="center"/>
            <w:hideMark/>
          </w:tcPr>
          <w:p w14:paraId="3CA4EB4B" w14:textId="0779249F" w:rsidR="00EA4210" w:rsidRPr="00D4396B" w:rsidRDefault="00EA4210">
            <w:pPr>
              <w:spacing w:after="0"/>
              <w:jc w:val="left"/>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ii.b</w:t>
            </w:r>
            <w:r w:rsidRPr="00D4396B">
              <w:rPr>
                <w:rFonts w:eastAsia="Times New Roman"/>
                <w:noProof/>
                <w:sz w:val="18"/>
                <w:szCs w:val="18"/>
                <w:lang w:eastAsia="en-IE"/>
              </w:rPr>
              <w:t xml:space="preserve"> Revising the 2010 Eurojust-Europol Working </w:t>
            </w:r>
            <w:r w:rsidRPr="6907809E">
              <w:rPr>
                <w:rFonts w:eastAsia="Times New Roman"/>
                <w:noProof/>
                <w:sz w:val="18"/>
                <w:szCs w:val="18"/>
                <w:lang w:eastAsia="en-IE"/>
              </w:rPr>
              <w:t>Arrangement</w:t>
            </w:r>
            <w:r w:rsidRPr="00D4396B">
              <w:rPr>
                <w:rFonts w:eastAsia="Times New Roman"/>
                <w:noProof/>
                <w:sz w:val="18"/>
                <w:szCs w:val="18"/>
                <w:lang w:eastAsia="en-IE"/>
              </w:rPr>
              <w:t xml:space="preserve"> and introducing an obligation of periodic review</w:t>
            </w:r>
          </w:p>
        </w:tc>
      </w:tr>
      <w:tr w:rsidR="00EA4210" w:rsidRPr="00D4396B" w14:paraId="524DA773"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CDE6E6"/>
            <w:vAlign w:val="center"/>
            <w:hideMark/>
          </w:tcPr>
          <w:p w14:paraId="37339E53" w14:textId="77777777" w:rsidR="00EA4210" w:rsidRPr="00D4396B" w:rsidRDefault="00EA4210">
            <w:pPr>
              <w:spacing w:after="0"/>
              <w:jc w:val="left"/>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iii.</w:t>
            </w:r>
            <w:r w:rsidRPr="00D4396B">
              <w:rPr>
                <w:rFonts w:eastAsia="Times New Roman"/>
                <w:noProof/>
                <w:sz w:val="18"/>
                <w:szCs w:val="18"/>
                <w:lang w:eastAsia="en-IE"/>
              </w:rPr>
              <w:t> Creating a dedicated cooperation channel for systematic follow up on SIRIUS referrals</w:t>
            </w:r>
          </w:p>
        </w:tc>
      </w:tr>
      <w:tr w:rsidR="00EA4210" w:rsidRPr="00D4396B" w14:paraId="78E919C4"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CDE6E6"/>
            <w:vAlign w:val="center"/>
            <w:hideMark/>
          </w:tcPr>
          <w:p w14:paraId="081DC3B1" w14:textId="77777777"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iv.</w:t>
            </w:r>
            <w:r w:rsidRPr="00D4396B">
              <w:rPr>
                <w:rFonts w:eastAsia="Times New Roman"/>
                <w:noProof/>
                <w:sz w:val="18"/>
                <w:szCs w:val="18"/>
                <w:lang w:eastAsia="en-IE"/>
              </w:rPr>
              <w:t> Granting participation in College meetings to Europol representatives</w:t>
            </w:r>
          </w:p>
        </w:tc>
      </w:tr>
      <w:tr w:rsidR="00EA4210" w:rsidRPr="00D4396B" w14:paraId="6EB04726" w14:textId="77777777" w:rsidTr="6E834B38">
        <w:trPr>
          <w:cantSplit/>
        </w:trPr>
        <w:tc>
          <w:tcPr>
            <w:tcW w:w="9701" w:type="dxa"/>
            <w:gridSpan w:val="3"/>
            <w:tcBorders>
              <w:top w:val="nil"/>
              <w:left w:val="single" w:sz="6" w:space="0" w:color="auto"/>
              <w:bottom w:val="single" w:sz="6" w:space="0" w:color="auto"/>
              <w:right w:val="single" w:sz="4" w:space="0" w:color="auto"/>
            </w:tcBorders>
            <w:shd w:val="clear" w:color="auto" w:fill="CDE6E6"/>
            <w:vAlign w:val="center"/>
            <w:hideMark/>
          </w:tcPr>
          <w:p w14:paraId="218E6473" w14:textId="77777777"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v.</w:t>
            </w:r>
            <w:r w:rsidRPr="00D4396B">
              <w:rPr>
                <w:rFonts w:eastAsia="Times New Roman"/>
                <w:noProof/>
                <w:sz w:val="18"/>
                <w:szCs w:val="18"/>
                <w:lang w:eastAsia="en-IE"/>
              </w:rPr>
              <w:t> Codifying cooperation modalities between Eurojust and Europol</w:t>
            </w:r>
          </w:p>
        </w:tc>
      </w:tr>
      <w:tr w:rsidR="00EA4210" w:rsidRPr="00D4396B" w14:paraId="28C0959D" w14:textId="77777777" w:rsidTr="6E834B38">
        <w:trPr>
          <w:cantSplit/>
        </w:trPr>
        <w:tc>
          <w:tcPr>
            <w:tcW w:w="7451" w:type="dxa"/>
            <w:gridSpan w:val="2"/>
            <w:tcBorders>
              <w:top w:val="single" w:sz="6" w:space="0" w:color="auto"/>
              <w:left w:val="single" w:sz="6" w:space="0" w:color="auto"/>
              <w:right w:val="single" w:sz="4" w:space="0" w:color="auto"/>
            </w:tcBorders>
            <w:shd w:val="clear" w:color="auto" w:fill="FFEEEE"/>
            <w:vAlign w:val="center"/>
            <w:hideMark/>
          </w:tcPr>
          <w:p w14:paraId="7BA65F8F" w14:textId="6CF73EDF" w:rsidR="00EA4210" w:rsidRPr="00D4396B" w:rsidRDefault="0061372C">
            <w:pPr>
              <w:spacing w:after="2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E</w:t>
            </w:r>
            <w:r w:rsidR="00EA4210" w:rsidRPr="00D4396B">
              <w:rPr>
                <w:rFonts w:eastAsia="Times New Roman"/>
                <w:b/>
                <w:bCs/>
                <w:noProof/>
                <w:sz w:val="18"/>
                <w:szCs w:val="18"/>
                <w:lang w:eastAsia="en-IE"/>
              </w:rPr>
              <w:t>. Promoting fully developed cooperation with the EPPO</w:t>
            </w:r>
            <w:r w:rsidR="00EA4210" w:rsidRPr="00D4396B">
              <w:rPr>
                <w:rFonts w:eastAsia="Times New Roman"/>
                <w:noProof/>
                <w:sz w:val="18"/>
                <w:szCs w:val="18"/>
                <w:lang w:eastAsia="en-IE"/>
              </w:rPr>
              <w:t> </w:t>
            </w:r>
          </w:p>
          <w:p w14:paraId="5A425E3B" w14:textId="74A1F397" w:rsidR="00EA4210" w:rsidRPr="00D4396B" w:rsidRDefault="00EA4210" w:rsidP="009031D2">
            <w:pPr>
              <w:spacing w:after="0"/>
              <w:textAlignment w:val="baseline"/>
              <w:rPr>
                <w:rFonts w:ascii="Segoe UI" w:eastAsia="Times New Roman" w:hAnsi="Segoe UI" w:cs="Segoe UI"/>
                <w:noProof/>
                <w:sz w:val="18"/>
                <w:szCs w:val="18"/>
                <w:lang w:eastAsia="en-IE"/>
              </w:rPr>
            </w:pPr>
            <w:r w:rsidRPr="00D4396B">
              <w:rPr>
                <w:rFonts w:eastAsia="Times New Roman"/>
                <w:i/>
                <w:iCs/>
                <w:noProof/>
                <w:sz w:val="18"/>
                <w:szCs w:val="18"/>
                <w:lang w:eastAsia="en-IE"/>
              </w:rPr>
              <w:t>Addressing problem driver(s):</w:t>
            </w:r>
            <w:r w:rsidRPr="00D4396B">
              <w:rPr>
                <w:rFonts w:eastAsia="Times New Roman"/>
                <w:noProof/>
                <w:sz w:val="18"/>
                <w:szCs w:val="18"/>
                <w:lang w:eastAsia="en-IE"/>
              </w:rPr>
              <w:t> #9 Constrained cooperation with the EPPO</w:t>
            </w:r>
          </w:p>
        </w:tc>
        <w:tc>
          <w:tcPr>
            <w:tcW w:w="2250" w:type="dxa"/>
            <w:tcBorders>
              <w:top w:val="single" w:sz="6" w:space="0" w:color="auto"/>
              <w:left w:val="single" w:sz="4" w:space="0" w:color="auto"/>
              <w:right w:val="single" w:sz="4" w:space="0" w:color="auto"/>
            </w:tcBorders>
            <w:shd w:val="clear" w:color="auto" w:fill="F8DEDE"/>
            <w:vAlign w:val="center"/>
          </w:tcPr>
          <w:p w14:paraId="3F25D09B" w14:textId="7C814235" w:rsidR="00EA4210" w:rsidRPr="00D4396B" w:rsidRDefault="0061372C">
            <w:pPr>
              <w:spacing w:after="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E</w:t>
            </w:r>
            <w:r w:rsidR="00EA4210" w:rsidRPr="00D4396B">
              <w:rPr>
                <w:rFonts w:eastAsia="Times New Roman"/>
                <w:b/>
                <w:bCs/>
                <w:noProof/>
                <w:sz w:val="18"/>
                <w:szCs w:val="18"/>
                <w:lang w:eastAsia="en-IE"/>
              </w:rPr>
              <w:t>.PO2</w:t>
            </w:r>
            <w:r w:rsidR="00EA4210" w:rsidRPr="00D4396B">
              <w:rPr>
                <w:rFonts w:eastAsia="Times New Roman"/>
                <w:noProof/>
                <w:sz w:val="18"/>
                <w:szCs w:val="18"/>
                <w:lang w:eastAsia="en-IE"/>
              </w:rPr>
              <w:t> </w:t>
            </w:r>
          </w:p>
        </w:tc>
      </w:tr>
      <w:tr w:rsidR="00EA4210" w:rsidRPr="00D4396B" w14:paraId="33433DEC" w14:textId="77777777" w:rsidTr="6E834B38">
        <w:trPr>
          <w:cantSplit/>
        </w:trPr>
        <w:tc>
          <w:tcPr>
            <w:tcW w:w="9701" w:type="dxa"/>
            <w:gridSpan w:val="3"/>
            <w:tcBorders>
              <w:top w:val="single" w:sz="6" w:space="0" w:color="auto"/>
              <w:left w:val="single" w:sz="6" w:space="0" w:color="auto"/>
              <w:bottom w:val="single" w:sz="6" w:space="0" w:color="auto"/>
              <w:right w:val="single" w:sz="6" w:space="0" w:color="auto"/>
            </w:tcBorders>
            <w:shd w:val="clear" w:color="auto" w:fill="F8DEDE"/>
            <w:vAlign w:val="center"/>
            <w:hideMark/>
          </w:tcPr>
          <w:p w14:paraId="7F387090" w14:textId="05D5D85A"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i.b</w:t>
            </w:r>
            <w:r w:rsidRPr="00D4396B">
              <w:rPr>
                <w:rFonts w:eastAsia="Times New Roman"/>
                <w:noProof/>
                <w:sz w:val="18"/>
                <w:szCs w:val="18"/>
                <w:lang w:eastAsia="en-IE"/>
              </w:rPr>
              <w:t> Optimising Eurojust-EPPO’s hit/no-hit system through technical measures linked to new legal obligations</w:t>
            </w:r>
          </w:p>
        </w:tc>
      </w:tr>
      <w:tr w:rsidR="00EA4210" w:rsidRPr="00D4396B" w14:paraId="09854603"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F8DEDE"/>
            <w:vAlign w:val="center"/>
            <w:hideMark/>
          </w:tcPr>
          <w:p w14:paraId="35AB5915" w14:textId="77777777"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ii.</w:t>
            </w:r>
            <w:r w:rsidR="71D7AFC4" w:rsidRPr="78BED579">
              <w:rPr>
                <w:rFonts w:eastAsia="Times New Roman"/>
                <w:noProof/>
                <w:sz w:val="18"/>
                <w:szCs w:val="18"/>
                <w:lang w:eastAsia="en-IE"/>
              </w:rPr>
              <w:t> Establishing</w:t>
            </w:r>
            <w:r w:rsidRPr="00D4396B">
              <w:rPr>
                <w:rFonts w:eastAsia="Times New Roman"/>
                <w:noProof/>
                <w:sz w:val="18"/>
                <w:szCs w:val="18"/>
                <w:lang w:eastAsia="en-IE"/>
              </w:rPr>
              <w:t> an explicit mandate for Eurojust to provide reinforced support in EPPO cases</w:t>
            </w:r>
          </w:p>
        </w:tc>
      </w:tr>
      <w:tr w:rsidR="00EA4210" w:rsidRPr="00D4396B" w14:paraId="7952A231" w14:textId="77777777" w:rsidTr="6E834B38">
        <w:trPr>
          <w:cantSplit/>
        </w:trPr>
        <w:tc>
          <w:tcPr>
            <w:tcW w:w="9701" w:type="dxa"/>
            <w:gridSpan w:val="3"/>
            <w:tcBorders>
              <w:top w:val="nil"/>
              <w:left w:val="single" w:sz="6" w:space="0" w:color="auto"/>
              <w:bottom w:val="single" w:sz="6" w:space="0" w:color="auto"/>
              <w:right w:val="single" w:sz="6" w:space="0" w:color="auto"/>
            </w:tcBorders>
            <w:shd w:val="clear" w:color="auto" w:fill="F8DEDE"/>
            <w:vAlign w:val="center"/>
            <w:hideMark/>
          </w:tcPr>
          <w:p w14:paraId="58DB8A39" w14:textId="77777777"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iii.</w:t>
            </w:r>
            <w:r w:rsidRPr="00D4396B">
              <w:rPr>
                <w:rFonts w:eastAsia="Times New Roman"/>
                <w:noProof/>
                <w:sz w:val="18"/>
                <w:szCs w:val="18"/>
                <w:lang w:eastAsia="en-IE"/>
              </w:rPr>
              <w:t> Granting participation in College meetings to EPPO representatives</w:t>
            </w:r>
          </w:p>
        </w:tc>
      </w:tr>
      <w:tr w:rsidR="00EA4210" w:rsidRPr="00D4396B" w14:paraId="15B27F30" w14:textId="77777777" w:rsidTr="6E834B38">
        <w:trPr>
          <w:cantSplit/>
        </w:trPr>
        <w:tc>
          <w:tcPr>
            <w:tcW w:w="7451" w:type="dxa"/>
            <w:gridSpan w:val="2"/>
            <w:tcBorders>
              <w:top w:val="single" w:sz="6" w:space="0" w:color="auto"/>
              <w:left w:val="single" w:sz="6" w:space="0" w:color="auto"/>
              <w:right w:val="single" w:sz="4" w:space="0" w:color="auto"/>
            </w:tcBorders>
            <w:shd w:val="clear" w:color="auto" w:fill="FFFAEB"/>
            <w:vAlign w:val="center"/>
            <w:hideMark/>
          </w:tcPr>
          <w:p w14:paraId="72252ACF" w14:textId="77D9BA27" w:rsidR="00EA4210" w:rsidRPr="00D4396B" w:rsidRDefault="00F21953">
            <w:pPr>
              <w:spacing w:after="2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F</w:t>
            </w:r>
            <w:r w:rsidR="00EA4210" w:rsidRPr="00D4396B">
              <w:rPr>
                <w:rFonts w:eastAsia="Times New Roman"/>
                <w:b/>
                <w:bCs/>
                <w:noProof/>
                <w:sz w:val="18"/>
                <w:szCs w:val="18"/>
                <w:lang w:eastAsia="en-IE"/>
              </w:rPr>
              <w:t>. Consolidating cooperation with third countries and international organisations</w:t>
            </w:r>
            <w:r w:rsidR="00EA4210" w:rsidRPr="00D4396B">
              <w:rPr>
                <w:rFonts w:eastAsia="Times New Roman"/>
                <w:noProof/>
                <w:sz w:val="18"/>
                <w:szCs w:val="18"/>
                <w:lang w:eastAsia="en-IE"/>
              </w:rPr>
              <w:t> </w:t>
            </w:r>
          </w:p>
          <w:p w14:paraId="644DB719" w14:textId="3794AF38" w:rsidR="00EA4210" w:rsidRPr="00D4396B" w:rsidRDefault="00EA4210" w:rsidP="00064175">
            <w:pPr>
              <w:spacing w:after="0"/>
              <w:textAlignment w:val="baseline"/>
              <w:rPr>
                <w:rFonts w:ascii="Segoe UI" w:eastAsia="Times New Roman" w:hAnsi="Segoe UI" w:cs="Segoe UI"/>
                <w:noProof/>
                <w:sz w:val="18"/>
                <w:szCs w:val="18"/>
                <w:lang w:eastAsia="en-IE"/>
              </w:rPr>
            </w:pPr>
            <w:r w:rsidRPr="00D4396B">
              <w:rPr>
                <w:rFonts w:eastAsia="Times New Roman"/>
                <w:i/>
                <w:iCs/>
                <w:noProof/>
                <w:sz w:val="18"/>
                <w:szCs w:val="18"/>
                <w:lang w:eastAsia="en-IE"/>
              </w:rPr>
              <w:t>Addressing problem driver(s):</w:t>
            </w:r>
            <w:r w:rsidRPr="00D4396B">
              <w:rPr>
                <w:rFonts w:eastAsia="Times New Roman"/>
                <w:noProof/>
                <w:sz w:val="18"/>
                <w:szCs w:val="18"/>
                <w:lang w:eastAsia="en-IE"/>
              </w:rPr>
              <w:t xml:space="preserve"> #10 </w:t>
            </w:r>
            <w:r w:rsidR="00CA51EA" w:rsidRPr="00D4396B">
              <w:rPr>
                <w:rFonts w:eastAsia="Times New Roman"/>
                <w:noProof/>
                <w:sz w:val="18"/>
                <w:szCs w:val="18"/>
                <w:lang w:eastAsia="en-IE"/>
              </w:rPr>
              <w:t>Complex</w:t>
            </w:r>
            <w:r w:rsidRPr="00D4396B">
              <w:rPr>
                <w:rFonts w:eastAsia="Times New Roman"/>
                <w:noProof/>
                <w:sz w:val="18"/>
                <w:szCs w:val="18"/>
                <w:lang w:eastAsia="en-IE"/>
              </w:rPr>
              <w:t xml:space="preserve"> process for establishing relations with international actors</w:t>
            </w:r>
          </w:p>
        </w:tc>
        <w:tc>
          <w:tcPr>
            <w:tcW w:w="2250" w:type="dxa"/>
            <w:tcBorders>
              <w:top w:val="single" w:sz="6" w:space="0" w:color="auto"/>
              <w:left w:val="single" w:sz="4" w:space="0" w:color="auto"/>
              <w:right w:val="single" w:sz="6" w:space="0" w:color="auto"/>
            </w:tcBorders>
            <w:shd w:val="clear" w:color="auto" w:fill="F8F0D7"/>
            <w:vAlign w:val="center"/>
          </w:tcPr>
          <w:p w14:paraId="147633EB" w14:textId="76C7529D" w:rsidR="00EA4210" w:rsidRPr="00D4396B" w:rsidRDefault="00F21953">
            <w:pPr>
              <w:spacing w:after="0"/>
              <w:jc w:val="center"/>
              <w:textAlignment w:val="baseline"/>
              <w:rPr>
                <w:rFonts w:ascii="Segoe UI" w:eastAsia="Times New Roman" w:hAnsi="Segoe UI" w:cs="Segoe UI"/>
                <w:noProof/>
                <w:sz w:val="18"/>
                <w:szCs w:val="18"/>
                <w:lang w:eastAsia="en-IE"/>
              </w:rPr>
            </w:pPr>
            <w:r w:rsidRPr="00D4396B">
              <w:rPr>
                <w:rFonts w:eastAsia="Times New Roman"/>
                <w:b/>
                <w:bCs/>
                <w:noProof/>
                <w:sz w:val="18"/>
                <w:szCs w:val="18"/>
                <w:lang w:eastAsia="en-IE"/>
              </w:rPr>
              <w:t>F</w:t>
            </w:r>
            <w:r w:rsidR="00EA4210" w:rsidRPr="00D4396B">
              <w:rPr>
                <w:rFonts w:eastAsia="Times New Roman"/>
                <w:b/>
                <w:bCs/>
                <w:noProof/>
                <w:sz w:val="18"/>
                <w:szCs w:val="18"/>
                <w:lang w:eastAsia="en-IE"/>
              </w:rPr>
              <w:t>.PO</w:t>
            </w:r>
            <w:r w:rsidR="003B1A00" w:rsidRPr="00D4396B">
              <w:rPr>
                <w:rFonts w:eastAsia="Times New Roman"/>
                <w:b/>
                <w:bCs/>
                <w:noProof/>
                <w:sz w:val="18"/>
                <w:szCs w:val="18"/>
                <w:lang w:eastAsia="en-IE"/>
              </w:rPr>
              <w:t>2</w:t>
            </w:r>
            <w:r w:rsidR="00EA4210" w:rsidRPr="00D4396B">
              <w:rPr>
                <w:rFonts w:eastAsia="Times New Roman"/>
                <w:noProof/>
                <w:sz w:val="18"/>
                <w:szCs w:val="18"/>
                <w:lang w:eastAsia="en-IE"/>
              </w:rPr>
              <w:t> </w:t>
            </w:r>
          </w:p>
        </w:tc>
      </w:tr>
      <w:tr w:rsidR="00EA4210" w:rsidRPr="00D4396B" w14:paraId="77D9C5CA" w14:textId="77777777" w:rsidTr="6E834B38">
        <w:trPr>
          <w:cantSplit/>
        </w:trPr>
        <w:tc>
          <w:tcPr>
            <w:tcW w:w="9701" w:type="dxa"/>
            <w:gridSpan w:val="3"/>
            <w:tcBorders>
              <w:top w:val="single" w:sz="6" w:space="0" w:color="auto"/>
              <w:left w:val="single" w:sz="6" w:space="0" w:color="auto"/>
              <w:bottom w:val="single" w:sz="6" w:space="0" w:color="auto"/>
              <w:right w:val="single" w:sz="6" w:space="0" w:color="auto"/>
            </w:tcBorders>
            <w:shd w:val="clear" w:color="auto" w:fill="F8F0D7"/>
            <w:vAlign w:val="center"/>
            <w:hideMark/>
          </w:tcPr>
          <w:p w14:paraId="7BC60C7B" w14:textId="1002753C"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w:t>
            </w:r>
            <w:r w:rsidRPr="00D4396B">
              <w:rPr>
                <w:rFonts w:eastAsia="Times New Roman"/>
                <w:noProof/>
                <w:sz w:val="18"/>
                <w:szCs w:val="18"/>
                <w:lang w:eastAsia="en-IE"/>
              </w:rPr>
              <w:t xml:space="preserve"> Introducing cooperation </w:t>
            </w:r>
            <w:r w:rsidR="30349DC2" w:rsidRPr="00D4396B">
              <w:rPr>
                <w:rFonts w:eastAsia="Times New Roman"/>
                <w:noProof/>
                <w:sz w:val="18"/>
                <w:szCs w:val="18"/>
                <w:lang w:eastAsia="en-IE"/>
              </w:rPr>
              <w:t xml:space="preserve">commitments </w:t>
            </w:r>
            <w:r w:rsidRPr="00D4396B">
              <w:rPr>
                <w:rFonts w:eastAsia="Times New Roman"/>
                <w:noProof/>
                <w:sz w:val="18"/>
                <w:szCs w:val="18"/>
                <w:lang w:eastAsia="en-IE"/>
              </w:rPr>
              <w:t>in agreements with third countries with financial implications</w:t>
            </w:r>
          </w:p>
        </w:tc>
      </w:tr>
      <w:tr w:rsidR="00EA4210" w:rsidRPr="00D4396B" w14:paraId="3E4A2F7C" w14:textId="77777777" w:rsidTr="6E834B38">
        <w:trPr>
          <w:cantSplit/>
        </w:trPr>
        <w:tc>
          <w:tcPr>
            <w:tcW w:w="9701" w:type="dxa"/>
            <w:gridSpan w:val="3"/>
            <w:tcBorders>
              <w:top w:val="single" w:sz="6" w:space="0" w:color="auto"/>
              <w:left w:val="single" w:sz="6" w:space="0" w:color="auto"/>
              <w:bottom w:val="single" w:sz="6" w:space="0" w:color="auto"/>
              <w:right w:val="single" w:sz="6" w:space="0" w:color="auto"/>
            </w:tcBorders>
            <w:shd w:val="clear" w:color="auto" w:fill="F8F0D7"/>
            <w:vAlign w:val="center"/>
            <w:hideMark/>
          </w:tcPr>
          <w:p w14:paraId="7885C101" w14:textId="038CE59E"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ii.</w:t>
            </w:r>
            <w:r w:rsidRPr="00D4396B">
              <w:rPr>
                <w:rFonts w:eastAsia="Times New Roman"/>
                <w:noProof/>
                <w:sz w:val="18"/>
                <w:szCs w:val="18"/>
                <w:lang w:eastAsia="en-IE"/>
              </w:rPr>
              <w:t> Clarifying the legal framework governing Liaison Magistrates</w:t>
            </w:r>
          </w:p>
        </w:tc>
      </w:tr>
      <w:tr w:rsidR="00EA4210" w:rsidRPr="00D4396B" w14:paraId="5E80ABE5" w14:textId="77777777" w:rsidTr="6E834B38">
        <w:trPr>
          <w:cantSplit/>
        </w:trPr>
        <w:tc>
          <w:tcPr>
            <w:tcW w:w="9701" w:type="dxa"/>
            <w:gridSpan w:val="3"/>
            <w:tcBorders>
              <w:top w:val="single" w:sz="6" w:space="0" w:color="auto"/>
              <w:left w:val="single" w:sz="6" w:space="0" w:color="auto"/>
              <w:bottom w:val="single" w:sz="6" w:space="0" w:color="auto"/>
              <w:right w:val="single" w:sz="6" w:space="0" w:color="auto"/>
            </w:tcBorders>
            <w:shd w:val="clear" w:color="auto" w:fill="F8F0D7"/>
            <w:vAlign w:val="center"/>
            <w:hideMark/>
          </w:tcPr>
          <w:p w14:paraId="3F0C8615" w14:textId="77C3C30F" w:rsidR="00EA4210" w:rsidRPr="00D4396B" w:rsidRDefault="00EA4210">
            <w:pPr>
              <w:spacing w:after="0"/>
              <w:textAlignment w:val="baseline"/>
              <w:rPr>
                <w:rFonts w:ascii="Segoe UI" w:eastAsia="Times New Roman" w:hAnsi="Segoe UI" w:cs="Segoe UI"/>
                <w:noProof/>
                <w:sz w:val="18"/>
                <w:szCs w:val="18"/>
                <w:lang w:eastAsia="en-IE"/>
              </w:rPr>
            </w:pPr>
            <w:r w:rsidRPr="00D4396B">
              <w:rPr>
                <w:rFonts w:eastAsia="Times New Roman"/>
                <w:noProof/>
                <w:sz w:val="18"/>
                <w:szCs w:val="18"/>
                <w:u w:val="single"/>
                <w:lang w:eastAsia="en-IE"/>
              </w:rPr>
              <w:t>iii.</w:t>
            </w:r>
            <w:r w:rsidRPr="00D4396B">
              <w:rPr>
                <w:rFonts w:eastAsia="Times New Roman"/>
                <w:noProof/>
                <w:sz w:val="18"/>
                <w:szCs w:val="18"/>
                <w:lang w:eastAsia="en-IE"/>
              </w:rPr>
              <w:t xml:space="preserve"> Institutionalising Resident Contact Points for priority </w:t>
            </w:r>
            <w:r w:rsidR="00DB2FBB">
              <w:rPr>
                <w:rFonts w:eastAsia="Times New Roman"/>
                <w:noProof/>
                <w:sz w:val="18"/>
                <w:szCs w:val="18"/>
                <w:lang w:eastAsia="en-IE"/>
              </w:rPr>
              <w:t>third</w:t>
            </w:r>
            <w:r w:rsidR="0B806196" w:rsidRPr="01AEC5D6">
              <w:rPr>
                <w:rFonts w:eastAsia="Times New Roman"/>
                <w:noProof/>
                <w:sz w:val="18"/>
                <w:szCs w:val="18"/>
                <w:lang w:eastAsia="en-IE"/>
              </w:rPr>
              <w:t xml:space="preserve"> </w:t>
            </w:r>
            <w:r w:rsidRPr="01AEC5D6">
              <w:rPr>
                <w:rFonts w:eastAsia="Times New Roman"/>
                <w:noProof/>
                <w:sz w:val="18"/>
                <w:szCs w:val="18"/>
                <w:lang w:eastAsia="en-IE"/>
              </w:rPr>
              <w:t>countries</w:t>
            </w:r>
          </w:p>
        </w:tc>
      </w:tr>
      <w:tr w:rsidR="00EA4210" w:rsidRPr="00D4396B" w14:paraId="41AFA864" w14:textId="77777777" w:rsidTr="6E834B38">
        <w:trPr>
          <w:cantSplit/>
        </w:trPr>
        <w:tc>
          <w:tcPr>
            <w:tcW w:w="9701" w:type="dxa"/>
            <w:gridSpan w:val="3"/>
            <w:tcBorders>
              <w:top w:val="single" w:sz="6" w:space="0" w:color="auto"/>
              <w:left w:val="single" w:sz="6" w:space="0" w:color="auto"/>
              <w:bottom w:val="single" w:sz="6" w:space="0" w:color="auto"/>
              <w:right w:val="single" w:sz="6" w:space="0" w:color="auto"/>
            </w:tcBorders>
            <w:shd w:val="clear" w:color="auto" w:fill="F8F0D7"/>
            <w:vAlign w:val="center"/>
          </w:tcPr>
          <w:p w14:paraId="094F48FC" w14:textId="1B9C184C" w:rsidR="00EA4210" w:rsidRPr="00D4396B" w:rsidRDefault="00EA4210">
            <w:pPr>
              <w:spacing w:after="0"/>
              <w:textAlignment w:val="baseline"/>
              <w:rPr>
                <w:rFonts w:eastAsia="Times New Roman"/>
                <w:noProof/>
                <w:sz w:val="18"/>
                <w:szCs w:val="18"/>
                <w:lang w:eastAsia="en-IE"/>
              </w:rPr>
            </w:pPr>
            <w:r w:rsidRPr="00D4396B">
              <w:rPr>
                <w:rFonts w:eastAsia="Times New Roman"/>
                <w:noProof/>
                <w:sz w:val="18"/>
                <w:szCs w:val="18"/>
                <w:u w:val="single"/>
                <w:lang w:eastAsia="en-IE"/>
              </w:rPr>
              <w:t>iv.</w:t>
            </w:r>
            <w:r w:rsidRPr="00D4396B">
              <w:rPr>
                <w:rFonts w:eastAsia="Times New Roman"/>
                <w:noProof/>
                <w:sz w:val="18"/>
                <w:szCs w:val="18"/>
                <w:lang w:eastAsia="en-IE"/>
              </w:rPr>
              <w:t xml:space="preserve"> Granting participation in the College meetings to </w:t>
            </w:r>
            <w:r w:rsidR="006234E0" w:rsidRPr="00D4396B">
              <w:rPr>
                <w:rFonts w:eastAsia="Times New Roman"/>
                <w:noProof/>
                <w:sz w:val="18"/>
                <w:szCs w:val="18"/>
                <w:lang w:eastAsia="en-IE"/>
              </w:rPr>
              <w:t>LP</w:t>
            </w:r>
            <w:r w:rsidRPr="00D4396B">
              <w:rPr>
                <w:rFonts w:eastAsia="Times New Roman"/>
                <w:noProof/>
                <w:sz w:val="18"/>
                <w:szCs w:val="18"/>
                <w:lang w:eastAsia="en-IE"/>
              </w:rPr>
              <w:t>s</w:t>
            </w:r>
          </w:p>
        </w:tc>
      </w:tr>
    </w:tbl>
    <w:p w14:paraId="077B960B" w14:textId="2BB8721F" w:rsidR="00E16DF6" w:rsidRDefault="00E16DF6" w:rsidP="001617D1">
      <w:pPr>
        <w:spacing w:after="0" w:line="276" w:lineRule="auto"/>
        <w:jc w:val="left"/>
        <w:rPr>
          <w:rFonts w:eastAsia="Times New Roman"/>
          <w:b/>
          <w:noProof/>
          <w:szCs w:val="20"/>
        </w:rPr>
      </w:pPr>
    </w:p>
    <w:p w14:paraId="70ACFFF0" w14:textId="09F141F2" w:rsidR="46483A8A" w:rsidRPr="00D4396B" w:rsidRDefault="091309AA" w:rsidP="000C3545">
      <w:pPr>
        <w:pStyle w:val="Heading2"/>
        <w:rPr>
          <w:noProof/>
        </w:rPr>
      </w:pPr>
      <w:bookmarkStart w:id="174" w:name="_Toc232176429"/>
      <w:r w:rsidRPr="00D4396B">
        <w:rPr>
          <w:noProof/>
        </w:rPr>
        <w:t>8.1</w:t>
      </w:r>
      <w:r w:rsidR="00E838F0" w:rsidRPr="00D4396B">
        <w:rPr>
          <w:noProof/>
        </w:rPr>
        <w:t>.</w:t>
      </w:r>
      <w:r w:rsidR="003B0D3B" w:rsidRPr="00D4396B">
        <w:rPr>
          <w:noProof/>
        </w:rPr>
        <w:tab/>
      </w:r>
      <w:r w:rsidRPr="00D4396B">
        <w:rPr>
          <w:noProof/>
        </w:rPr>
        <w:t>Presentation of the cumulative impact of the preferred option</w:t>
      </w:r>
      <w:bookmarkEnd w:id="174"/>
    </w:p>
    <w:p w14:paraId="0DA561EA" w14:textId="2277E8D5" w:rsidR="46483A8A" w:rsidRPr="00D4396B" w:rsidRDefault="091309AA" w:rsidP="00E028A0">
      <w:pPr>
        <w:spacing w:after="120"/>
        <w:rPr>
          <w:rFonts w:eastAsia="Times New Roman"/>
          <w:noProof/>
          <w:color w:val="000000" w:themeColor="text1"/>
          <w:lang w:val="en-IE"/>
        </w:rPr>
      </w:pPr>
      <w:r w:rsidRPr="00D4396B">
        <w:rPr>
          <w:rStyle w:val="normaltextrun"/>
          <w:rFonts w:ascii="Times New Roman" w:eastAsia="Times New Roman" w:hAnsi="Times New Roman" w:cs="Times New Roman"/>
          <w:noProof/>
          <w:color w:val="000000" w:themeColor="text1"/>
        </w:rPr>
        <w:t>The preferred option is a package that generates cumulative impact by combining measures that address </w:t>
      </w:r>
      <w:r w:rsidRPr="00D4396B">
        <w:rPr>
          <w:rStyle w:val="normaltextrun"/>
          <w:rFonts w:ascii="Times New Roman" w:eastAsia="Times New Roman" w:hAnsi="Times New Roman" w:cs="Times New Roman"/>
          <w:b/>
          <w:bCs/>
          <w:noProof/>
          <w:color w:val="000000" w:themeColor="text1"/>
        </w:rPr>
        <w:t>different but interrelated drivers of the problem</w:t>
      </w:r>
      <w:r w:rsidRPr="00D4396B">
        <w:rPr>
          <w:rStyle w:val="normaltextrun"/>
          <w:rFonts w:ascii="Times New Roman" w:eastAsia="Times New Roman" w:hAnsi="Times New Roman" w:cs="Times New Roman"/>
          <w:noProof/>
          <w:color w:val="000000" w:themeColor="text1"/>
        </w:rPr>
        <w:t>. Taken together, these measures form a </w:t>
      </w:r>
      <w:r w:rsidRPr="00D4396B">
        <w:rPr>
          <w:rFonts w:eastAsia="Times New Roman"/>
          <w:b/>
          <w:bCs/>
          <w:noProof/>
          <w:color w:val="000000" w:themeColor="text1"/>
        </w:rPr>
        <w:t>coherent and mutually reinforcing revision of the Eurojust mandate</w:t>
      </w:r>
      <w:r w:rsidRPr="00D4396B">
        <w:rPr>
          <w:rFonts w:eastAsia="Times New Roman"/>
          <w:noProof/>
          <w:color w:val="000000" w:themeColor="text1"/>
        </w:rPr>
        <w:t>: they</w:t>
      </w:r>
      <w:r w:rsidRPr="00D4396B">
        <w:rPr>
          <w:rFonts w:eastAsia="Times New Roman"/>
          <w:b/>
          <w:bCs/>
          <w:noProof/>
          <w:color w:val="000000" w:themeColor="text1"/>
        </w:rPr>
        <w:t xml:space="preserve"> </w:t>
      </w:r>
      <w:r w:rsidRPr="00D4396B">
        <w:rPr>
          <w:rStyle w:val="normaltextrun"/>
          <w:rFonts w:ascii="Times New Roman" w:eastAsia="Times New Roman" w:hAnsi="Times New Roman" w:cs="Times New Roman"/>
          <w:noProof/>
          <w:color w:val="000000" w:themeColor="text1"/>
        </w:rPr>
        <w:t>strengthen Eurojust’s ability to support Member States to combat serious and cross-border crime more effectively than any individual measure alone.</w:t>
      </w:r>
    </w:p>
    <w:p w14:paraId="7EB80C28" w14:textId="5B029834" w:rsidR="46483A8A" w:rsidRPr="00D4396B" w:rsidRDefault="247F00BD" w:rsidP="07306001">
      <w:pPr>
        <w:spacing w:after="120"/>
        <w:rPr>
          <w:rStyle w:val="bzpyqfadein"/>
          <w:rFonts w:ascii="Times New Roman" w:eastAsia="Times New Roman" w:hAnsi="Times New Roman" w:cs="Times New Roman"/>
          <w:noProof/>
          <w:color w:val="000000" w:themeColor="text1"/>
          <w:lang w:val="en-IE"/>
        </w:rPr>
      </w:pPr>
      <w:r w:rsidRPr="07306001">
        <w:rPr>
          <w:rStyle w:val="bzpyqfadein"/>
          <w:rFonts w:ascii="Times New Roman" w:eastAsia="Times New Roman" w:hAnsi="Times New Roman" w:cs="Times New Roman"/>
          <w:noProof/>
          <w:color w:val="000000" w:themeColor="text1"/>
          <w:lang w:val="en-IE"/>
        </w:rPr>
        <w:t xml:space="preserve">First, several </w:t>
      </w:r>
      <w:r w:rsidR="06EBDB7A" w:rsidRPr="07306001">
        <w:rPr>
          <w:rStyle w:val="bzpyqfadein"/>
          <w:rFonts w:ascii="Times New Roman" w:eastAsia="Times New Roman" w:hAnsi="Times New Roman" w:cs="Times New Roman"/>
          <w:noProof/>
          <w:color w:val="000000" w:themeColor="text1"/>
          <w:lang w:val="en-IE"/>
        </w:rPr>
        <w:t>mutually reinforcing</w:t>
      </w:r>
      <w:r w:rsidRPr="07306001">
        <w:rPr>
          <w:rStyle w:val="bzpyqfadein"/>
          <w:rFonts w:ascii="Times New Roman" w:eastAsia="Times New Roman" w:hAnsi="Times New Roman" w:cs="Times New Roman"/>
          <w:noProof/>
          <w:color w:val="000000" w:themeColor="text1"/>
          <w:lang w:val="en-IE"/>
        </w:rPr>
        <w:t xml:space="preserve"> </w:t>
      </w:r>
      <w:r w:rsidR="327D1D15" w:rsidRPr="07306001">
        <w:rPr>
          <w:rStyle w:val="bzpyqfadein"/>
          <w:rFonts w:ascii="Times New Roman" w:eastAsia="Times New Roman" w:hAnsi="Times New Roman" w:cs="Times New Roman"/>
          <w:noProof/>
          <w:color w:val="000000" w:themeColor="text1"/>
          <w:lang w:val="en-IE"/>
        </w:rPr>
        <w:t xml:space="preserve">legislative </w:t>
      </w:r>
      <w:r w:rsidRPr="07306001">
        <w:rPr>
          <w:rStyle w:val="bzpyqfadein"/>
          <w:rFonts w:ascii="Times New Roman" w:eastAsia="Times New Roman" w:hAnsi="Times New Roman" w:cs="Times New Roman"/>
          <w:noProof/>
          <w:color w:val="000000" w:themeColor="text1"/>
          <w:lang w:val="en-IE"/>
        </w:rPr>
        <w:t xml:space="preserve">measures would formally </w:t>
      </w:r>
      <w:r w:rsidRPr="07306001">
        <w:rPr>
          <w:rStyle w:val="bzpyqfadein"/>
          <w:rFonts w:ascii="Times New Roman" w:eastAsia="Times New Roman" w:hAnsi="Times New Roman" w:cs="Times New Roman"/>
          <w:b/>
          <w:bCs/>
          <w:noProof/>
          <w:color w:val="000000" w:themeColor="text1"/>
          <w:lang w:val="en-IE"/>
        </w:rPr>
        <w:t>codify and expand Eurojust’s mandate and operational competences</w:t>
      </w:r>
      <w:r w:rsidRPr="07306001">
        <w:rPr>
          <w:rStyle w:val="bzpyqfadein"/>
          <w:rFonts w:ascii="Times New Roman" w:eastAsia="Times New Roman" w:hAnsi="Times New Roman" w:cs="Times New Roman"/>
          <w:noProof/>
          <w:color w:val="000000" w:themeColor="text1"/>
          <w:lang w:val="en-IE"/>
        </w:rPr>
        <w:t xml:space="preserve">. The Regulation would provide </w:t>
      </w:r>
      <w:r w:rsidR="30E44369" w:rsidRPr="07306001">
        <w:rPr>
          <w:rStyle w:val="bzpyqfadein"/>
          <w:rFonts w:ascii="Times New Roman" w:eastAsia="Times New Roman" w:hAnsi="Times New Roman" w:cs="Times New Roman"/>
          <w:noProof/>
          <w:color w:val="000000" w:themeColor="text1"/>
          <w:lang w:val="en-IE"/>
        </w:rPr>
        <w:t xml:space="preserve">the </w:t>
      </w:r>
      <w:r w:rsidRPr="07306001">
        <w:rPr>
          <w:rStyle w:val="bzpyqfadein"/>
          <w:rFonts w:ascii="Times New Roman" w:eastAsia="Times New Roman" w:hAnsi="Times New Roman" w:cs="Times New Roman"/>
          <w:noProof/>
          <w:color w:val="000000" w:themeColor="text1"/>
          <w:lang w:val="en-IE"/>
        </w:rPr>
        <w:t>legal bas</w:t>
      </w:r>
      <w:r w:rsidR="20D15BF0" w:rsidRPr="07306001">
        <w:rPr>
          <w:rStyle w:val="bzpyqfadein"/>
          <w:rFonts w:ascii="Times New Roman" w:eastAsia="Times New Roman" w:hAnsi="Times New Roman" w:cs="Times New Roman"/>
          <w:noProof/>
          <w:color w:val="000000" w:themeColor="text1"/>
          <w:lang w:val="en-IE"/>
        </w:rPr>
        <w:t>i</w:t>
      </w:r>
      <w:r w:rsidRPr="07306001">
        <w:rPr>
          <w:rStyle w:val="bzpyqfadein"/>
          <w:rFonts w:ascii="Times New Roman" w:eastAsia="Times New Roman" w:hAnsi="Times New Roman" w:cs="Times New Roman"/>
          <w:noProof/>
          <w:color w:val="000000" w:themeColor="text1"/>
          <w:lang w:val="en-IE"/>
        </w:rPr>
        <w:t>s for operational practices already envisaged under earlier policy options, while extending Eurojust’s material competence to emerging crime areas through amendments to Annex I. In parallel, Eurojust’s analytical capacity would be strengthened by granting the Agency the mandate to collect, store and analyse judicial data related to organised crime, supporting national authorities in evidence-building and strategic case development.</w:t>
      </w:r>
    </w:p>
    <w:p w14:paraId="4B9FD3D5" w14:textId="1A0832D2" w:rsidR="46483A8A" w:rsidRPr="00D4396B" w:rsidRDefault="690F366C" w:rsidP="008A67E7">
      <w:pPr>
        <w:spacing w:after="120"/>
        <w:rPr>
          <w:rFonts w:eastAsia="Times New Roman"/>
          <w:noProof/>
          <w:color w:val="000000" w:themeColor="text1"/>
          <w:lang w:val="en-IE"/>
        </w:rPr>
      </w:pPr>
      <w:r w:rsidRPr="07306001">
        <w:rPr>
          <w:rStyle w:val="bzpyqfadein"/>
          <w:rFonts w:ascii="Times New Roman" w:eastAsia="Times New Roman" w:hAnsi="Times New Roman" w:cs="Times New Roman"/>
          <w:noProof/>
          <w:color w:val="000000" w:themeColor="text1"/>
          <w:lang w:val="en-IE"/>
        </w:rPr>
        <w:t xml:space="preserve">Second, </w:t>
      </w:r>
      <w:r w:rsidR="2EDB19CE" w:rsidRPr="07306001">
        <w:rPr>
          <w:rStyle w:val="bzpyqfadein"/>
          <w:rFonts w:ascii="Times New Roman" w:eastAsia="Times New Roman" w:hAnsi="Times New Roman" w:cs="Times New Roman"/>
          <w:noProof/>
          <w:color w:val="000000" w:themeColor="text1"/>
          <w:lang w:val="en-IE"/>
        </w:rPr>
        <w:t>complementary</w:t>
      </w:r>
      <w:r w:rsidRPr="07306001">
        <w:rPr>
          <w:rStyle w:val="bzpyqfadein"/>
          <w:rFonts w:ascii="Times New Roman" w:eastAsia="Times New Roman" w:hAnsi="Times New Roman" w:cs="Times New Roman"/>
          <w:noProof/>
          <w:color w:val="000000" w:themeColor="text1"/>
          <w:lang w:val="en-IE"/>
        </w:rPr>
        <w:t xml:space="preserve"> measures would </w:t>
      </w:r>
      <w:r w:rsidRPr="07306001">
        <w:rPr>
          <w:rStyle w:val="bzpyqfadein"/>
          <w:rFonts w:ascii="Times New Roman" w:eastAsia="Times New Roman" w:hAnsi="Times New Roman" w:cs="Times New Roman"/>
          <w:b/>
          <w:bCs/>
          <w:noProof/>
          <w:color w:val="000000" w:themeColor="text1"/>
          <w:lang w:val="en-IE"/>
        </w:rPr>
        <w:t>reinforce operational coordination and legal certainty within Eurojust</w:t>
      </w:r>
      <w:r w:rsidRPr="07306001">
        <w:rPr>
          <w:rStyle w:val="bzpyqfadein"/>
          <w:rFonts w:ascii="Times New Roman" w:eastAsia="Times New Roman" w:hAnsi="Times New Roman" w:cs="Times New Roman"/>
          <w:noProof/>
          <w:color w:val="000000" w:themeColor="text1"/>
          <w:lang w:val="en-IE"/>
        </w:rPr>
        <w:t xml:space="preserve">. </w:t>
      </w:r>
      <w:r w:rsidR="317435DF" w:rsidRPr="07306001">
        <w:rPr>
          <w:rStyle w:val="bzpyqfadein"/>
          <w:rFonts w:ascii="Times New Roman" w:eastAsia="Times New Roman" w:hAnsi="Times New Roman" w:cs="Times New Roman"/>
          <w:noProof/>
          <w:color w:val="000000" w:themeColor="text1"/>
          <w:lang w:val="en-IE"/>
        </w:rPr>
        <w:t xml:space="preserve">Once again, a legislative amendment is required. </w:t>
      </w:r>
      <w:r w:rsidRPr="07306001">
        <w:rPr>
          <w:rStyle w:val="bzpyqfadein"/>
          <w:rFonts w:ascii="Times New Roman" w:eastAsia="Times New Roman" w:hAnsi="Times New Roman" w:cs="Times New Roman"/>
          <w:noProof/>
          <w:color w:val="000000" w:themeColor="text1"/>
          <w:lang w:val="en-IE"/>
        </w:rPr>
        <w:t>The concept of a “Eurojust case”</w:t>
      </w:r>
      <w:r w:rsidR="1894C238" w:rsidRPr="07306001">
        <w:rPr>
          <w:rStyle w:val="bzpyqfadein"/>
          <w:rFonts w:ascii="Times New Roman" w:eastAsia="Times New Roman" w:hAnsi="Times New Roman" w:cs="Times New Roman"/>
          <w:noProof/>
          <w:color w:val="000000" w:themeColor="text1"/>
          <w:lang w:val="en-IE"/>
        </w:rPr>
        <w:t>,</w:t>
      </w:r>
      <w:r w:rsidRPr="07306001">
        <w:rPr>
          <w:rStyle w:val="bzpyqfadein"/>
          <w:rFonts w:ascii="Times New Roman" w:eastAsia="Times New Roman" w:hAnsi="Times New Roman" w:cs="Times New Roman"/>
          <w:noProof/>
          <w:color w:val="000000" w:themeColor="text1"/>
          <w:lang w:val="en-IE"/>
        </w:rPr>
        <w:t xml:space="preserve"> and the eligibility requirements for N</w:t>
      </w:r>
      <w:r w:rsidR="6ED66D87" w:rsidRPr="07306001">
        <w:rPr>
          <w:rStyle w:val="bzpyqfadein"/>
          <w:rFonts w:ascii="Times New Roman" w:eastAsia="Times New Roman" w:hAnsi="Times New Roman" w:cs="Times New Roman"/>
          <w:noProof/>
          <w:color w:val="000000" w:themeColor="text1"/>
          <w:lang w:val="en-IE"/>
        </w:rPr>
        <w:t>M</w:t>
      </w:r>
      <w:r w:rsidRPr="07306001">
        <w:rPr>
          <w:rStyle w:val="bzpyqfadein"/>
          <w:rFonts w:ascii="Times New Roman" w:eastAsia="Times New Roman" w:hAnsi="Times New Roman" w:cs="Times New Roman"/>
          <w:noProof/>
          <w:color w:val="000000" w:themeColor="text1"/>
          <w:lang w:val="en-IE"/>
        </w:rPr>
        <w:t>s</w:t>
      </w:r>
      <w:r w:rsidR="1894C238" w:rsidRPr="07306001">
        <w:rPr>
          <w:rStyle w:val="bzpyqfadein"/>
          <w:rFonts w:ascii="Times New Roman" w:eastAsia="Times New Roman" w:hAnsi="Times New Roman" w:cs="Times New Roman"/>
          <w:noProof/>
          <w:color w:val="000000" w:themeColor="text1"/>
          <w:lang w:val="en-IE"/>
        </w:rPr>
        <w:t>,</w:t>
      </w:r>
      <w:r w:rsidRPr="07306001">
        <w:rPr>
          <w:rStyle w:val="bzpyqfadein"/>
          <w:rFonts w:ascii="Times New Roman" w:eastAsia="Times New Roman" w:hAnsi="Times New Roman" w:cs="Times New Roman"/>
          <w:noProof/>
          <w:color w:val="000000" w:themeColor="text1"/>
          <w:lang w:val="en-IE"/>
        </w:rPr>
        <w:t xml:space="preserve"> would be </w:t>
      </w:r>
      <w:r w:rsidR="2705D5C5" w:rsidRPr="07306001">
        <w:rPr>
          <w:rStyle w:val="bzpyqfadein"/>
          <w:rFonts w:ascii="Times New Roman" w:eastAsia="Times New Roman" w:hAnsi="Times New Roman" w:cs="Times New Roman"/>
          <w:noProof/>
          <w:color w:val="000000" w:themeColor="text1"/>
          <w:lang w:val="en-IE"/>
        </w:rPr>
        <w:t>better defined</w:t>
      </w:r>
      <w:r w:rsidRPr="07306001">
        <w:rPr>
          <w:rStyle w:val="bzpyqfadein"/>
          <w:rFonts w:ascii="Times New Roman" w:eastAsia="Times New Roman" w:hAnsi="Times New Roman" w:cs="Times New Roman"/>
          <w:noProof/>
          <w:color w:val="000000" w:themeColor="text1"/>
          <w:lang w:val="en-IE"/>
        </w:rPr>
        <w:t>, ensuring consistent practices across Member States. N</w:t>
      </w:r>
      <w:r w:rsidR="00FE7C00" w:rsidRPr="07306001">
        <w:rPr>
          <w:rStyle w:val="bzpyqfadein"/>
          <w:rFonts w:ascii="Times New Roman" w:eastAsia="Times New Roman" w:hAnsi="Times New Roman" w:cs="Times New Roman"/>
          <w:noProof/>
          <w:color w:val="000000" w:themeColor="text1"/>
          <w:lang w:val="en-IE"/>
        </w:rPr>
        <w:t>M</w:t>
      </w:r>
      <w:r w:rsidRPr="07306001">
        <w:rPr>
          <w:rStyle w:val="bzpyqfadein"/>
          <w:rFonts w:ascii="Times New Roman" w:eastAsia="Times New Roman" w:hAnsi="Times New Roman" w:cs="Times New Roman"/>
          <w:noProof/>
          <w:color w:val="000000" w:themeColor="text1"/>
          <w:lang w:val="en-IE"/>
        </w:rPr>
        <w:t xml:space="preserve">s’ operational powers would be </w:t>
      </w:r>
      <w:r w:rsidR="1C490231" w:rsidRPr="07306001">
        <w:rPr>
          <w:rStyle w:val="bzpyqfadein"/>
          <w:rFonts w:ascii="Times New Roman" w:eastAsia="Times New Roman" w:hAnsi="Times New Roman" w:cs="Times New Roman"/>
          <w:noProof/>
          <w:color w:val="000000" w:themeColor="text1"/>
          <w:lang w:val="en-IE"/>
        </w:rPr>
        <w:t>enhanced</w:t>
      </w:r>
      <w:r w:rsidRPr="07306001">
        <w:rPr>
          <w:rStyle w:val="bzpyqfadein"/>
          <w:rFonts w:ascii="Times New Roman" w:eastAsia="Times New Roman" w:hAnsi="Times New Roman" w:cs="Times New Roman"/>
          <w:noProof/>
          <w:color w:val="000000" w:themeColor="text1"/>
          <w:lang w:val="en-IE"/>
        </w:rPr>
        <w:t xml:space="preserve">, enabling them to issue or facilitate key judicial cooperation instruments (such as freezing </w:t>
      </w:r>
      <w:r w:rsidR="1A4DE6A3" w:rsidRPr="07306001">
        <w:rPr>
          <w:rStyle w:val="bzpyqfadein"/>
          <w:rFonts w:ascii="Times New Roman" w:eastAsia="Times New Roman" w:hAnsi="Times New Roman" w:cs="Times New Roman"/>
          <w:noProof/>
          <w:color w:val="000000" w:themeColor="text1"/>
          <w:lang w:val="en-IE"/>
        </w:rPr>
        <w:t xml:space="preserve">and investigation </w:t>
      </w:r>
      <w:r w:rsidRPr="07306001">
        <w:rPr>
          <w:rStyle w:val="bzpyqfadein"/>
          <w:rFonts w:ascii="Times New Roman" w:eastAsia="Times New Roman" w:hAnsi="Times New Roman" w:cs="Times New Roman"/>
          <w:noProof/>
          <w:color w:val="000000" w:themeColor="text1"/>
          <w:lang w:val="en-IE"/>
        </w:rPr>
        <w:t xml:space="preserve">orders, and e-evidence production or preservation orders) while remaining subject to </w:t>
      </w:r>
      <w:r w:rsidR="3930131C" w:rsidRPr="07306001">
        <w:rPr>
          <w:rStyle w:val="bzpyqfadein"/>
          <w:rFonts w:ascii="Times New Roman" w:eastAsia="Times New Roman" w:hAnsi="Times New Roman" w:cs="Times New Roman"/>
          <w:noProof/>
          <w:color w:val="000000" w:themeColor="text1"/>
          <w:lang w:val="en-IE"/>
        </w:rPr>
        <w:t xml:space="preserve">a conferral of </w:t>
      </w:r>
      <w:r w:rsidRPr="07306001">
        <w:rPr>
          <w:rStyle w:val="bzpyqfadein"/>
          <w:rFonts w:ascii="Times New Roman" w:eastAsia="Times New Roman" w:hAnsi="Times New Roman" w:cs="Times New Roman"/>
          <w:noProof/>
          <w:color w:val="000000" w:themeColor="text1"/>
          <w:lang w:val="en-IE"/>
        </w:rPr>
        <w:t xml:space="preserve">powers under national law. In the </w:t>
      </w:r>
      <w:r w:rsidR="457F86DA" w:rsidRPr="07306001">
        <w:rPr>
          <w:rStyle w:val="bzpyqfadein"/>
          <w:rFonts w:ascii="Times New Roman" w:eastAsia="Times New Roman" w:hAnsi="Times New Roman" w:cs="Times New Roman"/>
          <w:noProof/>
          <w:color w:val="000000" w:themeColor="text1"/>
          <w:lang w:val="en-IE"/>
        </w:rPr>
        <w:t xml:space="preserve">preferred </w:t>
      </w:r>
      <w:r w:rsidRPr="07306001">
        <w:rPr>
          <w:rStyle w:val="bzpyqfadein"/>
          <w:rFonts w:ascii="Times New Roman" w:eastAsia="Times New Roman" w:hAnsi="Times New Roman" w:cs="Times New Roman"/>
          <w:noProof/>
          <w:color w:val="000000" w:themeColor="text1"/>
          <w:lang w:val="en-IE"/>
        </w:rPr>
        <w:t xml:space="preserve">option, NMs </w:t>
      </w:r>
      <w:r w:rsidR="3D9E4CB6" w:rsidRPr="07306001">
        <w:rPr>
          <w:rStyle w:val="bzpyqfadein"/>
          <w:rFonts w:ascii="Times New Roman" w:eastAsia="Times New Roman" w:hAnsi="Times New Roman" w:cs="Times New Roman"/>
          <w:noProof/>
          <w:color w:val="000000" w:themeColor="text1"/>
          <w:lang w:val="en-IE"/>
        </w:rPr>
        <w:t>w</w:t>
      </w:r>
      <w:r w:rsidRPr="07306001">
        <w:rPr>
          <w:rStyle w:val="bzpyqfadein"/>
          <w:rFonts w:ascii="Times New Roman" w:eastAsia="Times New Roman" w:hAnsi="Times New Roman" w:cs="Times New Roman"/>
          <w:noProof/>
          <w:color w:val="000000" w:themeColor="text1"/>
          <w:lang w:val="en-IE"/>
        </w:rPr>
        <w:t>ould be empowered to open cases concerning serious cross-border crime. These measures align Eurojust’s operational tools with clearer institutional rules, strengthening the Agency’s ability to act proactively while preserving national authorities’ investigative primacy.</w:t>
      </w:r>
    </w:p>
    <w:p w14:paraId="2F4E08A8" w14:textId="77E8C93E" w:rsidR="46483A8A" w:rsidRPr="00C04E7E" w:rsidRDefault="1F6A1320" w:rsidP="004A0AA8">
      <w:pPr>
        <w:spacing w:after="120"/>
        <w:rPr>
          <w:rFonts w:eastAsia="Times New Roman"/>
          <w:noProof/>
          <w:lang w:val="en-IE"/>
        </w:rPr>
      </w:pPr>
      <w:r w:rsidRPr="41290FE8">
        <w:rPr>
          <w:rStyle w:val="bzpyqfadein"/>
          <w:rFonts w:ascii="Times New Roman" w:eastAsia="Times New Roman" w:hAnsi="Times New Roman" w:cs="Times New Roman"/>
          <w:noProof/>
          <w:color w:val="000000" w:themeColor="text1"/>
          <w:lang w:val="en-IE"/>
        </w:rPr>
        <w:t xml:space="preserve">Third, the reform </w:t>
      </w:r>
      <w:r w:rsidR="7FF3E8BF" w:rsidRPr="41290FE8">
        <w:rPr>
          <w:rStyle w:val="bzpyqfadein"/>
          <w:rFonts w:ascii="Times New Roman" w:eastAsia="Times New Roman" w:hAnsi="Times New Roman" w:cs="Times New Roman"/>
          <w:noProof/>
          <w:color w:val="000000" w:themeColor="text1"/>
          <w:lang w:val="en-IE"/>
        </w:rPr>
        <w:t>measures</w:t>
      </w:r>
      <w:r w:rsidRPr="41290FE8">
        <w:rPr>
          <w:rStyle w:val="bzpyqfadein"/>
          <w:rFonts w:ascii="Times New Roman" w:eastAsia="Times New Roman" w:hAnsi="Times New Roman" w:cs="Times New Roman"/>
          <w:noProof/>
          <w:color w:val="000000" w:themeColor="text1"/>
          <w:lang w:val="en-IE"/>
        </w:rPr>
        <w:t xml:space="preserve"> would </w:t>
      </w:r>
      <w:r w:rsidRPr="41290FE8">
        <w:rPr>
          <w:rStyle w:val="bzpyqfadein"/>
          <w:rFonts w:ascii="Times New Roman" w:eastAsia="Times New Roman" w:hAnsi="Times New Roman" w:cs="Times New Roman"/>
          <w:b/>
          <w:bCs/>
          <w:noProof/>
          <w:color w:val="000000" w:themeColor="text1"/>
          <w:lang w:val="en-IE"/>
        </w:rPr>
        <w:t>modernise Eurojust’s governance and internal management structure</w:t>
      </w:r>
      <w:r w:rsidRPr="41290FE8">
        <w:rPr>
          <w:rFonts w:eastAsia="Times New Roman"/>
          <w:noProof/>
          <w:color w:val="000000" w:themeColor="text1"/>
          <w:lang w:val="en-IE"/>
        </w:rPr>
        <w:t xml:space="preserve"> in line with the Common Approach for decentralised agencies. This governance reform complements the operational measures by ensuring that strengthened </w:t>
      </w:r>
      <w:r w:rsidR="509718DB" w:rsidRPr="41290FE8">
        <w:rPr>
          <w:rFonts w:eastAsia="Times New Roman"/>
          <w:noProof/>
          <w:color w:val="000000" w:themeColor="text1"/>
          <w:lang w:val="en-IE"/>
        </w:rPr>
        <w:t xml:space="preserve">operational </w:t>
      </w:r>
      <w:r w:rsidRPr="41290FE8">
        <w:rPr>
          <w:rFonts w:eastAsia="Times New Roman"/>
          <w:noProof/>
          <w:color w:val="000000" w:themeColor="text1"/>
          <w:lang w:val="en-IE"/>
        </w:rPr>
        <w:t>tasks and competences are supported by a more efficient and clearly structured decision-making framework</w:t>
      </w:r>
      <w:r w:rsidR="1737A83E" w:rsidRPr="41290FE8">
        <w:rPr>
          <w:rFonts w:eastAsia="Times New Roman"/>
          <w:noProof/>
          <w:color w:val="000000" w:themeColor="text1"/>
          <w:lang w:val="en-IE"/>
        </w:rPr>
        <w:t>. This will</w:t>
      </w:r>
      <w:r w:rsidR="7D2AE030" w:rsidRPr="41290FE8">
        <w:rPr>
          <w:rFonts w:eastAsia="Times New Roman"/>
          <w:noProof/>
          <w:color w:val="000000" w:themeColor="text1"/>
          <w:lang w:val="en-IE"/>
        </w:rPr>
        <w:t xml:space="preserve"> </w:t>
      </w:r>
      <w:r w:rsidR="1737A83E" w:rsidRPr="41290FE8">
        <w:rPr>
          <w:rFonts w:eastAsia="Times New Roman"/>
          <w:noProof/>
          <w:color w:val="000000" w:themeColor="text1"/>
          <w:lang w:val="en-IE"/>
        </w:rPr>
        <w:t xml:space="preserve">ensure </w:t>
      </w:r>
      <w:r w:rsidR="7D2AE030" w:rsidRPr="41290FE8">
        <w:rPr>
          <w:rFonts w:eastAsia="Times New Roman"/>
          <w:noProof/>
          <w:color w:val="000000" w:themeColor="text1"/>
          <w:lang w:val="en-IE"/>
        </w:rPr>
        <w:t xml:space="preserve">that NMs can focus on operational work and that </w:t>
      </w:r>
      <w:r w:rsidR="5B1E355F" w:rsidRPr="41290FE8">
        <w:rPr>
          <w:rFonts w:eastAsia="Times New Roman"/>
          <w:noProof/>
          <w:color w:val="000000" w:themeColor="text1"/>
          <w:lang w:val="en-IE"/>
        </w:rPr>
        <w:t xml:space="preserve">independent </w:t>
      </w:r>
      <w:r w:rsidR="7D2AE030" w:rsidRPr="41290FE8">
        <w:rPr>
          <w:rFonts w:eastAsia="Times New Roman"/>
          <w:noProof/>
          <w:color w:val="000000" w:themeColor="text1"/>
          <w:lang w:val="en-IE"/>
        </w:rPr>
        <w:t xml:space="preserve">oversight is </w:t>
      </w:r>
      <w:r w:rsidR="44DABD7F" w:rsidRPr="41290FE8">
        <w:rPr>
          <w:rFonts w:eastAsia="Times New Roman"/>
          <w:noProof/>
          <w:color w:val="000000" w:themeColor="text1"/>
          <w:lang w:val="en-IE"/>
        </w:rPr>
        <w:t>allocated to an external MB</w:t>
      </w:r>
      <w:r w:rsidRPr="41290FE8">
        <w:rPr>
          <w:rFonts w:eastAsia="Times New Roman"/>
          <w:noProof/>
          <w:color w:val="000000" w:themeColor="text1"/>
          <w:lang w:val="en-IE"/>
        </w:rPr>
        <w:t>.</w:t>
      </w:r>
      <w:r w:rsidR="0DF9A779" w:rsidRPr="41290FE8">
        <w:rPr>
          <w:rFonts w:eastAsia="Times New Roman"/>
          <w:noProof/>
          <w:color w:val="000000" w:themeColor="text1"/>
          <w:lang w:val="en-IE"/>
        </w:rPr>
        <w:t xml:space="preserve"> </w:t>
      </w:r>
      <w:r w:rsidR="247561D5" w:rsidRPr="41290FE8">
        <w:rPr>
          <w:rFonts w:eastAsia="Times New Roman"/>
          <w:noProof/>
          <w:color w:val="000000" w:themeColor="text1"/>
          <w:lang w:val="en-IE"/>
        </w:rPr>
        <w:t>As already explained in Chapter 2 regarding the presentation of the problem driver #5</w:t>
      </w:r>
      <w:r w:rsidR="247561D5" w:rsidRPr="00C04E7E">
        <w:rPr>
          <w:rFonts w:eastAsia="Times New Roman"/>
          <w:noProof/>
          <w:lang w:val="en-IE"/>
        </w:rPr>
        <w:t xml:space="preserve">, Governance inefficiencies are rooted in a legacy culture but also due to legal uncertainties in the division of tasks and accountabilities. </w:t>
      </w:r>
      <w:r w:rsidR="2F78D72A" w:rsidRPr="41290FE8">
        <w:rPr>
          <w:rFonts w:eastAsia="Times New Roman"/>
          <w:noProof/>
          <w:lang w:val="en-IE"/>
        </w:rPr>
        <w:t>While Eurojust had been encouraged to evolve its working practices towards greater efficiency, the trend observed in practice has been the opposite, as highlighted in the evaluation study. The preferred option would reposition the College towards a more operationally focused function, while ensuring that management and administrative decisions are taken by the bodies best placed and competent to handle them efficiently. These structu</w:t>
      </w:r>
      <w:r w:rsidR="4EC7DC14" w:rsidRPr="41290FE8">
        <w:rPr>
          <w:rFonts w:eastAsia="Times New Roman"/>
          <w:noProof/>
          <w:lang w:val="en-IE"/>
        </w:rPr>
        <w:t>r</w:t>
      </w:r>
      <w:r w:rsidR="2F78D72A" w:rsidRPr="41290FE8">
        <w:rPr>
          <w:rFonts w:eastAsia="Times New Roman"/>
          <w:noProof/>
          <w:lang w:val="en-IE"/>
        </w:rPr>
        <w:t>al changes</w:t>
      </w:r>
      <w:r w:rsidR="247561D5" w:rsidRPr="00C04E7E">
        <w:rPr>
          <w:rFonts w:eastAsia="Times New Roman"/>
          <w:noProof/>
          <w:lang w:val="en-IE"/>
        </w:rPr>
        <w:t xml:space="preserve"> </w:t>
      </w:r>
      <w:r w:rsidR="247561D5" w:rsidRPr="41290FE8">
        <w:rPr>
          <w:rFonts w:eastAsia="Times New Roman"/>
          <w:noProof/>
          <w:lang w:val="en-IE"/>
        </w:rPr>
        <w:t>require</w:t>
      </w:r>
      <w:r w:rsidR="247561D5" w:rsidRPr="00C04E7E">
        <w:rPr>
          <w:rFonts w:eastAsia="Times New Roman"/>
          <w:noProof/>
          <w:lang w:val="en-IE"/>
        </w:rPr>
        <w:t xml:space="preserve"> a legislative intervention (best score on C.PO3)</w:t>
      </w:r>
      <w:r w:rsidR="287C4E15" w:rsidRPr="41290FE8">
        <w:rPr>
          <w:rFonts w:eastAsia="Times New Roman"/>
          <w:noProof/>
          <w:lang w:val="en-IE"/>
        </w:rPr>
        <w:t>.</w:t>
      </w:r>
    </w:p>
    <w:p w14:paraId="72AF017B" w14:textId="6B8FCA33" w:rsidR="46483A8A" w:rsidRPr="00D4396B" w:rsidRDefault="690F366C" w:rsidP="008A67E7">
      <w:pPr>
        <w:spacing w:after="120"/>
        <w:rPr>
          <w:rFonts w:eastAsia="Times New Roman"/>
          <w:noProof/>
          <w:color w:val="000000" w:themeColor="text1"/>
          <w:lang w:val="en-IE"/>
        </w:rPr>
      </w:pPr>
      <w:r w:rsidRPr="07306001">
        <w:rPr>
          <w:rStyle w:val="bzpyqfadein"/>
          <w:rFonts w:ascii="Times New Roman" w:eastAsia="Times New Roman" w:hAnsi="Times New Roman" w:cs="Times New Roman"/>
          <w:noProof/>
          <w:color w:val="000000" w:themeColor="text1"/>
          <w:lang w:val="en-IE"/>
        </w:rPr>
        <w:t xml:space="preserve">Fourth, </w:t>
      </w:r>
      <w:r w:rsidR="6A108844" w:rsidRPr="07306001">
        <w:rPr>
          <w:rStyle w:val="bzpyqfadein"/>
          <w:rFonts w:ascii="Times New Roman" w:eastAsia="Times New Roman" w:hAnsi="Times New Roman" w:cs="Times New Roman"/>
          <w:noProof/>
          <w:color w:val="000000" w:themeColor="text1"/>
          <w:lang w:val="en-IE"/>
        </w:rPr>
        <w:t>certain</w:t>
      </w:r>
      <w:r w:rsidRPr="07306001">
        <w:rPr>
          <w:rStyle w:val="bzpyqfadein"/>
          <w:rFonts w:ascii="Times New Roman" w:eastAsia="Times New Roman" w:hAnsi="Times New Roman" w:cs="Times New Roman"/>
          <w:noProof/>
          <w:color w:val="000000" w:themeColor="text1"/>
          <w:lang w:val="en-IE"/>
        </w:rPr>
        <w:t xml:space="preserve"> measures would </w:t>
      </w:r>
      <w:r w:rsidRPr="07306001">
        <w:rPr>
          <w:rStyle w:val="bzpyqfadein"/>
          <w:rFonts w:ascii="Times New Roman" w:eastAsia="Times New Roman" w:hAnsi="Times New Roman" w:cs="Times New Roman"/>
          <w:b/>
          <w:bCs/>
          <w:noProof/>
          <w:color w:val="000000" w:themeColor="text1"/>
          <w:lang w:val="en-IE"/>
        </w:rPr>
        <w:t>enhance data protection and data management capabilities</w:t>
      </w:r>
      <w:r w:rsidRPr="07306001">
        <w:rPr>
          <w:rStyle w:val="bzpyqfadein"/>
          <w:rFonts w:ascii="Times New Roman" w:eastAsia="Times New Roman" w:hAnsi="Times New Roman" w:cs="Times New Roman"/>
          <w:noProof/>
          <w:color w:val="000000" w:themeColor="text1"/>
          <w:lang w:val="en-IE"/>
        </w:rPr>
        <w:t xml:space="preserve">, specifying the application of the EU data protection regime within </w:t>
      </w:r>
      <w:r w:rsidR="43F4D690" w:rsidRPr="07306001">
        <w:rPr>
          <w:rStyle w:val="bzpyqfadein"/>
          <w:rFonts w:ascii="Times New Roman" w:eastAsia="Times New Roman" w:hAnsi="Times New Roman" w:cs="Times New Roman"/>
          <w:noProof/>
          <w:color w:val="000000" w:themeColor="text1"/>
          <w:lang w:val="en-IE"/>
        </w:rPr>
        <w:t>the EJR</w:t>
      </w:r>
      <w:r w:rsidRPr="07306001">
        <w:rPr>
          <w:rStyle w:val="bzpyqfadein"/>
          <w:rFonts w:ascii="Times New Roman" w:eastAsia="Times New Roman" w:hAnsi="Times New Roman" w:cs="Times New Roman"/>
          <w:noProof/>
          <w:color w:val="000000" w:themeColor="text1"/>
          <w:lang w:val="en-IE"/>
        </w:rPr>
        <w:t xml:space="preserve"> and allowing longer retention of operational personal data for analytical and strategic purposes. These provisions are consistent with the expansion of Eurojust’s analytical role and ensure that enhanced data processing capacities operate within a clear and robust legal framework.</w:t>
      </w:r>
      <w:r w:rsidR="6EB7909B" w:rsidRPr="07306001">
        <w:rPr>
          <w:rStyle w:val="bzpyqfadein"/>
          <w:rFonts w:ascii="Times New Roman" w:eastAsia="Times New Roman" w:hAnsi="Times New Roman" w:cs="Times New Roman"/>
          <w:noProof/>
          <w:color w:val="000000" w:themeColor="text1"/>
          <w:lang w:val="en-IE"/>
        </w:rPr>
        <w:t xml:space="preserve"> </w:t>
      </w:r>
      <w:r w:rsidR="3A6426BC" w:rsidRPr="07306001">
        <w:rPr>
          <w:rStyle w:val="bzpyqfadein"/>
          <w:rFonts w:ascii="Times New Roman" w:eastAsia="Times New Roman" w:hAnsi="Times New Roman" w:cs="Times New Roman"/>
          <w:noProof/>
          <w:color w:val="000000" w:themeColor="text1"/>
          <w:lang w:val="en-IE"/>
        </w:rPr>
        <w:t>This new, more harmonised and improved legal framework will maintain a high level of data protection whilst supporting the operational needs for the transfer of information.</w:t>
      </w:r>
      <w:r w:rsidR="004A0AA8">
        <w:rPr>
          <w:rStyle w:val="bzpyqfadein"/>
          <w:rFonts w:ascii="Times New Roman" w:eastAsia="Times New Roman" w:hAnsi="Times New Roman" w:cs="Times New Roman"/>
          <w:noProof/>
          <w:color w:val="000000" w:themeColor="text1"/>
          <w:lang w:val="en-IE"/>
        </w:rPr>
        <w:t xml:space="preserve"> </w:t>
      </w:r>
      <w:r w:rsidR="091309AA" w:rsidRPr="7E8FC249">
        <w:rPr>
          <w:rStyle w:val="bzpyqfadein"/>
          <w:rFonts w:ascii="Times New Roman" w:eastAsia="Times New Roman" w:hAnsi="Times New Roman" w:cs="Times New Roman"/>
          <w:noProof/>
          <w:color w:val="000000" w:themeColor="text1"/>
          <w:lang w:val="en-IE"/>
        </w:rPr>
        <w:t xml:space="preserve">Finally, the package would </w:t>
      </w:r>
      <w:r w:rsidR="091309AA" w:rsidRPr="7E8FC249">
        <w:rPr>
          <w:rStyle w:val="bzpyqfadein"/>
          <w:rFonts w:ascii="Times New Roman" w:eastAsia="Times New Roman" w:hAnsi="Times New Roman" w:cs="Times New Roman"/>
          <w:b/>
          <w:bCs/>
          <w:noProof/>
          <w:color w:val="000000" w:themeColor="text1"/>
          <w:lang w:val="en-IE"/>
        </w:rPr>
        <w:t>strengthen cooperation with key partners</w:t>
      </w:r>
      <w:r w:rsidR="091309AA" w:rsidRPr="7E8FC249">
        <w:rPr>
          <w:rStyle w:val="bzpyqfadein"/>
          <w:rFonts w:ascii="Times New Roman" w:eastAsia="Times New Roman" w:hAnsi="Times New Roman" w:cs="Times New Roman"/>
          <w:noProof/>
          <w:color w:val="000000" w:themeColor="text1"/>
          <w:lang w:val="en-IE"/>
        </w:rPr>
        <w:t>, at EU (in particular Europol and the EPPO) and external (third countries)</w:t>
      </w:r>
      <w:r w:rsidR="001B4A77">
        <w:rPr>
          <w:rStyle w:val="bzpyqfadein"/>
          <w:rFonts w:ascii="Times New Roman" w:eastAsia="Times New Roman" w:hAnsi="Times New Roman" w:cs="Times New Roman"/>
          <w:noProof/>
          <w:color w:val="000000" w:themeColor="text1"/>
          <w:lang w:val="en-IE"/>
        </w:rPr>
        <w:t xml:space="preserve"> level</w:t>
      </w:r>
      <w:r w:rsidR="091309AA" w:rsidRPr="7E8FC249">
        <w:rPr>
          <w:rStyle w:val="bzpyqfadein"/>
          <w:rFonts w:ascii="Times New Roman" w:eastAsia="Times New Roman" w:hAnsi="Times New Roman" w:cs="Times New Roman"/>
          <w:noProof/>
          <w:color w:val="000000" w:themeColor="text1"/>
          <w:lang w:val="en-IE"/>
        </w:rPr>
        <w:t xml:space="preserve">. Legislative amendments would structure information exchange, </w:t>
      </w:r>
      <w:r w:rsidR="35A816CC" w:rsidRPr="7E8FC249">
        <w:rPr>
          <w:rStyle w:val="bzpyqfadein"/>
          <w:rFonts w:ascii="Times New Roman" w:eastAsia="Times New Roman" w:hAnsi="Times New Roman" w:cs="Times New Roman"/>
          <w:noProof/>
          <w:color w:val="000000" w:themeColor="text1"/>
          <w:lang w:val="en-IE"/>
        </w:rPr>
        <w:t>reinforce the relevance of</w:t>
      </w:r>
      <w:r w:rsidR="091309AA" w:rsidRPr="7E8FC249">
        <w:rPr>
          <w:rStyle w:val="bzpyqfadein"/>
          <w:rFonts w:ascii="Times New Roman" w:eastAsia="Times New Roman" w:hAnsi="Times New Roman" w:cs="Times New Roman"/>
          <w:noProof/>
          <w:color w:val="000000" w:themeColor="text1"/>
          <w:lang w:val="en-IE"/>
        </w:rPr>
        <w:t xml:space="preserve"> dedicated cooperation channels, embed coordination obligations, and institutionalise operational practices such as </w:t>
      </w:r>
      <w:r w:rsidR="779C5480" w:rsidRPr="6C46D32F">
        <w:rPr>
          <w:rStyle w:val="bzpyqfadein"/>
          <w:rFonts w:ascii="Times New Roman" w:eastAsia="Times New Roman" w:hAnsi="Times New Roman" w:cs="Times New Roman"/>
          <w:noProof/>
          <w:color w:val="000000" w:themeColor="text1"/>
          <w:lang w:val="en-IE"/>
        </w:rPr>
        <w:t>JOP</w:t>
      </w:r>
      <w:r w:rsidR="091309AA" w:rsidRPr="6C46D32F">
        <w:rPr>
          <w:rStyle w:val="bzpyqfadein"/>
          <w:rFonts w:ascii="Times New Roman" w:eastAsia="Times New Roman" w:hAnsi="Times New Roman" w:cs="Times New Roman"/>
          <w:noProof/>
          <w:color w:val="000000" w:themeColor="text1"/>
          <w:lang w:val="en-IE"/>
        </w:rPr>
        <w:t>s</w:t>
      </w:r>
      <w:r w:rsidR="091309AA" w:rsidRPr="7E8FC249">
        <w:rPr>
          <w:rStyle w:val="bzpyqfadein"/>
          <w:rFonts w:ascii="Times New Roman" w:eastAsia="Times New Roman" w:hAnsi="Times New Roman" w:cs="Times New Roman"/>
          <w:noProof/>
          <w:color w:val="000000" w:themeColor="text1"/>
          <w:lang w:val="en-IE"/>
        </w:rPr>
        <w:t xml:space="preserve"> </w:t>
      </w:r>
      <w:r w:rsidR="04F66560" w:rsidRPr="7E8FC249">
        <w:rPr>
          <w:rStyle w:val="bzpyqfadein"/>
          <w:rFonts w:ascii="Times New Roman" w:eastAsia="Times New Roman" w:hAnsi="Times New Roman" w:cs="Times New Roman"/>
          <w:noProof/>
          <w:color w:val="000000" w:themeColor="text1"/>
          <w:lang w:val="en-IE"/>
        </w:rPr>
        <w:t>or task forces</w:t>
      </w:r>
      <w:r w:rsidR="091309AA" w:rsidRPr="7E8FC249">
        <w:rPr>
          <w:rStyle w:val="bzpyqfadein"/>
          <w:rFonts w:ascii="Times New Roman" w:eastAsia="Times New Roman" w:hAnsi="Times New Roman" w:cs="Times New Roman"/>
          <w:noProof/>
          <w:color w:val="000000" w:themeColor="text1"/>
          <w:lang w:val="en-IE"/>
        </w:rPr>
        <w:t xml:space="preserve"> and resident contact points.</w:t>
      </w:r>
    </w:p>
    <w:p w14:paraId="52822DE1" w14:textId="63F15506" w:rsidR="000C3545" w:rsidRDefault="091309AA" w:rsidP="00C72C6D">
      <w:pPr>
        <w:spacing w:after="120"/>
        <w:rPr>
          <w:rStyle w:val="bzpyqfadein"/>
          <w:rFonts w:ascii="Times New Roman" w:eastAsia="Times New Roman" w:hAnsi="Times New Roman" w:cs="Times New Roman"/>
          <w:noProof/>
          <w:color w:val="000000" w:themeColor="text1"/>
          <w:lang w:val="en-IE"/>
        </w:rPr>
      </w:pPr>
      <w:r w:rsidRPr="00D4396B">
        <w:rPr>
          <w:rStyle w:val="bzpyqfadein"/>
          <w:rFonts w:ascii="Times New Roman" w:eastAsia="Times New Roman" w:hAnsi="Times New Roman" w:cs="Times New Roman"/>
          <w:noProof/>
          <w:color w:val="000000" w:themeColor="text1"/>
          <w:lang w:val="en-IE"/>
        </w:rPr>
        <w:t xml:space="preserve">Taken together, the different measures form a </w:t>
      </w:r>
      <w:r w:rsidRPr="00D4396B">
        <w:rPr>
          <w:rStyle w:val="bzpyqfadein"/>
          <w:rFonts w:ascii="Times New Roman" w:eastAsia="Times New Roman" w:hAnsi="Times New Roman" w:cs="Times New Roman"/>
          <w:b/>
          <w:bCs/>
          <w:noProof/>
          <w:color w:val="000000" w:themeColor="text1"/>
          <w:lang w:val="en-IE"/>
        </w:rPr>
        <w:t>consistent and mutually reinforcing reform package</w:t>
      </w:r>
      <w:r w:rsidRPr="00D4396B">
        <w:rPr>
          <w:rStyle w:val="bzpyqfadein"/>
          <w:rFonts w:ascii="Times New Roman" w:eastAsia="Times New Roman" w:hAnsi="Times New Roman" w:cs="Times New Roman"/>
          <w:noProof/>
          <w:color w:val="000000" w:themeColor="text1"/>
          <w:lang w:val="en-IE"/>
        </w:rPr>
        <w:t>: internal governance reforms support stronger operational competences; expanded analytical and data capacities underpin the Agency’s broader mandate; and structured cooperation mechanisms ensure that Eurojust’s enhanced role is effectively integrated within the EU’s broader security and justice architecture</w:t>
      </w:r>
      <w:r w:rsidR="2215E13E" w:rsidRPr="00D4396B">
        <w:rPr>
          <w:rStyle w:val="bzpyqfadein"/>
          <w:rFonts w:ascii="Times New Roman" w:eastAsia="Times New Roman" w:hAnsi="Times New Roman" w:cs="Times New Roman"/>
          <w:noProof/>
          <w:color w:val="000000" w:themeColor="text1"/>
          <w:lang w:val="en-IE"/>
        </w:rPr>
        <w:t xml:space="preserve"> and beyond</w:t>
      </w:r>
      <w:r w:rsidRPr="00D4396B">
        <w:rPr>
          <w:rStyle w:val="bzpyqfadein"/>
          <w:rFonts w:ascii="Times New Roman" w:eastAsia="Times New Roman" w:hAnsi="Times New Roman" w:cs="Times New Roman"/>
          <w:noProof/>
          <w:color w:val="000000" w:themeColor="text1"/>
          <w:lang w:val="en-IE"/>
        </w:rPr>
        <w:t>.</w:t>
      </w:r>
    </w:p>
    <w:p w14:paraId="475B99EA" w14:textId="20FF49D7" w:rsidR="4B98F4DA" w:rsidRPr="00D4396B" w:rsidRDefault="2FDB39B0" w:rsidP="000C3545">
      <w:pPr>
        <w:pStyle w:val="Heading2"/>
        <w:rPr>
          <w:noProof/>
        </w:rPr>
      </w:pPr>
      <w:bookmarkStart w:id="175" w:name="_Toc232176430"/>
      <w:r w:rsidRPr="00D4396B">
        <w:rPr>
          <w:noProof/>
        </w:rPr>
        <w:t>8.2</w:t>
      </w:r>
      <w:r w:rsidR="00E838F0" w:rsidRPr="00D4396B">
        <w:rPr>
          <w:noProof/>
        </w:rPr>
        <w:t>.</w:t>
      </w:r>
      <w:r w:rsidR="003B0D3B" w:rsidRPr="00D4396B">
        <w:rPr>
          <w:noProof/>
        </w:rPr>
        <w:tab/>
      </w:r>
      <w:r w:rsidR="00754E05">
        <w:rPr>
          <w:noProof/>
        </w:rPr>
        <w:t xml:space="preserve">Impact </w:t>
      </w:r>
      <w:r w:rsidRPr="00D4396B">
        <w:rPr>
          <w:noProof/>
        </w:rPr>
        <w:t>of the preferred option</w:t>
      </w:r>
      <w:bookmarkEnd w:id="175"/>
    </w:p>
    <w:p w14:paraId="325671E5" w14:textId="30D07B42" w:rsidR="091309AA" w:rsidRPr="00D4396B" w:rsidRDefault="091309AA" w:rsidP="000C3545">
      <w:pPr>
        <w:pStyle w:val="Heading3"/>
        <w:rPr>
          <w:noProof/>
        </w:rPr>
      </w:pPr>
      <w:bookmarkStart w:id="176" w:name="_Toc232176431"/>
      <w:r w:rsidRPr="00D4396B">
        <w:rPr>
          <w:noProof/>
          <w:lang w:val="en-IE"/>
        </w:rPr>
        <w:t>8.2.1</w:t>
      </w:r>
      <w:r w:rsidR="00E838F0" w:rsidRPr="00D4396B">
        <w:rPr>
          <w:noProof/>
          <w:lang w:val="en-IE"/>
        </w:rPr>
        <w:t>.</w:t>
      </w:r>
      <w:r w:rsidDel="00981587">
        <w:rPr>
          <w:noProof/>
        </w:rPr>
        <w:t xml:space="preserve"> </w:t>
      </w:r>
      <w:r w:rsidRPr="00D4396B">
        <w:rPr>
          <w:noProof/>
          <w:lang w:val="en-IE"/>
        </w:rPr>
        <w:t>Effectiveness</w:t>
      </w:r>
      <w:r w:rsidR="00143E18">
        <w:rPr>
          <w:rStyle w:val="FootnoteReference"/>
          <w:noProof/>
          <w:lang w:val="en-IE"/>
        </w:rPr>
        <w:footnoteReference w:id="140"/>
      </w:r>
      <w:bookmarkEnd w:id="176"/>
    </w:p>
    <w:p w14:paraId="070B55E0" w14:textId="46BA1AD4" w:rsidR="0A66030E" w:rsidRPr="00D4396B" w:rsidRDefault="04663857" w:rsidP="00DD3923">
      <w:pPr>
        <w:spacing w:after="120"/>
        <w:rPr>
          <w:rFonts w:eastAsia="Times New Roman"/>
          <w:noProof/>
          <w:color w:val="000000" w:themeColor="text1"/>
        </w:rPr>
      </w:pPr>
      <w:r w:rsidRPr="00D4396B">
        <w:rPr>
          <w:rFonts w:eastAsia="Times New Roman"/>
          <w:noProof/>
          <w:color w:val="000000" w:themeColor="text1"/>
        </w:rPr>
        <w:t xml:space="preserve">The cumulative impact of the preferred package is highly effective because it </w:t>
      </w:r>
      <w:r w:rsidR="008A32E5" w:rsidRPr="00D4396B">
        <w:rPr>
          <w:rFonts w:eastAsia="Times New Roman"/>
          <w:noProof/>
          <w:color w:val="000000" w:themeColor="text1"/>
        </w:rPr>
        <w:t xml:space="preserve">satisfies the goals of </w:t>
      </w:r>
      <w:r w:rsidRPr="00D4396B">
        <w:rPr>
          <w:rFonts w:eastAsia="Times New Roman"/>
          <w:noProof/>
          <w:color w:val="000000" w:themeColor="text1"/>
        </w:rPr>
        <w:t xml:space="preserve">the two specific objectives </w:t>
      </w:r>
      <w:r w:rsidR="00FD18A0" w:rsidRPr="00D4396B">
        <w:rPr>
          <w:rFonts w:eastAsia="Times New Roman"/>
          <w:noProof/>
          <w:color w:val="000000" w:themeColor="text1"/>
        </w:rPr>
        <w:t>whil</w:t>
      </w:r>
      <w:r w:rsidR="00FD18A0">
        <w:rPr>
          <w:rFonts w:eastAsia="Times New Roman"/>
          <w:noProof/>
          <w:color w:val="000000" w:themeColor="text1"/>
        </w:rPr>
        <w:t>e</w:t>
      </w:r>
      <w:r w:rsidR="00FD18A0" w:rsidRPr="00D4396B">
        <w:rPr>
          <w:rFonts w:eastAsia="Times New Roman"/>
          <w:noProof/>
          <w:color w:val="000000" w:themeColor="text1"/>
        </w:rPr>
        <w:t xml:space="preserve"> </w:t>
      </w:r>
      <w:r w:rsidR="0063547A">
        <w:rPr>
          <w:rFonts w:eastAsia="Times New Roman"/>
          <w:noProof/>
          <w:color w:val="000000" w:themeColor="text1"/>
        </w:rPr>
        <w:t xml:space="preserve">also </w:t>
      </w:r>
      <w:r w:rsidRPr="00D4396B">
        <w:rPr>
          <w:rFonts w:eastAsia="Times New Roman"/>
          <w:noProof/>
          <w:color w:val="000000" w:themeColor="text1"/>
        </w:rPr>
        <w:t xml:space="preserve">addressing </w:t>
      </w:r>
      <w:r w:rsidR="009832F7" w:rsidRPr="00D4396B">
        <w:rPr>
          <w:rFonts w:eastAsia="Times New Roman"/>
          <w:noProof/>
          <w:color w:val="000000" w:themeColor="text1"/>
        </w:rPr>
        <w:t>the</w:t>
      </w:r>
      <w:r w:rsidR="007D7F6B" w:rsidRPr="00D4396B">
        <w:rPr>
          <w:rFonts w:eastAsia="Times New Roman"/>
          <w:noProof/>
          <w:color w:val="000000" w:themeColor="text1"/>
        </w:rPr>
        <w:t xml:space="preserve"> </w:t>
      </w:r>
      <w:r w:rsidRPr="00D4396B">
        <w:rPr>
          <w:rFonts w:eastAsia="Times New Roman"/>
          <w:noProof/>
          <w:color w:val="000000" w:themeColor="text1"/>
        </w:rPr>
        <w:t xml:space="preserve">problem drivers. By combining legislative, governance, and operational measures, the package creates mutually reinforcing effects. </w:t>
      </w:r>
      <w:r w:rsidR="1C7B7E92" w:rsidRPr="00D4396B">
        <w:rPr>
          <w:rFonts w:eastAsia="Times New Roman"/>
          <w:noProof/>
          <w:color w:val="000000" w:themeColor="text1"/>
        </w:rPr>
        <w:t>E</w:t>
      </w:r>
      <w:r w:rsidRPr="00D4396B">
        <w:rPr>
          <w:rFonts w:eastAsia="Times New Roman"/>
          <w:noProof/>
          <w:color w:val="000000" w:themeColor="text1"/>
        </w:rPr>
        <w:t xml:space="preserve">xpanded material competences enable Eurojust to support </w:t>
      </w:r>
      <w:r w:rsidR="650FE2E1" w:rsidRPr="00D4396B">
        <w:rPr>
          <w:rFonts w:eastAsia="Times New Roman"/>
          <w:noProof/>
          <w:color w:val="000000" w:themeColor="text1"/>
        </w:rPr>
        <w:t xml:space="preserve">national authorities in </w:t>
      </w:r>
      <w:r w:rsidRPr="00D4396B">
        <w:rPr>
          <w:rFonts w:eastAsia="Times New Roman"/>
          <w:noProof/>
          <w:color w:val="000000" w:themeColor="text1"/>
        </w:rPr>
        <w:t>new crime areas, while harmonised Member State implementation ensures these competences are evenly applied. Streamlined governance reduces administrative bottlenecks, allowing Eurojust to focus on operational priorities</w:t>
      </w:r>
      <w:r w:rsidR="00F1441A">
        <w:rPr>
          <w:rFonts w:eastAsia="Times New Roman"/>
          <w:noProof/>
          <w:color w:val="000000" w:themeColor="text1"/>
        </w:rPr>
        <w:t>,</w:t>
      </w:r>
      <w:r w:rsidRPr="00D4396B">
        <w:rPr>
          <w:rFonts w:eastAsia="Times New Roman"/>
          <w:noProof/>
          <w:color w:val="000000" w:themeColor="text1"/>
        </w:rPr>
        <w:t xml:space="preserve"> such as third</w:t>
      </w:r>
      <w:r w:rsidR="00B46809">
        <w:rPr>
          <w:rFonts w:eastAsia="Times New Roman"/>
          <w:noProof/>
          <w:color w:val="000000" w:themeColor="text1"/>
        </w:rPr>
        <w:t xml:space="preserve"> country</w:t>
      </w:r>
      <w:r w:rsidRPr="00D4396B">
        <w:rPr>
          <w:rFonts w:eastAsia="Times New Roman"/>
          <w:noProof/>
          <w:color w:val="000000" w:themeColor="text1"/>
        </w:rPr>
        <w:t xml:space="preserve"> cooperation. The package aligns with </w:t>
      </w:r>
      <w:r w:rsidRPr="01603C94">
        <w:rPr>
          <w:rFonts w:eastAsia="Times New Roman"/>
          <w:noProof/>
          <w:color w:val="000000" w:themeColor="text1"/>
        </w:rPr>
        <w:t>stakeholder</w:t>
      </w:r>
      <w:r w:rsidR="44FBFDCB" w:rsidRPr="01603C94">
        <w:rPr>
          <w:rFonts w:eastAsia="Times New Roman"/>
          <w:noProof/>
          <w:color w:val="000000" w:themeColor="text1"/>
        </w:rPr>
        <w:t>s</w:t>
      </w:r>
      <w:r w:rsidRPr="00D4396B">
        <w:rPr>
          <w:rFonts w:eastAsia="Times New Roman"/>
          <w:noProof/>
          <w:color w:val="000000" w:themeColor="text1"/>
        </w:rPr>
        <w:t xml:space="preserve"> demands and EU strategic priorities, ensuring political feasibility and operational relevance. It enhances Eurojust’s proactivity, transforming it from a reactive coordination body to a strategic</w:t>
      </w:r>
      <w:r w:rsidR="1A705A7A" w:rsidRPr="54B18377">
        <w:rPr>
          <w:rFonts w:eastAsia="Times New Roman"/>
          <w:noProof/>
          <w:color w:val="000000" w:themeColor="text1"/>
        </w:rPr>
        <w:t xml:space="preserve">, </w:t>
      </w:r>
      <w:r w:rsidR="153B011C" w:rsidRPr="54B18377">
        <w:rPr>
          <w:rFonts w:eastAsia="Times New Roman"/>
          <w:noProof/>
          <w:color w:val="000000" w:themeColor="text1"/>
        </w:rPr>
        <w:t>agile</w:t>
      </w:r>
      <w:r w:rsidRPr="5C5A80D3">
        <w:rPr>
          <w:rFonts w:eastAsia="Times New Roman"/>
          <w:noProof/>
          <w:color w:val="000000" w:themeColor="text1"/>
        </w:rPr>
        <w:t xml:space="preserve"> </w:t>
      </w:r>
      <w:r w:rsidRPr="00D4396B">
        <w:rPr>
          <w:rFonts w:eastAsia="Times New Roman"/>
          <w:noProof/>
          <w:color w:val="000000" w:themeColor="text1"/>
        </w:rPr>
        <w:t>and analytical hub for cross-border judicial cooperation.</w:t>
      </w:r>
    </w:p>
    <w:p w14:paraId="60418580" w14:textId="62549026" w:rsidR="7816E87C" w:rsidRPr="00D4396B" w:rsidRDefault="7816E87C" w:rsidP="000F169A">
      <w:pPr>
        <w:pStyle w:val="ListParagraph"/>
        <w:numPr>
          <w:ilvl w:val="1"/>
          <w:numId w:val="12"/>
        </w:numPr>
        <w:spacing w:after="120"/>
        <w:ind w:left="0" w:firstLine="0"/>
        <w:contextualSpacing w:val="0"/>
        <w:rPr>
          <w:rFonts w:eastAsia="Times New Roman"/>
          <w:i/>
          <w:iCs/>
          <w:noProof/>
          <w:color w:val="000000" w:themeColor="text1"/>
        </w:rPr>
      </w:pPr>
      <w:r w:rsidRPr="00D4396B">
        <w:rPr>
          <w:rFonts w:eastAsia="Times New Roman"/>
          <w:i/>
          <w:iCs/>
          <w:noProof/>
          <w:color w:val="000000" w:themeColor="text1"/>
        </w:rPr>
        <w:t xml:space="preserve">Specific </w:t>
      </w:r>
      <w:r w:rsidR="00CD55E2" w:rsidRPr="00D4396B">
        <w:rPr>
          <w:rFonts w:eastAsia="Times New Roman"/>
          <w:i/>
          <w:iCs/>
          <w:noProof/>
          <w:color w:val="000000" w:themeColor="text1"/>
        </w:rPr>
        <w:t>O</w:t>
      </w:r>
      <w:r w:rsidRPr="00D4396B">
        <w:rPr>
          <w:rFonts w:eastAsia="Times New Roman"/>
          <w:i/>
          <w:iCs/>
          <w:noProof/>
          <w:color w:val="000000" w:themeColor="text1"/>
        </w:rPr>
        <w:t xml:space="preserve">bjective </w:t>
      </w:r>
      <w:r w:rsidR="00CD55E2" w:rsidRPr="00D4396B">
        <w:rPr>
          <w:rFonts w:eastAsia="Times New Roman"/>
          <w:i/>
          <w:iCs/>
          <w:noProof/>
          <w:color w:val="000000" w:themeColor="text1"/>
        </w:rPr>
        <w:t>1</w:t>
      </w:r>
    </w:p>
    <w:p w14:paraId="37EA6047" w14:textId="6C369A5D" w:rsidR="7DCCE14C" w:rsidRPr="00D4396B" w:rsidRDefault="30214087" w:rsidP="00DD3923">
      <w:pPr>
        <w:spacing w:after="120"/>
        <w:rPr>
          <w:rFonts w:eastAsia="Times New Roman"/>
          <w:noProof/>
        </w:rPr>
      </w:pPr>
      <w:r w:rsidRPr="00D4396B">
        <w:rPr>
          <w:rFonts w:eastAsia="Times New Roman"/>
          <w:noProof/>
          <w:color w:val="000000" w:themeColor="text1"/>
        </w:rPr>
        <w:t>In detail, u</w:t>
      </w:r>
      <w:r w:rsidRPr="00D4396B">
        <w:rPr>
          <w:rFonts w:eastAsia="Times New Roman"/>
          <w:noProof/>
        </w:rPr>
        <w:t>sing the criterion of effectiveness</w:t>
      </w:r>
      <w:r w:rsidRPr="00D4396B">
        <w:rPr>
          <w:rFonts w:eastAsia="Times New Roman"/>
          <w:b/>
          <w:bCs/>
          <w:noProof/>
          <w:color w:val="000000" w:themeColor="text1"/>
        </w:rPr>
        <w:t xml:space="preserve"> A.PO3</w:t>
      </w:r>
      <w:r w:rsidRPr="00D4396B">
        <w:rPr>
          <w:rFonts w:eastAsia="Times New Roman"/>
          <w:noProof/>
          <w:color w:val="000000" w:themeColor="text1"/>
        </w:rPr>
        <w:t xml:space="preserve"> (i.b, ii.b, iii.b, iv, v), </w:t>
      </w:r>
      <w:r w:rsidRPr="00D4396B">
        <w:rPr>
          <w:rFonts w:eastAsia="Times New Roman"/>
          <w:b/>
          <w:bCs/>
          <w:noProof/>
          <w:color w:val="000000" w:themeColor="text1"/>
        </w:rPr>
        <w:t>B.PO3</w:t>
      </w:r>
      <w:r w:rsidRPr="00D4396B">
        <w:rPr>
          <w:rFonts w:eastAsia="Times New Roman"/>
          <w:noProof/>
          <w:color w:val="000000" w:themeColor="text1"/>
        </w:rPr>
        <w:t xml:space="preserve"> (i.b, ii.b, iii, iv)</w:t>
      </w:r>
      <w:r w:rsidR="6807CC9F" w:rsidRPr="00D4396B">
        <w:rPr>
          <w:rFonts w:eastAsia="Times New Roman"/>
          <w:noProof/>
          <w:color w:val="000000" w:themeColor="text1"/>
        </w:rPr>
        <w:t xml:space="preserve"> and</w:t>
      </w:r>
      <w:r w:rsidRPr="00D4396B">
        <w:rPr>
          <w:rFonts w:eastAsia="Times New Roman"/>
          <w:noProof/>
          <w:color w:val="000000" w:themeColor="text1"/>
        </w:rPr>
        <w:t xml:space="preserve"> </w:t>
      </w:r>
      <w:r w:rsidRPr="00D4396B">
        <w:rPr>
          <w:rFonts w:eastAsia="Times New Roman"/>
          <w:b/>
          <w:bCs/>
          <w:noProof/>
          <w:color w:val="000000" w:themeColor="text1"/>
        </w:rPr>
        <w:t>C.PO3</w:t>
      </w:r>
      <w:r w:rsidRPr="00D4396B">
        <w:rPr>
          <w:rFonts w:eastAsia="Times New Roman"/>
          <w:noProof/>
          <w:color w:val="000000" w:themeColor="text1"/>
        </w:rPr>
        <w:t xml:space="preserve"> (</w:t>
      </w:r>
      <w:r w:rsidR="00B22B85">
        <w:rPr>
          <w:rFonts w:eastAsia="Times New Roman"/>
          <w:noProof/>
          <w:color w:val="000000" w:themeColor="text1"/>
        </w:rPr>
        <w:t xml:space="preserve">i, ii, </w:t>
      </w:r>
      <w:r w:rsidRPr="00D4396B">
        <w:rPr>
          <w:rFonts w:eastAsia="Times New Roman"/>
          <w:noProof/>
          <w:color w:val="000000" w:themeColor="text1"/>
        </w:rPr>
        <w:t xml:space="preserve">iii) </w:t>
      </w:r>
      <w:r w:rsidR="1BF14EC0" w:rsidRPr="00D4396B">
        <w:rPr>
          <w:rFonts w:eastAsia="Times New Roman"/>
          <w:noProof/>
        </w:rPr>
        <w:t>are the most effective because they collectively strengthen the EU’s ability to detect, coordinate and prosecute serious and cross-border crime. Their effectiveness stems from reinforcing Eurojust’s role as a central hub for judicial cooperation while improving coordination between national authorities and enabling faster operational responses.</w:t>
      </w:r>
    </w:p>
    <w:p w14:paraId="1C54E589" w14:textId="3C28AFB9" w:rsidR="7DCCE14C" w:rsidRPr="00D4396B" w:rsidRDefault="1246906B" w:rsidP="00DD3923">
      <w:pPr>
        <w:spacing w:after="120"/>
        <w:rPr>
          <w:rFonts w:eastAsia="Times New Roman"/>
          <w:noProof/>
        </w:rPr>
      </w:pPr>
      <w:r w:rsidRPr="7E8FC249">
        <w:rPr>
          <w:rFonts w:eastAsia="Times New Roman"/>
          <w:noProof/>
        </w:rPr>
        <w:t>First, these options significantly enhance the EU’s capacity to respond to increasingly complex and transnational criminal activities. By reinforcing Eurojust’s operational role and expanding its capacity to support national authorities, the EU’s judicial cooperation framework becomes better equipped to address sophisticated criminal structures that exploit legal and procedural differences between Member States.</w:t>
      </w:r>
      <w:r w:rsidR="5AF1FA22" w:rsidRPr="7E8FC249">
        <w:rPr>
          <w:rFonts w:eastAsia="Times New Roman"/>
          <w:noProof/>
        </w:rPr>
        <w:t xml:space="preserve"> New operational tasks</w:t>
      </w:r>
      <w:r w:rsidR="695B2AA5" w:rsidRPr="7E8FC249">
        <w:rPr>
          <w:rFonts w:eastAsia="Times New Roman"/>
          <w:noProof/>
        </w:rPr>
        <w:t>, in particular</w:t>
      </w:r>
      <w:r w:rsidR="5AF1FA22" w:rsidRPr="7E8FC249">
        <w:rPr>
          <w:rFonts w:eastAsia="Times New Roman"/>
          <w:noProof/>
        </w:rPr>
        <w:t xml:space="preserve"> related to electronic evidence </w:t>
      </w:r>
      <w:r w:rsidR="59A07496" w:rsidRPr="7E8FC249">
        <w:rPr>
          <w:rFonts w:eastAsia="Times New Roman"/>
          <w:noProof/>
        </w:rPr>
        <w:t>and</w:t>
      </w:r>
      <w:r w:rsidR="5AF1FA22" w:rsidRPr="7E8FC249">
        <w:rPr>
          <w:rFonts w:eastAsia="Times New Roman"/>
          <w:noProof/>
        </w:rPr>
        <w:t xml:space="preserve"> victims’ rights</w:t>
      </w:r>
      <w:r w:rsidR="006D3855" w:rsidRPr="7E8FC249">
        <w:rPr>
          <w:rFonts w:eastAsia="Times New Roman"/>
          <w:noProof/>
        </w:rPr>
        <w:t>,</w:t>
      </w:r>
      <w:r w:rsidR="5AF1FA22" w:rsidRPr="7E8FC249">
        <w:rPr>
          <w:rFonts w:eastAsia="Times New Roman"/>
          <w:noProof/>
        </w:rPr>
        <w:t xml:space="preserve"> improve coordination in key investigative areas. The establishment of semi-permanent operational platforms supporting JITs facilitates sustained cooperation in complex cases. </w:t>
      </w:r>
      <w:r w:rsidR="4B322FD4" w:rsidRPr="7E8FC249">
        <w:rPr>
          <w:rFonts w:eastAsia="Times New Roman"/>
          <w:b/>
          <w:bCs/>
          <w:noProof/>
        </w:rPr>
        <w:t>A.PO3</w:t>
      </w:r>
      <w:r w:rsidR="4B322FD4" w:rsidRPr="7E8FC249">
        <w:rPr>
          <w:rFonts w:eastAsia="Times New Roman"/>
          <w:noProof/>
        </w:rPr>
        <w:t xml:space="preserve"> </w:t>
      </w:r>
      <w:r w:rsidRPr="7E8FC249">
        <w:rPr>
          <w:rFonts w:eastAsia="Times New Roman"/>
          <w:noProof/>
        </w:rPr>
        <w:t>improve</w:t>
      </w:r>
      <w:r w:rsidR="3C47CEFE" w:rsidRPr="7E8FC249">
        <w:rPr>
          <w:rFonts w:eastAsia="Times New Roman"/>
          <w:noProof/>
        </w:rPr>
        <w:t>s</w:t>
      </w:r>
      <w:r w:rsidRPr="7E8FC249">
        <w:rPr>
          <w:rFonts w:eastAsia="Times New Roman"/>
          <w:noProof/>
        </w:rPr>
        <w:t xml:space="preserve"> the prioritisation and management of cross-border criminal cases</w:t>
      </w:r>
      <w:r w:rsidR="00D00C9E">
        <w:rPr>
          <w:rFonts w:eastAsia="Times New Roman"/>
          <w:noProof/>
        </w:rPr>
        <w:t xml:space="preserve"> which </w:t>
      </w:r>
      <w:r w:rsidRPr="00D4396B">
        <w:rPr>
          <w:rFonts w:eastAsia="Times New Roman"/>
          <w:noProof/>
        </w:rPr>
        <w:t>allow</w:t>
      </w:r>
      <w:r w:rsidR="00D00C9E">
        <w:rPr>
          <w:rFonts w:eastAsia="Times New Roman"/>
          <w:noProof/>
        </w:rPr>
        <w:t>s</w:t>
      </w:r>
      <w:r w:rsidRPr="7E8FC249">
        <w:rPr>
          <w:rFonts w:eastAsia="Times New Roman"/>
          <w:noProof/>
        </w:rPr>
        <w:t xml:space="preserve"> Eurojust to focus </w:t>
      </w:r>
      <w:r w:rsidR="00BD04AB">
        <w:rPr>
          <w:rFonts w:eastAsia="Times New Roman"/>
          <w:noProof/>
        </w:rPr>
        <w:t xml:space="preserve">more </w:t>
      </w:r>
      <w:r w:rsidRPr="7E8FC249">
        <w:rPr>
          <w:rFonts w:eastAsia="Times New Roman"/>
          <w:noProof/>
        </w:rPr>
        <w:t>complex investigations. This ensures that judicial coordination tools are used where they generate the greatest added value</w:t>
      </w:r>
      <w:r w:rsidR="007364F4" w:rsidRPr="6ABADD52">
        <w:rPr>
          <w:rFonts w:eastAsia="Times New Roman"/>
          <w:noProof/>
        </w:rPr>
        <w:t>.</w:t>
      </w:r>
      <w:r w:rsidR="26DDDBC6" w:rsidRPr="6ABADD52">
        <w:rPr>
          <w:rFonts w:eastAsia="Times New Roman"/>
          <w:noProof/>
        </w:rPr>
        <w:t xml:space="preserve"> </w:t>
      </w:r>
      <w:r w:rsidR="00702213" w:rsidRPr="6ABADD52">
        <w:rPr>
          <w:rFonts w:eastAsia="Times New Roman"/>
          <w:noProof/>
        </w:rPr>
        <w:t>E</w:t>
      </w:r>
      <w:r w:rsidR="26DDDBC6" w:rsidRPr="6ABADD52">
        <w:rPr>
          <w:rFonts w:eastAsia="Times New Roman"/>
          <w:noProof/>
        </w:rPr>
        <w:t>xtending</w:t>
      </w:r>
      <w:r w:rsidR="26DDDBC6" w:rsidRPr="7E8FC249">
        <w:rPr>
          <w:rFonts w:eastAsia="Times New Roman"/>
          <w:noProof/>
        </w:rPr>
        <w:t xml:space="preserve"> Eurojust’s competence to emerging crime areas </w:t>
      </w:r>
      <w:r w:rsidR="00702213" w:rsidRPr="6ABADD52">
        <w:rPr>
          <w:rFonts w:eastAsia="Times New Roman"/>
          <w:noProof/>
        </w:rPr>
        <w:t>alongside</w:t>
      </w:r>
      <w:r w:rsidR="26DDDBC6" w:rsidRPr="7E8FC249">
        <w:rPr>
          <w:rFonts w:eastAsia="Times New Roman"/>
          <w:noProof/>
        </w:rPr>
        <w:t xml:space="preserve"> expanded analytical capacity enables the </w:t>
      </w:r>
      <w:r w:rsidR="008175E5" w:rsidRPr="6ABADD52">
        <w:rPr>
          <w:rFonts w:eastAsia="Times New Roman"/>
          <w:noProof/>
        </w:rPr>
        <w:t>A</w:t>
      </w:r>
      <w:r w:rsidR="26DDDBC6" w:rsidRPr="6ABADD52">
        <w:rPr>
          <w:rFonts w:eastAsia="Times New Roman"/>
          <w:noProof/>
        </w:rPr>
        <w:t>gency</w:t>
      </w:r>
      <w:r w:rsidR="26DDDBC6" w:rsidRPr="7E8FC249">
        <w:rPr>
          <w:rFonts w:eastAsia="Times New Roman"/>
          <w:noProof/>
        </w:rPr>
        <w:t xml:space="preserve"> to detect patterns and better support prosecutions</w:t>
      </w:r>
      <w:r w:rsidR="3DAB260F" w:rsidRPr="7E8FC249">
        <w:rPr>
          <w:rFonts w:eastAsia="Times New Roman"/>
          <w:noProof/>
        </w:rPr>
        <w:t xml:space="preserve"> in cross-border cases</w:t>
      </w:r>
      <w:r w:rsidR="26DDDBC6" w:rsidRPr="7E8FC249">
        <w:rPr>
          <w:rFonts w:eastAsia="Times New Roman"/>
          <w:noProof/>
        </w:rPr>
        <w:t>.</w:t>
      </w:r>
    </w:p>
    <w:p w14:paraId="5AC7B259" w14:textId="58220494" w:rsidR="7DCCE14C" w:rsidRPr="00D4396B" w:rsidRDefault="07F0C2A0" w:rsidP="00DD3923">
      <w:pPr>
        <w:spacing w:after="120"/>
        <w:rPr>
          <w:rFonts w:eastAsia="Times New Roman"/>
          <w:noProof/>
        </w:rPr>
      </w:pPr>
      <w:r w:rsidRPr="00D4396B">
        <w:rPr>
          <w:rFonts w:eastAsia="Times New Roman"/>
          <w:noProof/>
        </w:rPr>
        <w:t>Second</w:t>
      </w:r>
      <w:r w:rsidR="1246906B" w:rsidRPr="00D4396B">
        <w:rPr>
          <w:rFonts w:eastAsia="Times New Roman"/>
          <w:noProof/>
        </w:rPr>
        <w:t>, the</w:t>
      </w:r>
      <w:r w:rsidR="1BD920AA" w:rsidRPr="00D4396B">
        <w:rPr>
          <w:rFonts w:eastAsia="Times New Roman"/>
          <w:noProof/>
        </w:rPr>
        <w:t xml:space="preserve"> preferred</w:t>
      </w:r>
      <w:r w:rsidR="1246906B" w:rsidRPr="00D4396B">
        <w:rPr>
          <w:rFonts w:eastAsia="Times New Roman"/>
          <w:noProof/>
        </w:rPr>
        <w:t xml:space="preserve"> </w:t>
      </w:r>
      <w:r w:rsidR="1246906B" w:rsidRPr="298AF48D">
        <w:rPr>
          <w:rFonts w:eastAsia="Times New Roman"/>
          <w:noProof/>
        </w:rPr>
        <w:t>option</w:t>
      </w:r>
      <w:r w:rsidR="1246906B" w:rsidRPr="00D4396B">
        <w:rPr>
          <w:rFonts w:eastAsia="Times New Roman"/>
          <w:noProof/>
        </w:rPr>
        <w:t xml:space="preserve"> increase</w:t>
      </w:r>
      <w:r w:rsidR="001E38F6">
        <w:rPr>
          <w:rFonts w:eastAsia="Times New Roman"/>
          <w:noProof/>
        </w:rPr>
        <w:t>s</w:t>
      </w:r>
      <w:r w:rsidR="1246906B" w:rsidRPr="00D4396B">
        <w:rPr>
          <w:rFonts w:eastAsia="Times New Roman"/>
          <w:noProof/>
        </w:rPr>
        <w:t xml:space="preserve"> the speed and </w:t>
      </w:r>
      <w:r w:rsidR="3A55A9A3" w:rsidRPr="00D4396B">
        <w:rPr>
          <w:rFonts w:eastAsia="Times New Roman"/>
          <w:noProof/>
        </w:rPr>
        <w:t xml:space="preserve">relevance </w:t>
      </w:r>
      <w:r w:rsidR="1246906B" w:rsidRPr="00D4396B">
        <w:rPr>
          <w:rFonts w:eastAsia="Times New Roman"/>
          <w:noProof/>
        </w:rPr>
        <w:t>of operational coordination. Serious cross-border investigations often require rapid information exchange, swift judicial decisions and coordinated prosecutorial strategies across multiple jurisdictions. By reducing procedural fragmentation and improving coordination mechanisms, these options allow authorities to react more quickly and effectively to emerging criminal threats.</w:t>
      </w:r>
      <w:r w:rsidR="0EA72137" w:rsidRPr="00D4396B">
        <w:rPr>
          <w:rFonts w:eastAsia="Times New Roman"/>
          <w:b/>
          <w:bCs/>
          <w:noProof/>
        </w:rPr>
        <w:t xml:space="preserve"> B.PO3</w:t>
      </w:r>
      <w:r w:rsidR="0EA72137" w:rsidRPr="00D4396B">
        <w:rPr>
          <w:rFonts w:eastAsia="Times New Roman"/>
          <w:noProof/>
        </w:rPr>
        <w:t xml:space="preserve"> further improves effectiveness by harmonising how Member States implement the </w:t>
      </w:r>
      <w:r w:rsidR="0EA72137" w:rsidRPr="298AF48D">
        <w:rPr>
          <w:rFonts w:eastAsia="Times New Roman"/>
          <w:noProof/>
        </w:rPr>
        <w:t>E</w:t>
      </w:r>
      <w:r w:rsidR="27B48530" w:rsidRPr="298AF48D">
        <w:rPr>
          <w:rFonts w:eastAsia="Times New Roman"/>
          <w:noProof/>
        </w:rPr>
        <w:t>JR</w:t>
      </w:r>
      <w:r w:rsidR="0EA72137" w:rsidRPr="298AF48D">
        <w:rPr>
          <w:rFonts w:eastAsia="Times New Roman"/>
          <w:noProof/>
        </w:rPr>
        <w:t>.</w:t>
      </w:r>
      <w:r w:rsidR="0EA72137" w:rsidRPr="00D4396B">
        <w:rPr>
          <w:rFonts w:eastAsia="Times New Roman"/>
          <w:noProof/>
        </w:rPr>
        <w:t xml:space="preserve"> The introduction of a Eurojust–EJN case allocation system and a clearer definition of a “Eurojust case” helps focus the agency’s work on the most complex cross-border investigations. </w:t>
      </w:r>
      <w:r w:rsidR="0EA72137" w:rsidRPr="298AF48D">
        <w:rPr>
          <w:rFonts w:eastAsia="Times New Roman"/>
          <w:noProof/>
        </w:rPr>
        <w:t>Granting N</w:t>
      </w:r>
      <w:r w:rsidR="63B4502D" w:rsidRPr="298AF48D">
        <w:rPr>
          <w:rFonts w:eastAsia="Times New Roman"/>
          <w:noProof/>
        </w:rPr>
        <w:t>M</w:t>
      </w:r>
      <w:r w:rsidR="0EA72137" w:rsidRPr="298AF48D">
        <w:rPr>
          <w:rFonts w:eastAsia="Times New Roman"/>
          <w:noProof/>
        </w:rPr>
        <w:t>s</w:t>
      </w:r>
      <w:r w:rsidR="0EA72137" w:rsidRPr="00D4396B">
        <w:rPr>
          <w:rFonts w:eastAsia="Times New Roman"/>
          <w:noProof/>
        </w:rPr>
        <w:t xml:space="preserve"> full operational powers reduces procedural delays and strengthens coordination between national authorities.</w:t>
      </w:r>
    </w:p>
    <w:p w14:paraId="26F77481" w14:textId="06F5E740" w:rsidR="5DA4DE6B" w:rsidRPr="00D4396B" w:rsidRDefault="78276A4A" w:rsidP="00DD3923">
      <w:pPr>
        <w:spacing w:after="120"/>
        <w:rPr>
          <w:rFonts w:eastAsia="Times New Roman"/>
          <w:noProof/>
        </w:rPr>
      </w:pPr>
      <w:r w:rsidRPr="00D4396B">
        <w:rPr>
          <w:rFonts w:eastAsia="Times New Roman"/>
          <w:noProof/>
        </w:rPr>
        <w:t>Third</w:t>
      </w:r>
      <w:r w:rsidR="1246906B" w:rsidRPr="00D4396B">
        <w:rPr>
          <w:rFonts w:eastAsia="Times New Roman"/>
          <w:noProof/>
        </w:rPr>
        <w:t xml:space="preserve">, the options improve </w:t>
      </w:r>
      <w:r w:rsidR="58757B2C" w:rsidRPr="00D4396B">
        <w:rPr>
          <w:rFonts w:eastAsia="Times New Roman"/>
          <w:noProof/>
        </w:rPr>
        <w:t>organisati</w:t>
      </w:r>
      <w:r w:rsidR="1246906B" w:rsidRPr="00D4396B">
        <w:rPr>
          <w:rFonts w:eastAsia="Times New Roman"/>
          <w:noProof/>
        </w:rPr>
        <w:t xml:space="preserve">onal efficiency and strategic coordination, enabling Eurojust to support Member States more effectively in dismantling organised criminal networks. A clearer </w:t>
      </w:r>
      <w:r w:rsidR="72E263FA" w:rsidRPr="00D4396B">
        <w:rPr>
          <w:rFonts w:eastAsia="Times New Roman"/>
          <w:noProof/>
        </w:rPr>
        <w:t>institutional</w:t>
      </w:r>
      <w:r w:rsidR="1246906B" w:rsidRPr="00D4396B">
        <w:rPr>
          <w:rFonts w:eastAsia="Times New Roman"/>
          <w:noProof/>
        </w:rPr>
        <w:t xml:space="preserve"> framework facilitates faster decision-making and allows resources to be directed towards operational priorities in the fight against serious crime.</w:t>
      </w:r>
      <w:r w:rsidR="65C83E47" w:rsidRPr="00D4396B">
        <w:rPr>
          <w:rFonts w:eastAsia="Times New Roman"/>
          <w:b/>
          <w:bCs/>
          <w:noProof/>
        </w:rPr>
        <w:t xml:space="preserve"> C.PO3</w:t>
      </w:r>
      <w:r w:rsidR="65C83E47" w:rsidRPr="00D4396B">
        <w:rPr>
          <w:rFonts w:eastAsia="Times New Roman"/>
          <w:noProof/>
        </w:rPr>
        <w:t xml:space="preserve"> enhances effectiveness by simplifying Eurojust’s governance structure. The creation of a</w:t>
      </w:r>
      <w:r w:rsidR="00465E0A" w:rsidRPr="00D4396B">
        <w:rPr>
          <w:rFonts w:eastAsia="Times New Roman"/>
          <w:noProof/>
        </w:rPr>
        <w:t xml:space="preserve"> </w:t>
      </w:r>
      <w:r w:rsidR="65C83E47" w:rsidRPr="20927B9C">
        <w:rPr>
          <w:rFonts w:eastAsia="Times New Roman"/>
          <w:noProof/>
        </w:rPr>
        <w:t>M</w:t>
      </w:r>
      <w:r w:rsidR="41CA80AC" w:rsidRPr="20927B9C">
        <w:rPr>
          <w:rFonts w:eastAsia="Times New Roman"/>
          <w:noProof/>
        </w:rPr>
        <w:t>B</w:t>
      </w:r>
      <w:r w:rsidR="65C83E47" w:rsidRPr="00D4396B">
        <w:rPr>
          <w:rFonts w:eastAsia="Times New Roman"/>
          <w:noProof/>
        </w:rPr>
        <w:t xml:space="preserve"> separates administrative and operational responsibilities, streamlines decision-making and enables faster responses to complex investigations.</w:t>
      </w:r>
    </w:p>
    <w:p w14:paraId="510286CA" w14:textId="5BDD8028" w:rsidR="7816E87C" w:rsidRPr="00D4396B" w:rsidRDefault="65C83E47" w:rsidP="00DD3923">
      <w:pPr>
        <w:spacing w:after="120"/>
        <w:rPr>
          <w:rFonts w:eastAsia="Times New Roman"/>
          <w:noProof/>
        </w:rPr>
      </w:pPr>
      <w:r w:rsidRPr="00D4396B">
        <w:rPr>
          <w:rFonts w:eastAsia="Times New Roman"/>
          <w:noProof/>
        </w:rPr>
        <w:t>Together, these options reinforce Eurojust’s role as a central hub for judicial cooperation, improve prioritisation of cross-border cases, accelerate operational coordination and strengthen the EU’s ability to detect, coordinate and prosecute complex transnational criminal activities.</w:t>
      </w:r>
    </w:p>
    <w:p w14:paraId="6B067447" w14:textId="3329573A" w:rsidR="2CAB94D4" w:rsidRPr="00D4396B" w:rsidRDefault="220356AF" w:rsidP="000F169A">
      <w:pPr>
        <w:pStyle w:val="ListParagraph"/>
        <w:numPr>
          <w:ilvl w:val="1"/>
          <w:numId w:val="13"/>
        </w:numPr>
        <w:spacing w:after="120"/>
        <w:ind w:left="0" w:firstLine="0"/>
        <w:contextualSpacing w:val="0"/>
        <w:rPr>
          <w:rFonts w:eastAsia="Times New Roman"/>
          <w:i/>
          <w:iCs/>
          <w:noProof/>
          <w:color w:val="000000" w:themeColor="text1"/>
        </w:rPr>
      </w:pPr>
      <w:r w:rsidRPr="00D4396B">
        <w:rPr>
          <w:rFonts w:eastAsia="Times New Roman"/>
          <w:i/>
          <w:iCs/>
          <w:noProof/>
          <w:color w:val="000000" w:themeColor="text1"/>
        </w:rPr>
        <w:t xml:space="preserve">Specific objective </w:t>
      </w:r>
      <w:r w:rsidR="00CD55E2" w:rsidRPr="00D4396B">
        <w:rPr>
          <w:rFonts w:eastAsia="Times New Roman"/>
          <w:i/>
          <w:iCs/>
          <w:noProof/>
          <w:color w:val="000000" w:themeColor="text1"/>
        </w:rPr>
        <w:t>2</w:t>
      </w:r>
    </w:p>
    <w:p w14:paraId="763F4E4D" w14:textId="7B4BEA9C" w:rsidR="35CE57C5" w:rsidRPr="00D4396B" w:rsidRDefault="220356AF" w:rsidP="00BD2F2B">
      <w:pPr>
        <w:spacing w:after="120"/>
        <w:rPr>
          <w:rFonts w:eastAsia="Times New Roman"/>
          <w:noProof/>
        </w:rPr>
      </w:pPr>
      <w:r w:rsidRPr="00D4396B">
        <w:rPr>
          <w:rFonts w:eastAsia="Times New Roman"/>
          <w:noProof/>
          <w:color w:val="000000" w:themeColor="text1"/>
        </w:rPr>
        <w:t xml:space="preserve">The package of preferred policy options </w:t>
      </w:r>
      <w:r w:rsidR="1B4D0D3E" w:rsidRPr="00D4396B">
        <w:rPr>
          <w:rFonts w:eastAsia="Times New Roman"/>
          <w:noProof/>
        </w:rPr>
        <w:t>appears</w:t>
      </w:r>
      <w:r w:rsidRPr="00D4396B">
        <w:rPr>
          <w:rFonts w:eastAsia="Times New Roman"/>
          <w:noProof/>
        </w:rPr>
        <w:t xml:space="preserve"> the most effective because they directly reinforce the operational </w:t>
      </w:r>
      <w:r w:rsidR="3028DE00" w:rsidRPr="00D4396B">
        <w:rPr>
          <w:rFonts w:eastAsia="Times New Roman"/>
          <w:noProof/>
        </w:rPr>
        <w:t xml:space="preserve">judicial </w:t>
      </w:r>
      <w:r w:rsidRPr="00D4396B">
        <w:rPr>
          <w:rFonts w:eastAsia="Times New Roman"/>
          <w:noProof/>
        </w:rPr>
        <w:t>ecosystem in which Eurojust supports complex transnational investigations and prosecutions.</w:t>
      </w:r>
      <w:r w:rsidRPr="00D4396B">
        <w:rPr>
          <w:rFonts w:eastAsia="Times New Roman"/>
          <w:b/>
          <w:bCs/>
          <w:noProof/>
          <w:color w:val="000000" w:themeColor="text1"/>
        </w:rPr>
        <w:t xml:space="preserve"> </w:t>
      </w:r>
      <w:r w:rsidRPr="00D4396B">
        <w:rPr>
          <w:rFonts w:eastAsia="Times New Roman"/>
          <w:noProof/>
          <w:color w:val="000000" w:themeColor="text1"/>
        </w:rPr>
        <w:t>Indeed,</w:t>
      </w:r>
      <w:r w:rsidR="3A1D034C" w:rsidRPr="00D4396B">
        <w:rPr>
          <w:rFonts w:eastAsia="Times New Roman"/>
          <w:noProof/>
          <w:color w:val="000000" w:themeColor="text1"/>
        </w:rPr>
        <w:t xml:space="preserve"> </w:t>
      </w:r>
      <w:r w:rsidR="00A434F8" w:rsidRPr="00D4396B">
        <w:rPr>
          <w:rFonts w:eastAsia="Times New Roman"/>
          <w:b/>
          <w:bCs/>
          <w:noProof/>
          <w:color w:val="000000" w:themeColor="text1"/>
        </w:rPr>
        <w:t>D</w:t>
      </w:r>
      <w:r w:rsidRPr="00D4396B">
        <w:rPr>
          <w:rFonts w:eastAsia="Times New Roman"/>
          <w:b/>
          <w:bCs/>
          <w:noProof/>
          <w:color w:val="000000" w:themeColor="text1"/>
        </w:rPr>
        <w:t>.PO3</w:t>
      </w:r>
      <w:r w:rsidRPr="00D4396B">
        <w:rPr>
          <w:rFonts w:eastAsia="Times New Roman"/>
          <w:noProof/>
          <w:color w:val="000000" w:themeColor="text1"/>
        </w:rPr>
        <w:t xml:space="preserve"> (i.b, ii.b, iii, iv, v), </w:t>
      </w:r>
      <w:r w:rsidR="0061372C" w:rsidRPr="00D4396B">
        <w:rPr>
          <w:rFonts w:eastAsia="Times New Roman"/>
          <w:b/>
          <w:bCs/>
          <w:noProof/>
          <w:color w:val="000000" w:themeColor="text1"/>
        </w:rPr>
        <w:t>E</w:t>
      </w:r>
      <w:r w:rsidRPr="00D4396B">
        <w:rPr>
          <w:rFonts w:eastAsia="Times New Roman"/>
          <w:b/>
          <w:bCs/>
          <w:noProof/>
          <w:color w:val="000000" w:themeColor="text1"/>
        </w:rPr>
        <w:t>.PO2</w:t>
      </w:r>
      <w:r w:rsidRPr="00D4396B">
        <w:rPr>
          <w:rFonts w:eastAsia="Times New Roman"/>
          <w:noProof/>
          <w:color w:val="000000" w:themeColor="text1"/>
        </w:rPr>
        <w:t xml:space="preserve"> (i.b, ii, iii) and </w:t>
      </w:r>
      <w:r w:rsidR="00F21953" w:rsidRPr="00D4396B">
        <w:rPr>
          <w:rFonts w:eastAsia="Times New Roman"/>
          <w:b/>
          <w:bCs/>
          <w:noProof/>
          <w:color w:val="000000" w:themeColor="text1"/>
        </w:rPr>
        <w:t>F</w:t>
      </w:r>
      <w:r w:rsidRPr="00D4396B">
        <w:rPr>
          <w:rFonts w:eastAsia="Times New Roman"/>
          <w:b/>
          <w:bCs/>
          <w:noProof/>
          <w:color w:val="000000" w:themeColor="text1"/>
        </w:rPr>
        <w:t>.PO2</w:t>
      </w:r>
      <w:r w:rsidRPr="00D4396B">
        <w:rPr>
          <w:rFonts w:eastAsia="Times New Roman"/>
          <w:noProof/>
          <w:color w:val="000000" w:themeColor="text1"/>
        </w:rPr>
        <w:t xml:space="preserve"> (i, ii, iii, iv)</w:t>
      </w:r>
      <w:r w:rsidRPr="00D4396B">
        <w:rPr>
          <w:rFonts w:eastAsia="Times New Roman"/>
          <w:noProof/>
        </w:rPr>
        <w:t xml:space="preserve"> </w:t>
      </w:r>
      <w:r w:rsidR="42FD0CA9" w:rsidRPr="00D4396B">
        <w:rPr>
          <w:rFonts w:eastAsia="Times New Roman"/>
          <w:noProof/>
        </w:rPr>
        <w:t>increase significantly the rel</w:t>
      </w:r>
      <w:r w:rsidR="6370C6F9" w:rsidRPr="00D4396B">
        <w:rPr>
          <w:rFonts w:eastAsia="Times New Roman"/>
          <w:noProof/>
        </w:rPr>
        <w:t>ationship between Eurojust and all its ex</w:t>
      </w:r>
      <w:r w:rsidR="43205262" w:rsidRPr="00D4396B">
        <w:rPr>
          <w:rFonts w:eastAsia="Times New Roman"/>
          <w:noProof/>
        </w:rPr>
        <w:t xml:space="preserve">ternal partners, </w:t>
      </w:r>
      <w:r w:rsidR="5383D476" w:rsidRPr="00D4396B">
        <w:rPr>
          <w:rFonts w:eastAsia="Times New Roman"/>
          <w:noProof/>
        </w:rPr>
        <w:t xml:space="preserve">by improving information exchange, strengthening institutional cooperation and extending operational coordination </w:t>
      </w:r>
      <w:r w:rsidR="43205262" w:rsidRPr="00D4396B">
        <w:rPr>
          <w:rFonts w:eastAsia="Times New Roman"/>
          <w:noProof/>
        </w:rPr>
        <w:t xml:space="preserve">at EU level and beyond </w:t>
      </w:r>
      <w:r w:rsidR="28EB67DB" w:rsidRPr="00D4396B">
        <w:rPr>
          <w:rFonts w:eastAsia="Times New Roman"/>
          <w:noProof/>
        </w:rPr>
        <w:t xml:space="preserve">EU borders </w:t>
      </w:r>
      <w:r w:rsidR="43205262" w:rsidRPr="00D4396B">
        <w:rPr>
          <w:rFonts w:eastAsia="Times New Roman"/>
          <w:noProof/>
        </w:rPr>
        <w:t xml:space="preserve">(third countries and </w:t>
      </w:r>
      <w:r w:rsidR="34336123" w:rsidRPr="00D4396B">
        <w:rPr>
          <w:rFonts w:eastAsia="Times New Roman"/>
          <w:noProof/>
        </w:rPr>
        <w:t xml:space="preserve">international </w:t>
      </w:r>
      <w:r w:rsidR="43205262" w:rsidRPr="00D4396B">
        <w:rPr>
          <w:rFonts w:eastAsia="Times New Roman"/>
          <w:noProof/>
        </w:rPr>
        <w:t>organisations).</w:t>
      </w:r>
    </w:p>
    <w:p w14:paraId="4A149F57" w14:textId="459B4A08" w:rsidR="00786E71" w:rsidRPr="00D4396B" w:rsidRDefault="00A434F8" w:rsidP="00BD2F2B">
      <w:pPr>
        <w:spacing w:after="120"/>
        <w:rPr>
          <w:rFonts w:eastAsia="Times New Roman"/>
          <w:noProof/>
        </w:rPr>
      </w:pPr>
      <w:r w:rsidRPr="00D4396B">
        <w:rPr>
          <w:rFonts w:eastAsia="Times New Roman"/>
          <w:b/>
          <w:bCs/>
          <w:noProof/>
        </w:rPr>
        <w:t>D</w:t>
      </w:r>
      <w:r w:rsidR="43B86A32" w:rsidRPr="00D4396B">
        <w:rPr>
          <w:rFonts w:eastAsia="Times New Roman"/>
          <w:b/>
          <w:bCs/>
          <w:noProof/>
        </w:rPr>
        <w:t>.PO3</w:t>
      </w:r>
      <w:r w:rsidR="43B86A32" w:rsidRPr="00D4396B">
        <w:rPr>
          <w:rFonts w:eastAsia="Times New Roman"/>
          <w:noProof/>
        </w:rPr>
        <w:t xml:space="preserve"> significantly strengthens the EU’s capacity to tackle serious crime by ensuring structured operational cooperation between Eurojust and Europol</w:t>
      </w:r>
      <w:r w:rsidR="487E526D" w:rsidRPr="00D4396B">
        <w:rPr>
          <w:rFonts w:eastAsia="Times New Roman"/>
          <w:noProof/>
        </w:rPr>
        <w:t>, in both terms of data exchange but also operational synergies</w:t>
      </w:r>
      <w:r w:rsidR="0896C366" w:rsidRPr="00D4396B">
        <w:rPr>
          <w:rFonts w:eastAsia="Times New Roman"/>
          <w:noProof/>
        </w:rPr>
        <w:t>, helping establish a police-justice continuum</w:t>
      </w:r>
      <w:r w:rsidR="487E526D" w:rsidRPr="00D4396B">
        <w:rPr>
          <w:rFonts w:eastAsia="Times New Roman"/>
          <w:noProof/>
        </w:rPr>
        <w:t>. Indeed, t</w:t>
      </w:r>
      <w:r w:rsidR="43B86A32" w:rsidRPr="00D4396B">
        <w:rPr>
          <w:rFonts w:eastAsia="Times New Roman"/>
          <w:noProof/>
        </w:rPr>
        <w:t xml:space="preserve">he combination of Europol’s criminal intelligence and Eurojust’s judicial coordination allows authorities to detect cross-border criminal patterns more quickly and to translate intelligence into </w:t>
      </w:r>
      <w:r w:rsidR="50A2E87F" w:rsidRPr="12B1AAEF">
        <w:rPr>
          <w:rFonts w:eastAsia="Times New Roman"/>
          <w:noProof/>
        </w:rPr>
        <w:t xml:space="preserve">timely </w:t>
      </w:r>
      <w:r w:rsidR="50A2E87F" w:rsidRPr="0FC2ACAD">
        <w:rPr>
          <w:rFonts w:eastAsia="Times New Roman"/>
          <w:noProof/>
        </w:rPr>
        <w:t xml:space="preserve">and </w:t>
      </w:r>
      <w:r w:rsidR="00C74C22" w:rsidRPr="72724284">
        <w:rPr>
          <w:rFonts w:eastAsia="Times New Roman"/>
          <w:noProof/>
        </w:rPr>
        <w:t>well</w:t>
      </w:r>
      <w:r w:rsidR="005B72B0">
        <w:rPr>
          <w:rFonts w:eastAsia="Times New Roman"/>
          <w:noProof/>
        </w:rPr>
        <w:t>-</w:t>
      </w:r>
      <w:r w:rsidR="00C74C22" w:rsidRPr="72724284">
        <w:rPr>
          <w:rFonts w:eastAsia="Times New Roman"/>
          <w:noProof/>
        </w:rPr>
        <w:t>coordinated</w:t>
      </w:r>
      <w:r w:rsidR="43B86A32" w:rsidRPr="00D4396B">
        <w:rPr>
          <w:rFonts w:eastAsia="Times New Roman"/>
          <w:noProof/>
        </w:rPr>
        <w:t xml:space="preserve"> judicial investigations and prosecutions. </w:t>
      </w:r>
    </w:p>
    <w:p w14:paraId="612DFBF5" w14:textId="18EE69FA" w:rsidR="25644D71" w:rsidRPr="00D4396B" w:rsidRDefault="43B86A32" w:rsidP="00BD2F2B">
      <w:pPr>
        <w:spacing w:after="120"/>
        <w:rPr>
          <w:rFonts w:eastAsia="Times New Roman"/>
          <w:noProof/>
        </w:rPr>
      </w:pPr>
      <w:r w:rsidRPr="00D4396B">
        <w:rPr>
          <w:rFonts w:eastAsia="Times New Roman"/>
          <w:noProof/>
        </w:rPr>
        <w:t xml:space="preserve">In the same way, </w:t>
      </w:r>
      <w:r w:rsidR="0061372C" w:rsidRPr="00D4396B">
        <w:rPr>
          <w:rFonts w:eastAsia="Times New Roman"/>
          <w:b/>
          <w:bCs/>
          <w:noProof/>
        </w:rPr>
        <w:t>E</w:t>
      </w:r>
      <w:r w:rsidRPr="00D4396B">
        <w:rPr>
          <w:rFonts w:eastAsia="Times New Roman"/>
          <w:b/>
          <w:bCs/>
          <w:noProof/>
        </w:rPr>
        <w:t>.PO2</w:t>
      </w:r>
      <w:r w:rsidRPr="00D4396B">
        <w:rPr>
          <w:rFonts w:eastAsia="Times New Roman"/>
          <w:noProof/>
        </w:rPr>
        <w:t xml:space="preserve"> enhances the effectiveness of EU action against complex financial crime and other cross-border offences by ensuring closer cooperation between Eurojust and the EPPO. Stronger coordination between the two bodies helps avoid parallel proceedings, facilitates cooperation with non-participating Member States and third countries, and supports comprehensive case handling in investigations with a cross-border dimension.</w:t>
      </w:r>
    </w:p>
    <w:p w14:paraId="5A51ACC7" w14:textId="43BAF080" w:rsidR="637496FD" w:rsidRPr="00D4396B" w:rsidRDefault="43B86A32" w:rsidP="00BD2F2B">
      <w:pPr>
        <w:spacing w:after="120"/>
        <w:rPr>
          <w:noProof/>
        </w:rPr>
      </w:pPr>
      <w:r w:rsidRPr="7E8FC249">
        <w:rPr>
          <w:rFonts w:eastAsia="Times New Roman"/>
          <w:noProof/>
        </w:rPr>
        <w:t xml:space="preserve">Finally, </w:t>
      </w:r>
      <w:r w:rsidR="00F21953" w:rsidRPr="7E8FC249">
        <w:rPr>
          <w:rFonts w:eastAsia="Times New Roman"/>
          <w:b/>
          <w:bCs/>
          <w:noProof/>
        </w:rPr>
        <w:t>F</w:t>
      </w:r>
      <w:r w:rsidRPr="7E8FC249">
        <w:rPr>
          <w:rFonts w:eastAsia="Times New Roman"/>
          <w:b/>
          <w:bCs/>
          <w:noProof/>
        </w:rPr>
        <w:t>.PO2</w:t>
      </w:r>
      <w:r w:rsidRPr="7E8FC249">
        <w:rPr>
          <w:rFonts w:eastAsia="Times New Roman"/>
          <w:noProof/>
        </w:rPr>
        <w:t xml:space="preserve"> increases effectiveness by reinforcing operational cooperation with third countries and international partners</w:t>
      </w:r>
      <w:r w:rsidRPr="7E8FC249">
        <w:rPr>
          <w:rFonts w:eastAsia="Times New Roman"/>
          <w:b/>
          <w:bCs/>
          <w:noProof/>
        </w:rPr>
        <w:t xml:space="preserve">, </w:t>
      </w:r>
      <w:r w:rsidRPr="7E8FC249">
        <w:rPr>
          <w:rFonts w:eastAsia="Times New Roman"/>
          <w:noProof/>
        </w:rPr>
        <w:t xml:space="preserve">which is essential given the global dimension of many organised crime activities. </w:t>
      </w:r>
      <w:r w:rsidR="69E8142C" w:rsidRPr="7E8FC249">
        <w:rPr>
          <w:rFonts w:eastAsia="Times New Roman"/>
          <w:noProof/>
        </w:rPr>
        <w:t xml:space="preserve">Introducing cooperation </w:t>
      </w:r>
      <w:r w:rsidR="0047121A" w:rsidRPr="7E8FC249">
        <w:rPr>
          <w:rFonts w:eastAsia="Times New Roman"/>
          <w:noProof/>
        </w:rPr>
        <w:t>obligations in</w:t>
      </w:r>
      <w:r w:rsidR="69E8142C" w:rsidRPr="7E8FC249">
        <w:rPr>
          <w:rFonts w:eastAsia="Times New Roman"/>
          <w:noProof/>
        </w:rPr>
        <w:t xml:space="preserve"> agreements with third countries, clarifying the legal framework for </w:t>
      </w:r>
      <w:r w:rsidR="69E8142C" w:rsidRPr="7094AC9D">
        <w:rPr>
          <w:rFonts w:eastAsia="Times New Roman"/>
          <w:noProof/>
        </w:rPr>
        <w:t>L</w:t>
      </w:r>
      <w:r w:rsidR="72AAA624" w:rsidRPr="7094AC9D">
        <w:rPr>
          <w:rFonts w:eastAsia="Times New Roman"/>
          <w:noProof/>
        </w:rPr>
        <w:t>M</w:t>
      </w:r>
      <w:r w:rsidR="69E8142C" w:rsidRPr="7094AC9D">
        <w:rPr>
          <w:rFonts w:eastAsia="Times New Roman"/>
          <w:noProof/>
        </w:rPr>
        <w:t>s</w:t>
      </w:r>
      <w:r w:rsidR="69E8142C" w:rsidRPr="7E8FC249">
        <w:rPr>
          <w:rFonts w:eastAsia="Times New Roman"/>
          <w:noProof/>
        </w:rPr>
        <w:t>, institutionalising Resident Contact Points for priority partners</w:t>
      </w:r>
      <w:r w:rsidR="004211F3">
        <w:rPr>
          <w:rFonts w:eastAsia="Times New Roman"/>
          <w:noProof/>
        </w:rPr>
        <w:t>,</w:t>
      </w:r>
      <w:r w:rsidR="69E8142C" w:rsidRPr="7E8FC249">
        <w:rPr>
          <w:rFonts w:eastAsia="Times New Roman"/>
          <w:noProof/>
        </w:rPr>
        <w:t xml:space="preserve"> and enabling the participation of </w:t>
      </w:r>
      <w:r w:rsidR="006234E0" w:rsidRPr="7E8FC249">
        <w:rPr>
          <w:rFonts w:eastAsia="Times New Roman"/>
          <w:noProof/>
        </w:rPr>
        <w:t>LP</w:t>
      </w:r>
      <w:r w:rsidR="69E8142C" w:rsidRPr="7E8FC249">
        <w:rPr>
          <w:rFonts w:eastAsia="Times New Roman"/>
          <w:noProof/>
        </w:rPr>
        <w:t>s in College meetings create more stable operational channels. All these m</w:t>
      </w:r>
      <w:r w:rsidRPr="7E8FC249">
        <w:rPr>
          <w:rFonts w:eastAsia="Times New Roman"/>
          <w:noProof/>
        </w:rPr>
        <w:t xml:space="preserve">easures proposed in this policy option enhance </w:t>
      </w:r>
      <w:r w:rsidR="6CF45CE6" w:rsidRPr="7E8FC249">
        <w:rPr>
          <w:rFonts w:eastAsia="Times New Roman"/>
          <w:noProof/>
        </w:rPr>
        <w:t>a</w:t>
      </w:r>
      <w:r w:rsidR="4A16C047" w:rsidRPr="7E8FC249">
        <w:rPr>
          <w:rFonts w:eastAsia="Times New Roman"/>
          <w:noProof/>
        </w:rPr>
        <w:t xml:space="preserve"> </w:t>
      </w:r>
      <w:r w:rsidRPr="7E8FC249">
        <w:rPr>
          <w:rFonts w:eastAsia="Times New Roman"/>
          <w:noProof/>
        </w:rPr>
        <w:t>more structured external cooperation</w:t>
      </w:r>
      <w:r w:rsidR="28B6A166" w:rsidRPr="7E8FC249">
        <w:rPr>
          <w:rFonts w:eastAsia="Times New Roman"/>
          <w:noProof/>
        </w:rPr>
        <w:t xml:space="preserve">, especially </w:t>
      </w:r>
      <w:r w:rsidRPr="7E8FC249">
        <w:rPr>
          <w:rFonts w:eastAsia="Times New Roman"/>
          <w:noProof/>
        </w:rPr>
        <w:t>by the means of interpersonal contacts</w:t>
      </w:r>
      <w:r w:rsidR="441362E9" w:rsidRPr="7E8FC249">
        <w:rPr>
          <w:rFonts w:eastAsia="Times New Roman"/>
          <w:noProof/>
        </w:rPr>
        <w:t xml:space="preserve"> between </w:t>
      </w:r>
      <w:r w:rsidR="1A7A4022" w:rsidRPr="7E8FC249">
        <w:rPr>
          <w:rFonts w:eastAsia="Times New Roman"/>
          <w:noProof/>
        </w:rPr>
        <w:t>practitioners</w:t>
      </w:r>
      <w:r w:rsidRPr="7E8FC249">
        <w:rPr>
          <w:rFonts w:eastAsia="Times New Roman"/>
          <w:noProof/>
        </w:rPr>
        <w:t>.</w:t>
      </w:r>
    </w:p>
    <w:p w14:paraId="61845244" w14:textId="427F97F0" w:rsidR="091309AA" w:rsidRPr="00D4396B" w:rsidRDefault="091309AA" w:rsidP="000C3545">
      <w:pPr>
        <w:pStyle w:val="Heading3"/>
        <w:rPr>
          <w:noProof/>
        </w:rPr>
      </w:pPr>
      <w:bookmarkStart w:id="177" w:name="_Toc232176432"/>
      <w:r w:rsidRPr="00D4396B">
        <w:rPr>
          <w:noProof/>
          <w:lang w:val="en-IE"/>
        </w:rPr>
        <w:t>8.2.2</w:t>
      </w:r>
      <w:r w:rsidR="00E838F0" w:rsidRPr="00D4396B">
        <w:rPr>
          <w:noProof/>
          <w:lang w:val="en-IE"/>
        </w:rPr>
        <w:t>.</w:t>
      </w:r>
      <w:r w:rsidRPr="00D4396B">
        <w:rPr>
          <w:noProof/>
          <w:lang w:val="en-IE"/>
        </w:rPr>
        <w:t xml:space="preserve"> Efficiency</w:t>
      </w:r>
      <w:bookmarkEnd w:id="177"/>
    </w:p>
    <w:p w14:paraId="4A0AC4BA" w14:textId="7A9BECCF" w:rsidR="46483A8A" w:rsidRPr="00D4396B" w:rsidRDefault="5F0F0BF5" w:rsidP="00E028A0">
      <w:pPr>
        <w:spacing w:after="120"/>
        <w:rPr>
          <w:rFonts w:eastAsia="Times New Roman"/>
          <w:noProof/>
        </w:rPr>
      </w:pPr>
      <w:r w:rsidRPr="00D4396B">
        <w:rPr>
          <w:rFonts w:eastAsia="Times New Roman"/>
          <w:noProof/>
        </w:rPr>
        <w:t>The preferred package of policy options includes a majority of options corresponding to the highest level of intervention (</w:t>
      </w:r>
      <w:r w:rsidRPr="00D4396B">
        <w:rPr>
          <w:rFonts w:eastAsia="Times New Roman"/>
          <w:b/>
          <w:bCs/>
          <w:noProof/>
        </w:rPr>
        <w:t>PO3</w:t>
      </w:r>
      <w:r w:rsidRPr="00D4396B">
        <w:rPr>
          <w:rFonts w:eastAsia="Times New Roman"/>
          <w:noProof/>
        </w:rPr>
        <w:t>). These introduce more significant changes to the current operational and institutional framework of Eurojust than the alternatives providing only minimal or moderate changes. As a result, the preferred package is expected to generate substantial operational benefits, while also requiring a greater mobilisation of resources and organisational adjustments.</w:t>
      </w:r>
    </w:p>
    <w:p w14:paraId="20A9DB13" w14:textId="6A71D3D5" w:rsidR="46483A8A" w:rsidRPr="00D4396B" w:rsidRDefault="6EE2BB00" w:rsidP="00E028A0">
      <w:pPr>
        <w:spacing w:after="120"/>
        <w:rPr>
          <w:noProof/>
        </w:rPr>
      </w:pPr>
      <w:r w:rsidRPr="00D4396B">
        <w:rPr>
          <w:rFonts w:eastAsia="Times New Roman"/>
          <w:noProof/>
        </w:rPr>
        <w:t>In particular, the implementation of the preferred package will require Eurojust, its partner agencies and bodies, and especially Member States, to adapt their working methods, cooperation practices and established operational routines. Such adjustments may entail transitional costs and require time and effort to be fully absorbed by the different actors involved. The transition to new working arrangements may therefore initially encounter certain practical difficulties, including the need to move away from well-established practices and cooperation patterns. In some cases, this may also require changes to national legal frameworks and institutional relations within Member States, as well as the gradual adoption of a new working culture within Eurojust.</w:t>
      </w:r>
    </w:p>
    <w:p w14:paraId="248E1A02" w14:textId="31A461ED" w:rsidR="46483A8A" w:rsidRPr="00D4396B" w:rsidRDefault="729CF766" w:rsidP="00DD3923">
      <w:pPr>
        <w:spacing w:after="120"/>
        <w:rPr>
          <w:rFonts w:eastAsia="Times New Roman"/>
          <w:noProof/>
        </w:rPr>
      </w:pPr>
      <w:r w:rsidRPr="1F7DBC8D">
        <w:rPr>
          <w:rFonts w:eastAsia="Times New Roman"/>
          <w:noProof/>
        </w:rPr>
        <w:t xml:space="preserve">Once these initial adjustments are absorbed, however, the new framework is expected to generate </w:t>
      </w:r>
      <w:r w:rsidR="00D7657D">
        <w:rPr>
          <w:rFonts w:eastAsia="Times New Roman"/>
          <w:noProof/>
        </w:rPr>
        <w:t xml:space="preserve">considerable </w:t>
      </w:r>
      <w:r w:rsidRPr="1F7DBC8D">
        <w:rPr>
          <w:rFonts w:eastAsia="Times New Roman"/>
          <w:noProof/>
        </w:rPr>
        <w:t>efficiency gains in several areas. Most notably, the governance reform</w:t>
      </w:r>
      <w:r w:rsidR="27B10E57" w:rsidRPr="1F7DBC8D">
        <w:rPr>
          <w:rFonts w:eastAsia="Times New Roman"/>
          <w:noProof/>
        </w:rPr>
        <w:t xml:space="preserve"> (</w:t>
      </w:r>
      <w:r w:rsidR="27B10E57" w:rsidRPr="1F7DBC8D">
        <w:rPr>
          <w:rFonts w:eastAsia="Times New Roman"/>
          <w:b/>
          <w:bCs/>
          <w:noProof/>
        </w:rPr>
        <w:t>C.PO3</w:t>
      </w:r>
      <w:r w:rsidR="27B10E57" w:rsidRPr="1F7DBC8D">
        <w:rPr>
          <w:rFonts w:eastAsia="Times New Roman"/>
          <w:noProof/>
        </w:rPr>
        <w:t>)</w:t>
      </w:r>
      <w:r w:rsidRPr="1F7DBC8D">
        <w:rPr>
          <w:rFonts w:eastAsia="Times New Roman"/>
          <w:noProof/>
        </w:rPr>
        <w:t xml:space="preserve"> will allow the College to focus fully on the handling of cases, which should improve both the speed and the quality of the operational support provided to Member States. At the same time, the </w:t>
      </w:r>
      <w:r w:rsidR="291F0301" w:rsidRPr="1F7DBC8D">
        <w:rPr>
          <w:rFonts w:eastAsia="Times New Roman"/>
          <w:noProof/>
        </w:rPr>
        <w:t xml:space="preserve">new </w:t>
      </w:r>
      <w:r w:rsidR="3392229D" w:rsidRPr="1F7DBC8D">
        <w:rPr>
          <w:rFonts w:eastAsia="Times New Roman"/>
          <w:noProof/>
        </w:rPr>
        <w:t xml:space="preserve">overall </w:t>
      </w:r>
      <w:r w:rsidR="291F0301" w:rsidRPr="1F7DBC8D">
        <w:rPr>
          <w:rFonts w:eastAsia="Times New Roman"/>
          <w:noProof/>
        </w:rPr>
        <w:t xml:space="preserve">management </w:t>
      </w:r>
      <w:r w:rsidR="1AE6EA54" w:rsidRPr="1F7DBC8D">
        <w:rPr>
          <w:rFonts w:eastAsia="Times New Roman"/>
          <w:noProof/>
        </w:rPr>
        <w:t>re</w:t>
      </w:r>
      <w:r w:rsidR="291F0301" w:rsidRPr="1F7DBC8D">
        <w:rPr>
          <w:rFonts w:eastAsia="Times New Roman"/>
          <w:noProof/>
        </w:rPr>
        <w:t>organisation (</w:t>
      </w:r>
      <w:r w:rsidRPr="1F7DBC8D">
        <w:rPr>
          <w:rFonts w:eastAsia="Times New Roman"/>
          <w:noProof/>
        </w:rPr>
        <w:t xml:space="preserve">creation of a </w:t>
      </w:r>
      <w:r w:rsidR="5638A6EA" w:rsidRPr="1F7DBC8D">
        <w:rPr>
          <w:rFonts w:eastAsia="Times New Roman"/>
          <w:noProof/>
        </w:rPr>
        <w:t xml:space="preserve">MB and new tasks and composition for the EB) </w:t>
      </w:r>
      <w:r w:rsidRPr="1F7DBC8D">
        <w:rPr>
          <w:rFonts w:eastAsia="Times New Roman"/>
          <w:noProof/>
        </w:rPr>
        <w:t>is expected to improve the allocation of time and responsibilities within the Agency.</w:t>
      </w:r>
    </w:p>
    <w:p w14:paraId="763BA925" w14:textId="1319A68A" w:rsidR="46483A8A" w:rsidRPr="00D4396B" w:rsidRDefault="6EE2BB00" w:rsidP="00DD3923">
      <w:pPr>
        <w:spacing w:after="120"/>
        <w:rPr>
          <w:rFonts w:eastAsia="Times New Roman"/>
          <w:noProof/>
        </w:rPr>
      </w:pPr>
      <w:r w:rsidRPr="00D4396B">
        <w:rPr>
          <w:rFonts w:eastAsia="Times New Roman"/>
          <w:noProof/>
        </w:rPr>
        <w:t>Similarly, the strengthened involvement of liaison officers and representatives of partner bodies in the work of the College</w:t>
      </w:r>
      <w:r w:rsidR="322C13BA" w:rsidRPr="00D4396B">
        <w:rPr>
          <w:rFonts w:eastAsia="Times New Roman"/>
          <w:noProof/>
        </w:rPr>
        <w:t>,</w:t>
      </w:r>
      <w:r w:rsidRPr="00D4396B">
        <w:rPr>
          <w:rFonts w:eastAsia="Times New Roman"/>
          <w:noProof/>
        </w:rPr>
        <w:t xml:space="preserve"> including liaison officers from Europol and the EPPO, as well as </w:t>
      </w:r>
      <w:r w:rsidR="006234E0" w:rsidRPr="00D4396B">
        <w:rPr>
          <w:rFonts w:eastAsia="Times New Roman"/>
          <w:noProof/>
        </w:rPr>
        <w:t>LP</w:t>
      </w:r>
      <w:r w:rsidRPr="00D4396B">
        <w:rPr>
          <w:rFonts w:eastAsia="Times New Roman"/>
          <w:noProof/>
        </w:rPr>
        <w:t>s from third countries</w:t>
      </w:r>
      <w:r w:rsidR="03FB163F" w:rsidRPr="00D4396B">
        <w:rPr>
          <w:rFonts w:eastAsia="Times New Roman"/>
          <w:noProof/>
        </w:rPr>
        <w:t>,</w:t>
      </w:r>
      <w:r w:rsidRPr="00D4396B">
        <w:rPr>
          <w:rFonts w:eastAsia="Times New Roman"/>
          <w:noProof/>
        </w:rPr>
        <w:t xml:space="preserve"> is expected to add value to operational discussions by bringing additional expertise and information to case-related deliberations. At the same time, the participation of a broader range of actors may slightly increase the time required for discussions and coordination, as additional perspectives and institutional positions will need to be taken into account.</w:t>
      </w:r>
    </w:p>
    <w:p w14:paraId="4C32F807" w14:textId="6E5B142E" w:rsidR="46483A8A" w:rsidRPr="00D4396B" w:rsidRDefault="729CF766" w:rsidP="00DD3923">
      <w:pPr>
        <w:spacing w:after="120"/>
        <w:rPr>
          <w:rFonts w:eastAsia="Times New Roman"/>
          <w:noProof/>
        </w:rPr>
      </w:pPr>
      <w:r w:rsidRPr="00D4396B">
        <w:rPr>
          <w:rFonts w:eastAsia="Times New Roman"/>
          <w:noProof/>
        </w:rPr>
        <w:t>More broadly, the preferred package places strong emphasis on improving cooperation with other</w:t>
      </w:r>
      <w:r w:rsidR="0E6B3941" w:rsidRPr="00D4396B">
        <w:rPr>
          <w:rFonts w:eastAsia="Times New Roman"/>
          <w:noProof/>
        </w:rPr>
        <w:t xml:space="preserve"> EU</w:t>
      </w:r>
      <w:r w:rsidRPr="00D4396B">
        <w:rPr>
          <w:rFonts w:eastAsia="Times New Roman"/>
          <w:noProof/>
        </w:rPr>
        <w:t xml:space="preserve"> agencies</w:t>
      </w:r>
      <w:r w:rsidR="368C5930" w:rsidRPr="00D4396B">
        <w:rPr>
          <w:rFonts w:eastAsia="Times New Roman"/>
          <w:noProof/>
        </w:rPr>
        <w:t xml:space="preserve"> and</w:t>
      </w:r>
      <w:r w:rsidRPr="00D4396B">
        <w:rPr>
          <w:rFonts w:eastAsia="Times New Roman"/>
          <w:noProof/>
        </w:rPr>
        <w:t xml:space="preserve"> bodies</w:t>
      </w:r>
      <w:r w:rsidR="0D7A6C09" w:rsidRPr="00D4396B">
        <w:rPr>
          <w:rFonts w:eastAsia="Times New Roman"/>
          <w:noProof/>
        </w:rPr>
        <w:t xml:space="preserve"> </w:t>
      </w:r>
      <w:r w:rsidR="3B4B6CE1" w:rsidRPr="00D4396B">
        <w:rPr>
          <w:rFonts w:eastAsia="Times New Roman"/>
          <w:noProof/>
        </w:rPr>
        <w:t>(</w:t>
      </w:r>
      <w:r w:rsidR="00A434F8" w:rsidRPr="00D4396B">
        <w:rPr>
          <w:rFonts w:eastAsia="Times New Roman"/>
          <w:b/>
          <w:bCs/>
          <w:noProof/>
        </w:rPr>
        <w:t>D</w:t>
      </w:r>
      <w:r w:rsidR="3B4B6CE1" w:rsidRPr="00D4396B">
        <w:rPr>
          <w:rFonts w:eastAsia="Times New Roman"/>
          <w:b/>
          <w:bCs/>
          <w:noProof/>
        </w:rPr>
        <w:t xml:space="preserve">.PO3, </w:t>
      </w:r>
      <w:r w:rsidR="0061372C" w:rsidRPr="00D4396B">
        <w:rPr>
          <w:rFonts w:eastAsia="Times New Roman"/>
          <w:b/>
          <w:bCs/>
          <w:noProof/>
        </w:rPr>
        <w:t>E</w:t>
      </w:r>
      <w:r w:rsidR="3B4B6CE1" w:rsidRPr="00D4396B">
        <w:rPr>
          <w:rFonts w:eastAsia="Times New Roman"/>
          <w:b/>
          <w:bCs/>
          <w:noProof/>
        </w:rPr>
        <w:t>.PO2</w:t>
      </w:r>
      <w:r w:rsidR="3B4B6CE1" w:rsidRPr="00D4396B">
        <w:rPr>
          <w:rFonts w:eastAsia="Times New Roman"/>
          <w:noProof/>
        </w:rPr>
        <w:t>)</w:t>
      </w:r>
      <w:r w:rsidRPr="00D4396B">
        <w:rPr>
          <w:rFonts w:eastAsia="Times New Roman"/>
          <w:noProof/>
        </w:rPr>
        <w:t>. The streamlining of cooperation mechanisms and the clarification of respective roles are expected to reduce duplication of work and overlapping activities, thereby generating efficiency gains and improving the quality of operational outcomes through increased availability of information and expertise. However, closer cooperation also entails coordination costs, including the need for additional meetings, exchanges and increased operational engagement.</w:t>
      </w:r>
    </w:p>
    <w:p w14:paraId="7DC53C93" w14:textId="3B82428F" w:rsidR="46483A8A" w:rsidRPr="00D4396B" w:rsidRDefault="729CF766" w:rsidP="00DD3923">
      <w:pPr>
        <w:spacing w:after="120"/>
        <w:rPr>
          <w:rFonts w:eastAsia="Times New Roman"/>
          <w:noProof/>
        </w:rPr>
      </w:pPr>
      <w:r w:rsidRPr="00D4396B">
        <w:rPr>
          <w:rFonts w:eastAsia="Times New Roman"/>
          <w:noProof/>
        </w:rPr>
        <w:t xml:space="preserve">The preferred package also strengthens the operational role and proactivity of Eurojust and of </w:t>
      </w:r>
      <w:r w:rsidRPr="39C87AE9">
        <w:rPr>
          <w:rFonts w:eastAsia="Times New Roman"/>
          <w:noProof/>
        </w:rPr>
        <w:t>N</w:t>
      </w:r>
      <w:r w:rsidR="6A8666E5" w:rsidRPr="39C87AE9">
        <w:rPr>
          <w:rFonts w:eastAsia="Times New Roman"/>
          <w:noProof/>
        </w:rPr>
        <w:t>M</w:t>
      </w:r>
      <w:r w:rsidR="00D61E82">
        <w:rPr>
          <w:rFonts w:eastAsia="Times New Roman"/>
          <w:noProof/>
        </w:rPr>
        <w:t>s</w:t>
      </w:r>
      <w:r w:rsidR="06B04E55" w:rsidRPr="00D4396B">
        <w:rPr>
          <w:rFonts w:eastAsia="Times New Roman"/>
          <w:noProof/>
        </w:rPr>
        <w:t>, while extending the range of tasks for which the Agency is competent</w:t>
      </w:r>
      <w:r w:rsidR="488DC881" w:rsidRPr="00D4396B">
        <w:rPr>
          <w:rFonts w:eastAsia="Times New Roman"/>
          <w:noProof/>
        </w:rPr>
        <w:t xml:space="preserve"> (</w:t>
      </w:r>
      <w:r w:rsidR="488DC881" w:rsidRPr="00D4396B">
        <w:rPr>
          <w:rFonts w:eastAsia="Times New Roman"/>
          <w:b/>
          <w:bCs/>
          <w:noProof/>
        </w:rPr>
        <w:t>A.PO3</w:t>
      </w:r>
      <w:r w:rsidR="5175942A" w:rsidRPr="00D4396B">
        <w:rPr>
          <w:rFonts w:eastAsia="Times New Roman"/>
          <w:b/>
          <w:bCs/>
          <w:noProof/>
        </w:rPr>
        <w:t>, B.PO3</w:t>
      </w:r>
      <w:r w:rsidR="488DC881" w:rsidRPr="00D4396B">
        <w:rPr>
          <w:rFonts w:eastAsia="Times New Roman"/>
          <w:noProof/>
        </w:rPr>
        <w:t>)</w:t>
      </w:r>
      <w:r w:rsidRPr="00D4396B">
        <w:rPr>
          <w:rFonts w:eastAsia="Times New Roman"/>
          <w:noProof/>
        </w:rPr>
        <w:t>. As a result, the number of cases handled by the Agency may increase. Assuming unchanged resource levels, this may initially place additional pressure on Eurojust’s operational capacity and require adjustments in the prioritisation of activities. However, this effect is expected to be at least mitigated by the governance reforms</w:t>
      </w:r>
      <w:r w:rsidR="009E0AB1">
        <w:rPr>
          <w:rFonts w:eastAsia="Times New Roman"/>
          <w:noProof/>
        </w:rPr>
        <w:t>. These will</w:t>
      </w:r>
      <w:r w:rsidRPr="00D4396B">
        <w:rPr>
          <w:rFonts w:eastAsia="Times New Roman"/>
          <w:noProof/>
        </w:rPr>
        <w:t xml:space="preserve"> free up additional time for </w:t>
      </w:r>
      <w:r w:rsidRPr="54F9C646">
        <w:rPr>
          <w:rFonts w:eastAsia="Times New Roman"/>
          <w:noProof/>
        </w:rPr>
        <w:t>N</w:t>
      </w:r>
      <w:r w:rsidR="44C7597C" w:rsidRPr="54F9C646">
        <w:rPr>
          <w:rFonts w:eastAsia="Times New Roman"/>
          <w:noProof/>
        </w:rPr>
        <w:t>M</w:t>
      </w:r>
      <w:r w:rsidRPr="54F9C646">
        <w:rPr>
          <w:rFonts w:eastAsia="Times New Roman"/>
          <w:noProof/>
        </w:rPr>
        <w:t>s</w:t>
      </w:r>
      <w:r w:rsidRPr="00D4396B">
        <w:rPr>
          <w:rFonts w:eastAsia="Times New Roman"/>
          <w:noProof/>
        </w:rPr>
        <w:t xml:space="preserve"> to focus on operational work by reducing their involvement in administrative tasks, and by a clearer understanding of what constitutes a </w:t>
      </w:r>
      <w:r w:rsidR="00A318A0">
        <w:rPr>
          <w:rFonts w:eastAsia="Times New Roman"/>
          <w:noProof/>
        </w:rPr>
        <w:t>“</w:t>
      </w:r>
      <w:r w:rsidRPr="00D4396B">
        <w:rPr>
          <w:rFonts w:eastAsia="Times New Roman"/>
          <w:noProof/>
        </w:rPr>
        <w:t xml:space="preserve">Eurojust </w:t>
      </w:r>
      <w:r w:rsidR="00B613E9" w:rsidRPr="00D4396B">
        <w:rPr>
          <w:rFonts w:eastAsia="Times New Roman"/>
          <w:noProof/>
        </w:rPr>
        <w:t>case</w:t>
      </w:r>
      <w:r w:rsidR="00B613E9">
        <w:rPr>
          <w:rFonts w:eastAsia="Times New Roman"/>
          <w:noProof/>
        </w:rPr>
        <w:t>”</w:t>
      </w:r>
      <w:r w:rsidRPr="00D4396B">
        <w:rPr>
          <w:rFonts w:eastAsia="Times New Roman"/>
          <w:noProof/>
        </w:rPr>
        <w:t>.</w:t>
      </w:r>
      <w:r w:rsidR="245440B9" w:rsidRPr="00D4396B">
        <w:rPr>
          <w:rFonts w:eastAsia="Times New Roman"/>
          <w:noProof/>
        </w:rPr>
        <w:t xml:space="preserve"> </w:t>
      </w:r>
      <w:r w:rsidR="69209F84" w:rsidRPr="00D4396B">
        <w:rPr>
          <w:rFonts w:eastAsia="Times New Roman"/>
          <w:noProof/>
        </w:rPr>
        <w:t xml:space="preserve">In addition, extending Eurojust’s tasks with regard to the storage and analysis of evidence is expected to have a significant impact on data storage costs and will require additional resources to be devoted to strengthening the Agency’s analytical capacity. Nevertheless, the positive impact of having evidence databases and analysed datasets readily available to support case-building is considered to </w:t>
      </w:r>
      <w:r w:rsidR="00C22406">
        <w:rPr>
          <w:rFonts w:eastAsia="Times New Roman"/>
          <w:noProof/>
        </w:rPr>
        <w:t xml:space="preserve">far </w:t>
      </w:r>
      <w:r w:rsidR="69209F84" w:rsidRPr="00D4396B">
        <w:rPr>
          <w:rFonts w:eastAsia="Times New Roman"/>
          <w:noProof/>
        </w:rPr>
        <w:t>outweigh the costs associated with establishing and maintaining this function.</w:t>
      </w:r>
    </w:p>
    <w:p w14:paraId="4CC9578D" w14:textId="6BD5996E" w:rsidR="46483A8A" w:rsidRPr="00D4396B" w:rsidRDefault="6EE2BB00" w:rsidP="00DD3923">
      <w:pPr>
        <w:spacing w:after="120"/>
        <w:rPr>
          <w:rFonts w:eastAsia="Times New Roman"/>
          <w:noProof/>
        </w:rPr>
      </w:pPr>
      <w:r w:rsidRPr="00D4396B">
        <w:rPr>
          <w:rFonts w:eastAsia="Times New Roman"/>
          <w:noProof/>
        </w:rPr>
        <w:t>The increase in Eurojust’s capacity to detect and open cases may also lead to a higher number of investigations and prosecutions at national level. National authorities may therefore need to allocate additional resources to their prosecution services in order to handle the increased caseload generated by the strengthened operational role of the Agency.</w:t>
      </w:r>
    </w:p>
    <w:p w14:paraId="053C6C91" w14:textId="0AB12988" w:rsidR="46483A8A" w:rsidRPr="00D4396B" w:rsidRDefault="729CF766" w:rsidP="00DD3923">
      <w:pPr>
        <w:spacing w:after="120"/>
        <w:rPr>
          <w:rFonts w:eastAsia="Times New Roman"/>
          <w:noProof/>
        </w:rPr>
      </w:pPr>
      <w:r w:rsidRPr="00D4396B">
        <w:rPr>
          <w:rFonts w:eastAsia="Times New Roman"/>
          <w:noProof/>
        </w:rPr>
        <w:t>Finally, the preferred package strengthens cooperation with international partners</w:t>
      </w:r>
      <w:r w:rsidR="0432C121" w:rsidRPr="00D4396B">
        <w:rPr>
          <w:rFonts w:eastAsia="Times New Roman"/>
          <w:noProof/>
        </w:rPr>
        <w:t xml:space="preserve"> </w:t>
      </w:r>
      <w:r w:rsidR="0432C121" w:rsidRPr="00D4396B">
        <w:rPr>
          <w:rFonts w:eastAsia="Times New Roman"/>
          <w:b/>
          <w:bCs/>
          <w:noProof/>
        </w:rPr>
        <w:t>(</w:t>
      </w:r>
      <w:r w:rsidR="00F21953" w:rsidRPr="00D4396B">
        <w:rPr>
          <w:rFonts w:eastAsia="Times New Roman"/>
          <w:b/>
          <w:bCs/>
          <w:noProof/>
        </w:rPr>
        <w:t>F</w:t>
      </w:r>
      <w:r w:rsidR="0432C121" w:rsidRPr="00D4396B">
        <w:rPr>
          <w:rFonts w:eastAsia="Times New Roman"/>
          <w:b/>
          <w:bCs/>
          <w:noProof/>
        </w:rPr>
        <w:t>.PO</w:t>
      </w:r>
      <w:r w:rsidR="005567C0">
        <w:rPr>
          <w:rFonts w:eastAsia="Times New Roman"/>
          <w:b/>
          <w:bCs/>
          <w:noProof/>
        </w:rPr>
        <w:t>2</w:t>
      </w:r>
      <w:r w:rsidR="0432C121" w:rsidRPr="00D4396B">
        <w:rPr>
          <w:rFonts w:eastAsia="Times New Roman"/>
          <w:noProof/>
        </w:rPr>
        <w:t>)</w:t>
      </w:r>
      <w:r w:rsidRPr="00D4396B">
        <w:rPr>
          <w:rFonts w:eastAsia="Times New Roman"/>
          <w:noProof/>
        </w:rPr>
        <w:t xml:space="preserve">, including through the institutionalisation of mechanisms such as Resident Contact Points. These arrangements are expected to facilitate operational cooperation with third countries by providing reliable channels for judicial exchanges and reducing delays in handling requests. At the same time, the deployment and integration of such actors within Eurojust </w:t>
      </w:r>
      <w:r w:rsidR="002D0C3E">
        <w:rPr>
          <w:rFonts w:eastAsia="Times New Roman"/>
          <w:noProof/>
        </w:rPr>
        <w:t xml:space="preserve">will </w:t>
      </w:r>
      <w:r w:rsidRPr="00D4396B">
        <w:rPr>
          <w:rFonts w:eastAsia="Times New Roman"/>
          <w:noProof/>
        </w:rPr>
        <w:t>require specific organisational arrangements</w:t>
      </w:r>
      <w:r w:rsidR="006C2BE0">
        <w:rPr>
          <w:rFonts w:eastAsia="Times New Roman"/>
          <w:noProof/>
        </w:rPr>
        <w:t xml:space="preserve">; these include </w:t>
      </w:r>
      <w:r w:rsidRPr="00D4396B">
        <w:rPr>
          <w:rFonts w:eastAsia="Times New Roman"/>
          <w:noProof/>
        </w:rPr>
        <w:t>office space, IT infrastructure</w:t>
      </w:r>
      <w:r w:rsidR="00F3049E">
        <w:rPr>
          <w:rFonts w:eastAsia="Times New Roman"/>
          <w:noProof/>
        </w:rPr>
        <w:t>,</w:t>
      </w:r>
      <w:r w:rsidRPr="00D4396B">
        <w:rPr>
          <w:rFonts w:eastAsia="Times New Roman"/>
          <w:noProof/>
        </w:rPr>
        <w:t xml:space="preserve"> and data protection and information security safeguards to prevent the disclosure of sensitive information in the absence of formal cooperation agreements. These requirements may therefore entail additional operational costs for the Agency.</w:t>
      </w:r>
    </w:p>
    <w:p w14:paraId="6C7BF83A" w14:textId="57F9941A" w:rsidR="00B937E9" w:rsidRPr="00D4396B" w:rsidRDefault="00377605" w:rsidP="056E5DE5">
      <w:pPr>
        <w:spacing w:after="120"/>
        <w:rPr>
          <w:rFonts w:eastAsia="Times New Roman"/>
          <w:noProof/>
        </w:rPr>
      </w:pPr>
      <w:r>
        <w:rPr>
          <w:rFonts w:eastAsia="Times New Roman"/>
          <w:noProof/>
        </w:rPr>
        <w:t>T</w:t>
      </w:r>
      <w:r w:rsidR="336580B3" w:rsidRPr="00D4396B">
        <w:rPr>
          <w:rFonts w:eastAsia="Times New Roman"/>
          <w:noProof/>
        </w:rPr>
        <w:t xml:space="preserve">he preferred package is expected to entail certain implementation and coordination costs, reflecting the more structural changes introduced by the reform. Nevertheless, these costs are considered proportionate </w:t>
      </w:r>
      <w:r w:rsidR="336580B3" w:rsidRPr="522EFC56">
        <w:rPr>
          <w:rFonts w:eastAsia="Times New Roman"/>
          <w:noProof/>
        </w:rPr>
        <w:t>in light of the substantial operational benefits expected from the strengthened role of Eurojust and the increased focus on case handling.</w:t>
      </w:r>
      <w:r w:rsidR="475A886B">
        <w:rPr>
          <w:rFonts w:eastAsia="Times New Roman"/>
          <w:noProof/>
        </w:rPr>
        <w:t xml:space="preserve"> </w:t>
      </w:r>
      <w:r w:rsidR="475A886B" w:rsidRPr="522EFC56">
        <w:rPr>
          <w:rFonts w:eastAsia="Times New Roman"/>
          <w:noProof/>
        </w:rPr>
        <w:t xml:space="preserve">The </w:t>
      </w:r>
      <w:r w:rsidR="475A886B" w:rsidRPr="522EFC56">
        <w:rPr>
          <w:rFonts w:eastAsia="Times New Roman"/>
          <w:b/>
          <w:bCs/>
          <w:noProof/>
        </w:rPr>
        <w:t>one-off costs</w:t>
      </w:r>
      <w:r w:rsidR="475A886B">
        <w:rPr>
          <w:rFonts w:eastAsia="Times New Roman"/>
          <w:noProof/>
        </w:rPr>
        <w:t xml:space="preserve"> </w:t>
      </w:r>
      <w:r w:rsidR="3CFB4C02">
        <w:rPr>
          <w:rFonts w:eastAsia="Times New Roman"/>
          <w:noProof/>
        </w:rPr>
        <w:t>are estimated</w:t>
      </w:r>
      <w:r w:rsidR="1EE7CC92">
        <w:rPr>
          <w:rFonts w:eastAsia="Times New Roman"/>
          <w:noProof/>
        </w:rPr>
        <w:t xml:space="preserve"> between EUR 4.4 million </w:t>
      </w:r>
      <w:r w:rsidR="00883E21">
        <w:rPr>
          <w:rFonts w:eastAsia="Times New Roman"/>
          <w:noProof/>
        </w:rPr>
        <w:t>–</w:t>
      </w:r>
      <w:r w:rsidR="1EE7CC92">
        <w:rPr>
          <w:rFonts w:eastAsia="Times New Roman"/>
          <w:noProof/>
        </w:rPr>
        <w:t xml:space="preserve"> </w:t>
      </w:r>
      <w:r w:rsidR="00883E21">
        <w:rPr>
          <w:rFonts w:eastAsia="Times New Roman"/>
          <w:noProof/>
        </w:rPr>
        <w:t>5.6 million</w:t>
      </w:r>
      <w:r w:rsidR="109C4B1B">
        <w:rPr>
          <w:rFonts w:eastAsia="Times New Roman"/>
          <w:noProof/>
        </w:rPr>
        <w:t xml:space="preserve"> and the </w:t>
      </w:r>
      <w:r w:rsidR="109C4B1B" w:rsidRPr="522EFC56">
        <w:rPr>
          <w:rFonts w:eastAsia="Times New Roman"/>
          <w:b/>
          <w:bCs/>
          <w:noProof/>
        </w:rPr>
        <w:t xml:space="preserve">recurrent </w:t>
      </w:r>
      <w:r w:rsidR="34E30EFB" w:rsidRPr="522EFC56">
        <w:rPr>
          <w:rFonts w:eastAsia="Times New Roman"/>
          <w:b/>
          <w:bCs/>
          <w:noProof/>
        </w:rPr>
        <w:t>costs p.a.</w:t>
      </w:r>
      <w:r w:rsidR="7370706C">
        <w:rPr>
          <w:rFonts w:eastAsia="Times New Roman"/>
          <w:noProof/>
        </w:rPr>
        <w:t xml:space="preserve"> would amount to </w:t>
      </w:r>
      <w:r w:rsidR="663B0AEB">
        <w:rPr>
          <w:rFonts w:eastAsia="Times New Roman"/>
          <w:noProof/>
        </w:rPr>
        <w:t>EUR 9.3 million – 9.4 million</w:t>
      </w:r>
      <w:r w:rsidR="64B7F2B3" w:rsidRPr="522EFC56">
        <w:rPr>
          <w:rFonts w:eastAsia="Times New Roman"/>
          <w:noProof/>
        </w:rPr>
        <w:t xml:space="preserve"> on average over the course of the M</w:t>
      </w:r>
      <w:r>
        <w:rPr>
          <w:rFonts w:eastAsia="Times New Roman"/>
          <w:noProof/>
        </w:rPr>
        <w:t xml:space="preserve">ultiannual </w:t>
      </w:r>
      <w:r w:rsidR="64B7F2B3" w:rsidRPr="522EFC56">
        <w:rPr>
          <w:rFonts w:eastAsia="Times New Roman"/>
          <w:noProof/>
        </w:rPr>
        <w:t>F</w:t>
      </w:r>
      <w:r>
        <w:rPr>
          <w:rFonts w:eastAsia="Times New Roman"/>
          <w:noProof/>
        </w:rPr>
        <w:t xml:space="preserve">inancial </w:t>
      </w:r>
      <w:r w:rsidR="64B7F2B3" w:rsidRPr="522EFC56">
        <w:rPr>
          <w:rFonts w:eastAsia="Times New Roman"/>
          <w:noProof/>
        </w:rPr>
        <w:t>F</w:t>
      </w:r>
      <w:r>
        <w:rPr>
          <w:rFonts w:eastAsia="Times New Roman"/>
          <w:noProof/>
        </w:rPr>
        <w:t>ramework (MFF)</w:t>
      </w:r>
      <w:r w:rsidR="64B7F2B3" w:rsidRPr="522EFC56">
        <w:rPr>
          <w:rFonts w:eastAsia="Times New Roman"/>
          <w:noProof/>
        </w:rPr>
        <w:t xml:space="preserve"> 2028-2034</w:t>
      </w:r>
      <w:r>
        <w:rPr>
          <w:rFonts w:eastAsia="Times New Roman"/>
          <w:noProof/>
        </w:rPr>
        <w:t xml:space="preserve"> for the implementation of the revised mandate (additional staffing and set up/operating infrastructures)</w:t>
      </w:r>
      <w:r w:rsidR="663B0AEB" w:rsidRPr="522EFC56">
        <w:rPr>
          <w:rFonts w:eastAsia="Times New Roman"/>
          <w:noProof/>
        </w:rPr>
        <w:t>.</w:t>
      </w:r>
      <w:r>
        <w:rPr>
          <w:rFonts w:eastAsia="Times New Roman"/>
          <w:noProof/>
        </w:rPr>
        <w:t xml:space="preserve"> In addition, the progressive use of new capabilities is expected to generate operational expenditure for around EUR 1.7 million on average per year over the course of the next MFF. Overall, this will amount to estimated needs of extra EUR 83 million for Eurojust from 2028 to 2034.</w:t>
      </w:r>
      <w:r w:rsidR="00583073">
        <w:rPr>
          <w:rFonts w:eastAsia="Times New Roman"/>
          <w:noProof/>
        </w:rPr>
        <w:t xml:space="preserve"> Detailed estimations of the</w:t>
      </w:r>
      <w:r w:rsidR="00892B39">
        <w:rPr>
          <w:rFonts w:eastAsia="Times New Roman"/>
          <w:noProof/>
        </w:rPr>
        <w:t xml:space="preserve"> financial</w:t>
      </w:r>
      <w:r w:rsidR="00583073">
        <w:rPr>
          <w:rFonts w:eastAsia="Times New Roman"/>
          <w:noProof/>
        </w:rPr>
        <w:t xml:space="preserve"> needs of the reformed Agency </w:t>
      </w:r>
      <w:r w:rsidR="00892B39">
        <w:rPr>
          <w:rFonts w:eastAsia="Times New Roman"/>
          <w:noProof/>
        </w:rPr>
        <w:t>are included</w:t>
      </w:r>
      <w:r w:rsidR="002759EE">
        <w:rPr>
          <w:rFonts w:eastAsia="Times New Roman"/>
          <w:noProof/>
        </w:rPr>
        <w:t xml:space="preserve"> in Annex III.</w:t>
      </w:r>
      <w:r w:rsidR="336580B3" w:rsidRPr="522EFC56">
        <w:rPr>
          <w:rFonts w:eastAsia="Times New Roman"/>
          <w:noProof/>
        </w:rPr>
        <w:t xml:space="preserve"> Taken together, the measures included in the preferred package are therefore expected to generate a </w:t>
      </w:r>
      <w:r w:rsidR="336580B3" w:rsidRPr="522EFC56">
        <w:rPr>
          <w:rFonts w:eastAsia="Times New Roman"/>
          <w:b/>
          <w:bCs/>
          <w:noProof/>
        </w:rPr>
        <w:t>positive overall impact on efficiency</w:t>
      </w:r>
      <w:r w:rsidR="336580B3" w:rsidRPr="522EFC56">
        <w:rPr>
          <w:rFonts w:eastAsia="Times New Roman"/>
          <w:noProof/>
        </w:rPr>
        <w:t>, by enabling the Agency to operate in a more structured, coordinated and operationally focused manner.</w:t>
      </w:r>
    </w:p>
    <w:p w14:paraId="4DCB8ED6" w14:textId="46F6EA1D" w:rsidR="46483A8A" w:rsidRPr="00D4396B" w:rsidRDefault="091309AA" w:rsidP="000C3545">
      <w:pPr>
        <w:pStyle w:val="Heading3"/>
        <w:rPr>
          <w:noProof/>
        </w:rPr>
      </w:pPr>
      <w:bookmarkStart w:id="178" w:name="_Toc232176433"/>
      <w:r w:rsidRPr="00D4396B">
        <w:rPr>
          <w:noProof/>
          <w:lang w:val="en-IE"/>
        </w:rPr>
        <w:t>8.2.3</w:t>
      </w:r>
      <w:r w:rsidR="00E838F0" w:rsidRPr="00D4396B">
        <w:rPr>
          <w:noProof/>
          <w:lang w:val="en-IE"/>
        </w:rPr>
        <w:t>.</w:t>
      </w:r>
      <w:r w:rsidRPr="00D4396B">
        <w:rPr>
          <w:noProof/>
          <w:lang w:val="en-IE"/>
        </w:rPr>
        <w:t xml:space="preserve"> </w:t>
      </w:r>
      <w:r w:rsidRPr="000734DB">
        <w:rPr>
          <w:noProof/>
          <w:lang w:val="en-IE"/>
        </w:rPr>
        <w:t>Coherence</w:t>
      </w:r>
      <w:bookmarkEnd w:id="178"/>
    </w:p>
    <w:p w14:paraId="6675CC23" w14:textId="0C77209D" w:rsidR="091309AA" w:rsidRPr="00D4396B" w:rsidRDefault="091309AA" w:rsidP="000F169A">
      <w:pPr>
        <w:pStyle w:val="ListParagraph"/>
        <w:numPr>
          <w:ilvl w:val="1"/>
          <w:numId w:val="11"/>
        </w:numPr>
        <w:spacing w:after="120"/>
        <w:ind w:left="0" w:firstLine="0"/>
        <w:contextualSpacing w:val="0"/>
        <w:rPr>
          <w:rFonts w:eastAsia="Times New Roman"/>
          <w:noProof/>
          <w:color w:val="000000" w:themeColor="text1"/>
        </w:rPr>
      </w:pPr>
      <w:r w:rsidRPr="00D4396B">
        <w:rPr>
          <w:rFonts w:eastAsia="Times New Roman"/>
          <w:i/>
          <w:noProof/>
          <w:color w:val="000000" w:themeColor="text1"/>
          <w:lang w:val="en-IE"/>
        </w:rPr>
        <w:t>Internal coherence</w:t>
      </w:r>
    </w:p>
    <w:p w14:paraId="7ADE4F0D" w14:textId="510B50E9" w:rsidR="4A3C7AAA" w:rsidRPr="00D4396B" w:rsidRDefault="4A3C7AAA" w:rsidP="00DD3923">
      <w:pPr>
        <w:spacing w:after="120"/>
        <w:rPr>
          <w:rFonts w:eastAsia="Times New Roman"/>
          <w:noProof/>
        </w:rPr>
      </w:pPr>
      <w:r w:rsidRPr="00D4396B">
        <w:rPr>
          <w:rFonts w:eastAsia="Times New Roman"/>
          <w:noProof/>
        </w:rPr>
        <w:t xml:space="preserve">Overall, the preferred policy options are broadly consistent with the structure and objectives of the </w:t>
      </w:r>
      <w:r w:rsidRPr="39C87AE9">
        <w:rPr>
          <w:rFonts w:eastAsia="Times New Roman"/>
          <w:noProof/>
        </w:rPr>
        <w:t>E</w:t>
      </w:r>
      <w:r w:rsidR="5421380E" w:rsidRPr="39C87AE9">
        <w:rPr>
          <w:rFonts w:eastAsia="Times New Roman"/>
          <w:noProof/>
        </w:rPr>
        <w:t>JR</w:t>
      </w:r>
      <w:r w:rsidRPr="00D4396B">
        <w:rPr>
          <w:rFonts w:eastAsia="Times New Roman"/>
          <w:noProof/>
        </w:rPr>
        <w:t xml:space="preserve"> (EU) 2018/1727, although some measures raise institutional balance considerations.</w:t>
      </w:r>
    </w:p>
    <w:p w14:paraId="74F005EA" w14:textId="13593121" w:rsidR="4A3C7AAA" w:rsidRPr="00D4396B" w:rsidRDefault="4A3C7AAA" w:rsidP="00DD3923">
      <w:pPr>
        <w:spacing w:after="120"/>
        <w:rPr>
          <w:rFonts w:eastAsia="Times New Roman"/>
          <w:noProof/>
        </w:rPr>
      </w:pPr>
      <w:r w:rsidRPr="00D4396B">
        <w:rPr>
          <w:rFonts w:eastAsia="Times New Roman"/>
          <w:b/>
          <w:bCs/>
          <w:noProof/>
        </w:rPr>
        <w:t>A.PO3</w:t>
      </w:r>
      <w:r w:rsidRPr="00D4396B">
        <w:rPr>
          <w:rFonts w:eastAsia="Times New Roman"/>
          <w:noProof/>
        </w:rPr>
        <w:t xml:space="preserve"> (extension of competences) shows moderate</w:t>
      </w:r>
      <w:r w:rsidR="000E35FF">
        <w:rPr>
          <w:rFonts w:eastAsia="Times New Roman"/>
          <w:noProof/>
        </w:rPr>
        <w:t>-</w:t>
      </w:r>
      <w:r w:rsidRPr="00D4396B">
        <w:rPr>
          <w:rFonts w:eastAsia="Times New Roman"/>
          <w:noProof/>
        </w:rPr>
        <w:t>high internal coherence, as it builds on Eurojust’s coordination role, particularly regarding support to JITs and operational cooperation. However, expanding operational or analytical functions (e.g. in e-evidence, asset recovery or strategic analysis) may blur the boundary between coordination and operational powers. In addition, A.PO3 is fully coherent with other EU legislation (e.g., Directives on gender based violences, victims’ rights</w:t>
      </w:r>
      <w:r w:rsidR="00B42E73" w:rsidRPr="00D4396B">
        <w:rPr>
          <w:rFonts w:eastAsia="Times New Roman"/>
          <w:noProof/>
        </w:rPr>
        <w:t xml:space="preserve">, etc.) </w:t>
      </w:r>
      <w:r w:rsidRPr="00D4396B">
        <w:rPr>
          <w:rFonts w:eastAsia="Times New Roman"/>
          <w:noProof/>
        </w:rPr>
        <w:t xml:space="preserve">and strategies (SOCTA etc.) regarding new material competences. Moreover, it strengthens alignment of Eurojust’s judicial role with EU strategic cycles. No issues are </w:t>
      </w:r>
      <w:r w:rsidR="4670CCEA" w:rsidRPr="3CFF200C">
        <w:rPr>
          <w:rFonts w:eastAsia="Times New Roman"/>
          <w:noProof/>
        </w:rPr>
        <w:t>expected</w:t>
      </w:r>
      <w:r w:rsidRPr="00D4396B">
        <w:rPr>
          <w:rFonts w:eastAsia="Times New Roman"/>
          <w:noProof/>
        </w:rPr>
        <w:t xml:space="preserve"> in terms of internal coherence concerning the new dedicated hub for organised crime in addition to the already established and valued CICED and CTR. </w:t>
      </w:r>
      <w:r w:rsidR="009C75FF" w:rsidRPr="3CFF200C">
        <w:rPr>
          <w:rFonts w:eastAsia="Times New Roman"/>
          <w:noProof/>
        </w:rPr>
        <w:t xml:space="preserve">On the contrary, </w:t>
      </w:r>
      <w:r w:rsidR="4C06EAC9" w:rsidRPr="3CFF200C">
        <w:rPr>
          <w:rFonts w:eastAsia="Times New Roman"/>
          <w:noProof/>
        </w:rPr>
        <w:t>a</w:t>
      </w:r>
      <w:r w:rsidRPr="3CFF200C">
        <w:rPr>
          <w:rFonts w:eastAsia="Times New Roman"/>
          <w:noProof/>
        </w:rPr>
        <w:t>n</w:t>
      </w:r>
      <w:r w:rsidRPr="00D4396B">
        <w:rPr>
          <w:rFonts w:eastAsia="Times New Roman"/>
          <w:noProof/>
        </w:rPr>
        <w:t xml:space="preserve"> analytical competence </w:t>
      </w:r>
      <w:r w:rsidR="008D10F2">
        <w:rPr>
          <w:rFonts w:eastAsia="Times New Roman"/>
          <w:noProof/>
        </w:rPr>
        <w:t>i</w:t>
      </w:r>
      <w:r w:rsidR="008D10F2" w:rsidRPr="00D4396B">
        <w:rPr>
          <w:rFonts w:eastAsia="Times New Roman"/>
          <w:noProof/>
        </w:rPr>
        <w:t xml:space="preserve">n </w:t>
      </w:r>
      <w:r w:rsidRPr="00D4396B">
        <w:rPr>
          <w:rFonts w:eastAsia="Times New Roman"/>
          <w:noProof/>
        </w:rPr>
        <w:t xml:space="preserve">this </w:t>
      </w:r>
      <w:r w:rsidR="008D10F2">
        <w:rPr>
          <w:rFonts w:eastAsia="Times New Roman"/>
          <w:noProof/>
        </w:rPr>
        <w:t>crime area</w:t>
      </w:r>
      <w:r w:rsidR="005D7DCF">
        <w:rPr>
          <w:rFonts w:eastAsia="Times New Roman"/>
          <w:noProof/>
        </w:rPr>
        <w:t xml:space="preserve">, which </w:t>
      </w:r>
      <w:r w:rsidRPr="00D4396B">
        <w:rPr>
          <w:rFonts w:eastAsia="Times New Roman"/>
          <w:noProof/>
        </w:rPr>
        <w:t xml:space="preserve">is the top priority of criminal </w:t>
      </w:r>
      <w:r w:rsidR="005D7DCF">
        <w:rPr>
          <w:rFonts w:eastAsia="Times New Roman"/>
          <w:noProof/>
        </w:rPr>
        <w:t xml:space="preserve">justice </w:t>
      </w:r>
      <w:r w:rsidRPr="00D4396B">
        <w:rPr>
          <w:rFonts w:eastAsia="Times New Roman"/>
          <w:noProof/>
        </w:rPr>
        <w:t xml:space="preserve">policies at national and EU level (including organised drug trafficking) is </w:t>
      </w:r>
      <w:r w:rsidR="005D7DCF">
        <w:rPr>
          <w:rFonts w:eastAsia="Times New Roman"/>
          <w:noProof/>
        </w:rPr>
        <w:t>therefore entirely</w:t>
      </w:r>
      <w:r w:rsidRPr="00D4396B" w:rsidDel="005D7DCF">
        <w:rPr>
          <w:rFonts w:eastAsia="Times New Roman"/>
          <w:noProof/>
        </w:rPr>
        <w:t xml:space="preserve"> </w:t>
      </w:r>
      <w:r w:rsidRPr="00D4396B">
        <w:rPr>
          <w:rFonts w:eastAsia="Times New Roman"/>
          <w:noProof/>
        </w:rPr>
        <w:t>consistent.</w:t>
      </w:r>
    </w:p>
    <w:p w14:paraId="4EAC8CE1" w14:textId="1F78BF05" w:rsidR="4A3C7AAA" w:rsidRPr="00D4396B" w:rsidRDefault="608EA88E" w:rsidP="00DD3923">
      <w:pPr>
        <w:spacing w:after="120"/>
        <w:rPr>
          <w:rFonts w:eastAsia="Times New Roman"/>
          <w:noProof/>
        </w:rPr>
      </w:pPr>
      <w:r w:rsidRPr="522EFC56">
        <w:rPr>
          <w:rFonts w:eastAsia="Times New Roman"/>
          <w:b/>
          <w:bCs/>
          <w:noProof/>
        </w:rPr>
        <w:t>B.PO3</w:t>
      </w:r>
      <w:r w:rsidRPr="522EFC56">
        <w:rPr>
          <w:rFonts w:eastAsia="Times New Roman"/>
          <w:noProof/>
        </w:rPr>
        <w:t xml:space="preserve"> (harmonising Member State implementation) demonstrates good internal coherence</w:t>
      </w:r>
      <w:r w:rsidR="60D8C9AE" w:rsidRPr="522EFC56">
        <w:rPr>
          <w:rFonts w:eastAsia="Times New Roman"/>
          <w:noProof/>
        </w:rPr>
        <w:t xml:space="preserve"> because </w:t>
      </w:r>
      <w:r w:rsidRPr="522EFC56">
        <w:rPr>
          <w:rFonts w:eastAsia="Times New Roman"/>
          <w:noProof/>
        </w:rPr>
        <w:t>clarifying the notion of a “Eurojust case”, strengthening the powers of N</w:t>
      </w:r>
      <w:r w:rsidR="2C6768A4" w:rsidRPr="522EFC56">
        <w:rPr>
          <w:rFonts w:eastAsia="Times New Roman"/>
          <w:noProof/>
        </w:rPr>
        <w:t>M</w:t>
      </w:r>
      <w:r w:rsidRPr="522EFC56">
        <w:rPr>
          <w:rFonts w:eastAsia="Times New Roman"/>
          <w:noProof/>
        </w:rPr>
        <w:t>s, and enabling them to open cases</w:t>
      </w:r>
      <w:r w:rsidR="60D8C9AE" w:rsidRPr="522EFC56">
        <w:rPr>
          <w:rFonts w:eastAsia="Times New Roman"/>
          <w:noProof/>
        </w:rPr>
        <w:t>,</w:t>
      </w:r>
      <w:r w:rsidRPr="522EFC56">
        <w:rPr>
          <w:rFonts w:eastAsia="Times New Roman"/>
          <w:noProof/>
        </w:rPr>
        <w:t xml:space="preserve"> directly address divergences in the application of the EJR. However, in practice, the consistency and added value will depend</w:t>
      </w:r>
      <w:r w:rsidR="3E24BCFB" w:rsidRPr="522EFC56">
        <w:rPr>
          <w:rFonts w:eastAsia="Times New Roman"/>
          <w:noProof/>
        </w:rPr>
        <w:t xml:space="preserve"> </w:t>
      </w:r>
      <w:r w:rsidRPr="522EFC56">
        <w:rPr>
          <w:rFonts w:eastAsia="Times New Roman"/>
          <w:noProof/>
        </w:rPr>
        <w:t xml:space="preserve">on Member States’ compliance and </w:t>
      </w:r>
      <w:r w:rsidR="1E4BBA09" w:rsidRPr="522EFC56">
        <w:rPr>
          <w:rFonts w:eastAsia="Times New Roman"/>
          <w:noProof/>
        </w:rPr>
        <w:t xml:space="preserve">the </w:t>
      </w:r>
      <w:r w:rsidRPr="522EFC56">
        <w:rPr>
          <w:rFonts w:eastAsia="Times New Roman"/>
          <w:noProof/>
        </w:rPr>
        <w:t>practices of national desks with the requirement to appoint N</w:t>
      </w:r>
      <w:r w:rsidR="595EBD56" w:rsidRPr="522EFC56">
        <w:rPr>
          <w:rFonts w:eastAsia="Times New Roman"/>
          <w:noProof/>
        </w:rPr>
        <w:t>M</w:t>
      </w:r>
      <w:r w:rsidRPr="522EFC56">
        <w:rPr>
          <w:rFonts w:eastAsia="Times New Roman"/>
          <w:noProof/>
        </w:rPr>
        <w:t>s</w:t>
      </w:r>
      <w:r w:rsidR="3E24BCFB" w:rsidRPr="522EFC56">
        <w:rPr>
          <w:rFonts w:eastAsia="Times New Roman"/>
          <w:noProof/>
        </w:rPr>
        <w:t xml:space="preserve">; </w:t>
      </w:r>
      <w:r w:rsidRPr="522EFC56">
        <w:rPr>
          <w:rFonts w:eastAsia="Times New Roman"/>
          <w:noProof/>
        </w:rPr>
        <w:t xml:space="preserve">their reluctance to do so may significantly hinder the aimed reduction of fragmentation. Harmonisation of </w:t>
      </w:r>
      <w:r w:rsidR="6AFC2A5A" w:rsidRPr="522EFC56">
        <w:rPr>
          <w:rFonts w:eastAsia="Times New Roman"/>
          <w:noProof/>
        </w:rPr>
        <w:t>N</w:t>
      </w:r>
      <w:r w:rsidR="25D77EAF" w:rsidRPr="522EFC56">
        <w:rPr>
          <w:rFonts w:eastAsia="Times New Roman"/>
          <w:noProof/>
        </w:rPr>
        <w:t>M</w:t>
      </w:r>
      <w:r w:rsidR="402B64B3" w:rsidRPr="522EFC56">
        <w:rPr>
          <w:rFonts w:eastAsia="Times New Roman"/>
          <w:noProof/>
        </w:rPr>
        <w:t>s’</w:t>
      </w:r>
      <w:r w:rsidR="16D34D46" w:rsidRPr="425C6010">
        <w:rPr>
          <w:rFonts w:eastAsia="Times New Roman"/>
          <w:noProof/>
        </w:rPr>
        <w:t xml:space="preserve"> </w:t>
      </w:r>
      <w:r w:rsidR="00D772B1" w:rsidRPr="425C6010">
        <w:rPr>
          <w:rFonts w:eastAsia="Times New Roman"/>
          <w:noProof/>
        </w:rPr>
        <w:t>status</w:t>
      </w:r>
      <w:r w:rsidR="00D772B1" w:rsidRPr="522EFC56">
        <w:rPr>
          <w:rFonts w:eastAsia="Times New Roman"/>
          <w:noProof/>
        </w:rPr>
        <w:t xml:space="preserve"> increases</w:t>
      </w:r>
      <w:r w:rsidRPr="522EFC56">
        <w:rPr>
          <w:rFonts w:eastAsia="Times New Roman"/>
          <w:noProof/>
        </w:rPr>
        <w:t xml:space="preserve"> the coherence of this policy option </w:t>
      </w:r>
      <w:r w:rsidR="56FDBAFB" w:rsidRPr="522EFC56">
        <w:rPr>
          <w:rFonts w:eastAsia="Times New Roman"/>
          <w:noProof/>
        </w:rPr>
        <w:t>because it is</w:t>
      </w:r>
      <w:r w:rsidRPr="522EFC56">
        <w:rPr>
          <w:rFonts w:eastAsia="Times New Roman"/>
          <w:noProof/>
        </w:rPr>
        <w:t xml:space="preserve"> </w:t>
      </w:r>
      <w:r w:rsidR="56FDBAFB" w:rsidRPr="522EFC56">
        <w:rPr>
          <w:rFonts w:eastAsia="Times New Roman"/>
          <w:noProof/>
        </w:rPr>
        <w:t xml:space="preserve">inconsistent </w:t>
      </w:r>
      <w:r w:rsidRPr="522EFC56">
        <w:rPr>
          <w:rFonts w:eastAsia="Times New Roman"/>
          <w:noProof/>
        </w:rPr>
        <w:t xml:space="preserve">to have fragmented profiles, in particular in </w:t>
      </w:r>
      <w:r w:rsidR="56FDBAFB" w:rsidRPr="522EFC56">
        <w:rPr>
          <w:rFonts w:eastAsia="Times New Roman"/>
          <w:noProof/>
        </w:rPr>
        <w:t xml:space="preserve">the </w:t>
      </w:r>
      <w:r w:rsidRPr="522EFC56">
        <w:rPr>
          <w:rFonts w:eastAsia="Times New Roman"/>
          <w:noProof/>
        </w:rPr>
        <w:t xml:space="preserve">case of </w:t>
      </w:r>
      <w:r w:rsidR="56FDBAFB" w:rsidRPr="522EFC56">
        <w:rPr>
          <w:rFonts w:eastAsia="Times New Roman"/>
          <w:noProof/>
        </w:rPr>
        <w:t xml:space="preserve">an </w:t>
      </w:r>
      <w:r w:rsidRPr="522EFC56">
        <w:rPr>
          <w:rFonts w:eastAsia="Times New Roman"/>
          <w:noProof/>
        </w:rPr>
        <w:t xml:space="preserve">emergency. In the same way, </w:t>
      </w:r>
      <w:r w:rsidR="7E290CA1" w:rsidRPr="522EFC56">
        <w:rPr>
          <w:rFonts w:eastAsia="Times New Roman"/>
          <w:noProof/>
        </w:rPr>
        <w:t xml:space="preserve">conferring </w:t>
      </w:r>
      <w:r w:rsidRPr="522EFC56">
        <w:rPr>
          <w:rFonts w:eastAsia="Times New Roman"/>
          <w:noProof/>
        </w:rPr>
        <w:t xml:space="preserve">operational capabilities </w:t>
      </w:r>
      <w:r w:rsidR="7E290CA1" w:rsidRPr="522EFC56">
        <w:rPr>
          <w:rFonts w:eastAsia="Times New Roman"/>
          <w:noProof/>
        </w:rPr>
        <w:t xml:space="preserve">on </w:t>
      </w:r>
      <w:r w:rsidRPr="522EFC56">
        <w:rPr>
          <w:rFonts w:eastAsia="Times New Roman"/>
          <w:noProof/>
        </w:rPr>
        <w:t xml:space="preserve">each </w:t>
      </w:r>
      <w:r w:rsidR="04E7D371" w:rsidRPr="522EFC56">
        <w:rPr>
          <w:rFonts w:eastAsia="Times New Roman"/>
          <w:noProof/>
        </w:rPr>
        <w:t>N</w:t>
      </w:r>
      <w:r w:rsidR="0E53AB45" w:rsidRPr="522EFC56">
        <w:rPr>
          <w:rFonts w:eastAsia="Times New Roman"/>
          <w:noProof/>
        </w:rPr>
        <w:t>M</w:t>
      </w:r>
      <w:r w:rsidRPr="522EFC56">
        <w:rPr>
          <w:rFonts w:eastAsia="Times New Roman"/>
          <w:noProof/>
        </w:rPr>
        <w:t xml:space="preserve">, in </w:t>
      </w:r>
      <w:r w:rsidR="4D3F952E" w:rsidRPr="522EFC56">
        <w:rPr>
          <w:rFonts w:eastAsia="Times New Roman"/>
          <w:noProof/>
        </w:rPr>
        <w:t xml:space="preserve">accordance </w:t>
      </w:r>
      <w:r w:rsidRPr="522EFC56">
        <w:rPr>
          <w:rFonts w:eastAsia="Times New Roman"/>
          <w:noProof/>
        </w:rPr>
        <w:t>with their national system, is highly coherent with the current EU judicial landscape (</w:t>
      </w:r>
      <w:r w:rsidR="1EE7482E" w:rsidRPr="522EFC56">
        <w:rPr>
          <w:rFonts w:eastAsia="Times New Roman"/>
          <w:noProof/>
        </w:rPr>
        <w:t xml:space="preserve">e.g. </w:t>
      </w:r>
      <w:r w:rsidRPr="522EFC56">
        <w:rPr>
          <w:rFonts w:eastAsia="Times New Roman"/>
          <w:noProof/>
        </w:rPr>
        <w:t xml:space="preserve">importance of JITs, </w:t>
      </w:r>
      <w:r w:rsidR="3CD7BE1B" w:rsidRPr="522EFC56">
        <w:rPr>
          <w:rFonts w:eastAsia="Times New Roman"/>
          <w:noProof/>
        </w:rPr>
        <w:t>mutual recognition tools</w:t>
      </w:r>
      <w:r w:rsidRPr="522EFC56">
        <w:rPr>
          <w:rFonts w:eastAsia="Times New Roman"/>
          <w:noProof/>
        </w:rPr>
        <w:t xml:space="preserve">, etc.) and recent developments </w:t>
      </w:r>
      <w:r w:rsidR="6DCABACD" w:rsidRPr="522EFC56">
        <w:rPr>
          <w:rFonts w:eastAsia="Times New Roman"/>
          <w:noProof/>
        </w:rPr>
        <w:t xml:space="preserve">such as </w:t>
      </w:r>
      <w:r w:rsidR="08228F62" w:rsidRPr="522EFC56">
        <w:rPr>
          <w:rFonts w:eastAsia="Times New Roman"/>
          <w:noProof/>
        </w:rPr>
        <w:t xml:space="preserve">the </w:t>
      </w:r>
      <w:r w:rsidRPr="522EFC56">
        <w:rPr>
          <w:rFonts w:eastAsia="Times New Roman"/>
          <w:noProof/>
        </w:rPr>
        <w:t>e-evidence</w:t>
      </w:r>
      <w:r w:rsidR="08228F62" w:rsidRPr="522EFC56">
        <w:rPr>
          <w:rFonts w:eastAsia="Times New Roman"/>
          <w:noProof/>
        </w:rPr>
        <w:t xml:space="preserve"> framework</w:t>
      </w:r>
      <w:r w:rsidRPr="522EFC56">
        <w:rPr>
          <w:rFonts w:eastAsia="Times New Roman"/>
          <w:noProof/>
        </w:rPr>
        <w:t xml:space="preserve">. Lastly, the proactivity permitted by the possibility for NMs to trigger a case </w:t>
      </w:r>
      <w:r w:rsidR="0A7E947E" w:rsidRPr="522EFC56">
        <w:rPr>
          <w:rFonts w:eastAsia="Times New Roman"/>
          <w:noProof/>
        </w:rPr>
        <w:t xml:space="preserve">at Eurojust level </w:t>
      </w:r>
      <w:r w:rsidRPr="522EFC56">
        <w:rPr>
          <w:rFonts w:eastAsia="Times New Roman"/>
          <w:noProof/>
        </w:rPr>
        <w:t>is coherent with the operational support for national authorities in some specific circumstances, in accordance with the legal basis of the agency.</w:t>
      </w:r>
    </w:p>
    <w:p w14:paraId="5FA1FAB4" w14:textId="1221E501" w:rsidR="4A3C7AAA" w:rsidRPr="00D4396B" w:rsidRDefault="4A3C7AAA" w:rsidP="00DD3923">
      <w:pPr>
        <w:spacing w:after="120"/>
        <w:rPr>
          <w:rFonts w:eastAsia="Times New Roman"/>
          <w:noProof/>
          <w:color w:val="000000" w:themeColor="text1"/>
        </w:rPr>
      </w:pPr>
      <w:r w:rsidRPr="00D4396B">
        <w:rPr>
          <w:rFonts w:eastAsia="Times New Roman"/>
          <w:b/>
          <w:bCs/>
          <w:noProof/>
        </w:rPr>
        <w:t>C.PO3</w:t>
      </w:r>
      <w:r w:rsidRPr="00D4396B">
        <w:rPr>
          <w:rFonts w:eastAsia="Times New Roman"/>
          <w:noProof/>
        </w:rPr>
        <w:t xml:space="preserve"> (governance reform) presents </w:t>
      </w:r>
      <w:r w:rsidR="00F735D6">
        <w:rPr>
          <w:rFonts w:eastAsia="Times New Roman"/>
          <w:noProof/>
        </w:rPr>
        <w:t>a</w:t>
      </w:r>
      <w:r w:rsidRPr="00D4396B">
        <w:rPr>
          <w:rFonts w:eastAsia="Times New Roman"/>
          <w:noProof/>
        </w:rPr>
        <w:t xml:space="preserve"> high degree of</w:t>
      </w:r>
      <w:r w:rsidRPr="00D4396B">
        <w:rPr>
          <w:rFonts w:eastAsia="Times New Roman"/>
          <w:b/>
          <w:bCs/>
          <w:noProof/>
        </w:rPr>
        <w:t xml:space="preserve"> </w:t>
      </w:r>
      <w:r w:rsidRPr="00D4396B">
        <w:rPr>
          <w:rFonts w:eastAsia="Times New Roman"/>
          <w:noProof/>
        </w:rPr>
        <w:t xml:space="preserve">internal coherence due to the aim of enhancing the performance of decision making. </w:t>
      </w:r>
      <w:r w:rsidRPr="00D4396B">
        <w:rPr>
          <w:rFonts w:eastAsia="Times New Roman"/>
          <w:noProof/>
          <w:color w:val="000000" w:themeColor="text1"/>
        </w:rPr>
        <w:t>The significant change in the governance and decision-making structures of Eurojust is expected to align with the need to clearly focus the College on operation</w:t>
      </w:r>
      <w:r w:rsidR="009059AA">
        <w:rPr>
          <w:rFonts w:eastAsia="Times New Roman"/>
          <w:noProof/>
          <w:color w:val="000000" w:themeColor="text1"/>
        </w:rPr>
        <w:t>s</w:t>
      </w:r>
      <w:r w:rsidR="431C2F4B" w:rsidRPr="0C4271DA">
        <w:rPr>
          <w:rFonts w:eastAsia="Times New Roman"/>
          <w:noProof/>
          <w:color w:val="000000" w:themeColor="text1"/>
        </w:rPr>
        <w:t xml:space="preserve"> and</w:t>
      </w:r>
      <w:r w:rsidRPr="00D4396B">
        <w:rPr>
          <w:rFonts w:eastAsia="Times New Roman"/>
          <w:noProof/>
          <w:color w:val="000000" w:themeColor="text1"/>
        </w:rPr>
        <w:t xml:space="preserve"> </w:t>
      </w:r>
      <w:r w:rsidR="009059AA" w:rsidRPr="00D4396B">
        <w:rPr>
          <w:rFonts w:eastAsia="Times New Roman"/>
          <w:noProof/>
          <w:color w:val="000000" w:themeColor="text1"/>
        </w:rPr>
        <w:t>le</w:t>
      </w:r>
      <w:r w:rsidR="009059AA">
        <w:rPr>
          <w:rFonts w:eastAsia="Times New Roman"/>
          <w:noProof/>
          <w:color w:val="000000" w:themeColor="text1"/>
        </w:rPr>
        <w:t>ave</w:t>
      </w:r>
      <w:r w:rsidR="009059AA" w:rsidRPr="00D4396B">
        <w:rPr>
          <w:rFonts w:eastAsia="Times New Roman"/>
          <w:noProof/>
          <w:color w:val="000000" w:themeColor="text1"/>
        </w:rPr>
        <w:t xml:space="preserve"> </w:t>
      </w:r>
      <w:r w:rsidRPr="00D4396B">
        <w:rPr>
          <w:rFonts w:eastAsia="Times New Roman"/>
          <w:noProof/>
          <w:color w:val="000000" w:themeColor="text1"/>
        </w:rPr>
        <w:t xml:space="preserve">the administrative tasks to other bodies (EB and MB). The College </w:t>
      </w:r>
      <w:r w:rsidR="00A33C21">
        <w:rPr>
          <w:rFonts w:eastAsia="Times New Roman"/>
          <w:noProof/>
          <w:color w:val="000000" w:themeColor="text1"/>
        </w:rPr>
        <w:t xml:space="preserve">itself </w:t>
      </w:r>
      <w:r w:rsidRPr="00D4396B">
        <w:rPr>
          <w:rFonts w:eastAsia="Times New Roman"/>
          <w:noProof/>
          <w:color w:val="000000" w:themeColor="text1"/>
        </w:rPr>
        <w:t>is preserved</w:t>
      </w:r>
      <w:r w:rsidR="4B53FE20" w:rsidRPr="17413020">
        <w:rPr>
          <w:rFonts w:eastAsia="Times New Roman"/>
          <w:noProof/>
          <w:color w:val="000000" w:themeColor="text1"/>
        </w:rPr>
        <w:t xml:space="preserve"> for operational matters</w:t>
      </w:r>
      <w:r w:rsidRPr="00D4396B">
        <w:rPr>
          <w:rFonts w:eastAsia="Times New Roman"/>
          <w:noProof/>
          <w:color w:val="000000" w:themeColor="text1"/>
        </w:rPr>
        <w:t xml:space="preserve">, in coherence with the singularity of this agency </w:t>
      </w:r>
      <w:r w:rsidR="00AE004F">
        <w:rPr>
          <w:rFonts w:eastAsia="Times New Roman"/>
          <w:noProof/>
          <w:color w:val="000000" w:themeColor="text1"/>
        </w:rPr>
        <w:t xml:space="preserve">in </w:t>
      </w:r>
      <w:r w:rsidRPr="00D4396B">
        <w:rPr>
          <w:rFonts w:eastAsia="Times New Roman"/>
          <w:noProof/>
          <w:color w:val="000000" w:themeColor="text1"/>
        </w:rPr>
        <w:t>dealing with judicial cases and interacting, with mutual trust, with national authorities.</w:t>
      </w:r>
    </w:p>
    <w:p w14:paraId="23743482" w14:textId="63173F8F" w:rsidR="46483A8A" w:rsidRPr="00D4396B" w:rsidRDefault="00A434F8" w:rsidP="00DD3923">
      <w:pPr>
        <w:spacing w:after="120"/>
        <w:rPr>
          <w:noProof/>
        </w:rPr>
      </w:pPr>
      <w:r w:rsidRPr="00D4396B">
        <w:rPr>
          <w:rFonts w:eastAsia="Times New Roman"/>
          <w:b/>
          <w:bCs/>
          <w:noProof/>
        </w:rPr>
        <w:t>D</w:t>
      </w:r>
      <w:r w:rsidR="0F181C1E" w:rsidRPr="00D4396B">
        <w:rPr>
          <w:rFonts w:eastAsia="Times New Roman"/>
          <w:b/>
          <w:bCs/>
          <w:noProof/>
        </w:rPr>
        <w:t>.PO3</w:t>
      </w:r>
      <w:r w:rsidR="0F181C1E" w:rsidRPr="00D4396B">
        <w:rPr>
          <w:rFonts w:eastAsia="Times New Roman"/>
          <w:noProof/>
        </w:rPr>
        <w:t xml:space="preserve">, </w:t>
      </w:r>
      <w:r w:rsidR="0061372C" w:rsidRPr="00D4396B">
        <w:rPr>
          <w:rFonts w:eastAsia="Times New Roman"/>
          <w:b/>
          <w:bCs/>
          <w:noProof/>
        </w:rPr>
        <w:t>E</w:t>
      </w:r>
      <w:r w:rsidR="0F181C1E" w:rsidRPr="00D4396B">
        <w:rPr>
          <w:rFonts w:eastAsia="Times New Roman"/>
          <w:b/>
          <w:bCs/>
          <w:noProof/>
        </w:rPr>
        <w:t>.PO2</w:t>
      </w:r>
      <w:r w:rsidR="0F181C1E" w:rsidRPr="00D4396B">
        <w:rPr>
          <w:rFonts w:eastAsia="Times New Roman"/>
          <w:noProof/>
        </w:rPr>
        <w:t xml:space="preserve">, and </w:t>
      </w:r>
      <w:r w:rsidR="00F21953" w:rsidRPr="00D4396B">
        <w:rPr>
          <w:rFonts w:eastAsia="Times New Roman"/>
          <w:b/>
          <w:bCs/>
          <w:noProof/>
        </w:rPr>
        <w:t>F</w:t>
      </w:r>
      <w:r w:rsidR="0F181C1E" w:rsidRPr="00D4396B">
        <w:rPr>
          <w:rFonts w:eastAsia="Times New Roman"/>
          <w:b/>
          <w:bCs/>
          <w:noProof/>
        </w:rPr>
        <w:t>.PO</w:t>
      </w:r>
      <w:r w:rsidR="00511C81">
        <w:rPr>
          <w:rFonts w:eastAsia="Times New Roman"/>
          <w:b/>
          <w:bCs/>
          <w:noProof/>
        </w:rPr>
        <w:t>2</w:t>
      </w:r>
      <w:r w:rsidR="0F181C1E" w:rsidRPr="00D4396B">
        <w:rPr>
          <w:rFonts w:eastAsia="Times New Roman"/>
          <w:noProof/>
        </w:rPr>
        <w:t xml:space="preserve"> </w:t>
      </w:r>
      <w:r w:rsidR="5F1EDD28" w:rsidRPr="00D4396B">
        <w:rPr>
          <w:rFonts w:eastAsia="Times New Roman"/>
          <w:noProof/>
        </w:rPr>
        <w:t xml:space="preserve">(external cooperation) </w:t>
      </w:r>
      <w:r w:rsidR="0F181C1E" w:rsidRPr="00D4396B">
        <w:rPr>
          <w:rFonts w:eastAsia="Times New Roman"/>
          <w:noProof/>
        </w:rPr>
        <w:t xml:space="preserve">display high internal coherence, as strengthening cooperation with partner bodies, the </w:t>
      </w:r>
      <w:r w:rsidR="53542A9C" w:rsidRPr="00D4396B">
        <w:rPr>
          <w:rFonts w:eastAsia="Times New Roman"/>
          <w:noProof/>
        </w:rPr>
        <w:t>EPPO</w:t>
      </w:r>
      <w:r w:rsidR="0F181C1E" w:rsidRPr="00D4396B">
        <w:rPr>
          <w:rFonts w:eastAsia="Times New Roman"/>
          <w:noProof/>
        </w:rPr>
        <w:t xml:space="preserve">, and third countries builds on existing cooperation mechanisms already foreseen in the EJR. In particular, all synergies proposed between Europol and Eurojust are totally coherent with the mission of this </w:t>
      </w:r>
      <w:r w:rsidR="00203CC5">
        <w:rPr>
          <w:rFonts w:eastAsia="Times New Roman"/>
          <w:noProof/>
        </w:rPr>
        <w:t>A</w:t>
      </w:r>
      <w:r w:rsidR="00203CC5" w:rsidRPr="00D4396B">
        <w:rPr>
          <w:rFonts w:eastAsia="Times New Roman"/>
          <w:noProof/>
        </w:rPr>
        <w:t>gency</w:t>
      </w:r>
      <w:r w:rsidR="00203CC5">
        <w:rPr>
          <w:rFonts w:eastAsia="Times New Roman"/>
          <w:noProof/>
        </w:rPr>
        <w:t xml:space="preserve">, which </w:t>
      </w:r>
      <w:r w:rsidR="0F181C1E" w:rsidRPr="00D4396B">
        <w:rPr>
          <w:rFonts w:eastAsia="Times New Roman"/>
          <w:noProof/>
        </w:rPr>
        <w:t>must operate “</w:t>
      </w:r>
      <w:r w:rsidR="0F181C1E" w:rsidRPr="00D4396B">
        <w:rPr>
          <w:rFonts w:eastAsia="Times New Roman"/>
          <w:i/>
          <w:iCs/>
          <w:noProof/>
        </w:rPr>
        <w:t>on the basis of operation</w:t>
      </w:r>
      <w:r w:rsidR="00043381">
        <w:rPr>
          <w:rFonts w:eastAsia="Times New Roman"/>
          <w:i/>
          <w:iCs/>
          <w:noProof/>
        </w:rPr>
        <w:t>s</w:t>
      </w:r>
      <w:r w:rsidR="0F181C1E" w:rsidRPr="00D4396B">
        <w:rPr>
          <w:rFonts w:eastAsia="Times New Roman"/>
          <w:i/>
          <w:iCs/>
          <w:noProof/>
        </w:rPr>
        <w:t xml:space="preserve"> conducted and information supplied (…) by Europol</w:t>
      </w:r>
      <w:r w:rsidR="0F181C1E" w:rsidRPr="00D4396B">
        <w:rPr>
          <w:rFonts w:eastAsia="Times New Roman"/>
          <w:noProof/>
        </w:rPr>
        <w:t>”</w:t>
      </w:r>
      <w:r w:rsidR="50938A02" w:rsidRPr="00D4396B">
        <w:rPr>
          <w:rFonts w:eastAsia="Times New Roman"/>
          <w:noProof/>
        </w:rPr>
        <w:t>:</w:t>
      </w:r>
      <w:r w:rsidR="00B60DEB" w:rsidRPr="00D4396B">
        <w:rPr>
          <w:rStyle w:val="FootnoteReference"/>
          <w:rFonts w:eastAsia="Times New Roman"/>
          <w:noProof/>
        </w:rPr>
        <w:footnoteReference w:id="141"/>
      </w:r>
      <w:r w:rsidR="0F181C1E" w:rsidRPr="00D4396B">
        <w:rPr>
          <w:rFonts w:eastAsia="Times New Roman"/>
          <w:noProof/>
        </w:rPr>
        <w:t xml:space="preserve"> option </w:t>
      </w:r>
      <w:r w:rsidRPr="00D4396B">
        <w:rPr>
          <w:rFonts w:eastAsia="Times New Roman"/>
          <w:noProof/>
        </w:rPr>
        <w:t>D</w:t>
      </w:r>
      <w:r w:rsidR="0F181C1E" w:rsidRPr="00D4396B">
        <w:rPr>
          <w:rFonts w:eastAsia="Times New Roman"/>
          <w:noProof/>
        </w:rPr>
        <w:t>.PO3 aims to enhance this continuum (in particular via this “</w:t>
      </w:r>
      <w:r w:rsidR="0F181C1E" w:rsidRPr="00D4396B">
        <w:rPr>
          <w:rFonts w:eastAsia="Times New Roman"/>
          <w:i/>
          <w:iCs/>
          <w:noProof/>
        </w:rPr>
        <w:t>judicial threshold</w:t>
      </w:r>
      <w:r w:rsidR="0F181C1E" w:rsidRPr="00D4396B">
        <w:rPr>
          <w:rFonts w:eastAsia="Times New Roman"/>
          <w:noProof/>
        </w:rPr>
        <w:t>”). Participation of Europol and EPPO representatives in the College is fully coherent with the current legal framework</w:t>
      </w:r>
      <w:r w:rsidR="00043381">
        <w:rPr>
          <w:rFonts w:eastAsia="Times New Roman"/>
          <w:noProof/>
        </w:rPr>
        <w:t>,</w:t>
      </w:r>
      <w:r w:rsidR="0F181C1E" w:rsidRPr="00D4396B">
        <w:rPr>
          <w:rFonts w:eastAsia="Times New Roman"/>
          <w:noProof/>
        </w:rPr>
        <w:t xml:space="preserve"> which provides that members of the College can “</w:t>
      </w:r>
      <w:r w:rsidR="0F181C1E" w:rsidRPr="00D4396B">
        <w:rPr>
          <w:rFonts w:eastAsia="Times New Roman"/>
          <w:i/>
          <w:iCs/>
          <w:noProof/>
        </w:rPr>
        <w:t>be assisted by advisers and experts</w:t>
      </w:r>
      <w:r w:rsidR="0F181C1E" w:rsidRPr="00D4396B">
        <w:rPr>
          <w:rFonts w:eastAsia="Times New Roman"/>
          <w:noProof/>
        </w:rPr>
        <w:t>”</w:t>
      </w:r>
      <w:r w:rsidR="313DBFBF" w:rsidRPr="00D4396B">
        <w:rPr>
          <w:rFonts w:eastAsia="Times New Roman"/>
          <w:noProof/>
        </w:rPr>
        <w:t>.</w:t>
      </w:r>
      <w:r w:rsidR="00B60DEB" w:rsidRPr="00D4396B">
        <w:rPr>
          <w:rStyle w:val="FootnoteReference"/>
          <w:rFonts w:eastAsia="Times New Roman"/>
          <w:noProof/>
        </w:rPr>
        <w:footnoteReference w:id="142"/>
      </w:r>
    </w:p>
    <w:p w14:paraId="73DC7200" w14:textId="7F9D8513" w:rsidR="091309AA" w:rsidRPr="00D4396B" w:rsidRDefault="091309AA" w:rsidP="000F169A">
      <w:pPr>
        <w:pStyle w:val="ListParagraph"/>
        <w:numPr>
          <w:ilvl w:val="1"/>
          <w:numId w:val="11"/>
        </w:numPr>
        <w:spacing w:after="120"/>
        <w:ind w:left="0" w:firstLine="0"/>
        <w:contextualSpacing w:val="0"/>
        <w:rPr>
          <w:rFonts w:eastAsia="Times New Roman"/>
          <w:noProof/>
          <w:color w:val="000000" w:themeColor="text1"/>
        </w:rPr>
      </w:pPr>
      <w:r w:rsidRPr="00D4396B">
        <w:rPr>
          <w:rFonts w:eastAsia="Times New Roman"/>
          <w:i/>
          <w:noProof/>
          <w:color w:val="000000" w:themeColor="text1"/>
          <w:lang w:val="en-IE"/>
        </w:rPr>
        <w:t>External coherence</w:t>
      </w:r>
    </w:p>
    <w:p w14:paraId="066AE193" w14:textId="064CF93F" w:rsidR="46483A8A" w:rsidRPr="00A14861" w:rsidRDefault="5C50DB46" w:rsidP="00DD3923">
      <w:pPr>
        <w:spacing w:after="120"/>
        <w:rPr>
          <w:noProof/>
        </w:rPr>
      </w:pPr>
      <w:r w:rsidRPr="00D4396B">
        <w:rPr>
          <w:rFonts w:eastAsia="Times New Roman"/>
          <w:noProof/>
        </w:rPr>
        <w:t xml:space="preserve">Externally, the options are </w:t>
      </w:r>
      <w:r w:rsidRPr="679D0EC3">
        <w:rPr>
          <w:rFonts w:eastAsia="Times New Roman"/>
          <w:noProof/>
        </w:rPr>
        <w:t>largely consistent with the EU’s broader framework for judicial and law enforcement cooperation</w:t>
      </w:r>
      <w:r w:rsidR="00D8111C" w:rsidRPr="679D0EC3">
        <w:rPr>
          <w:rFonts w:eastAsia="Times New Roman"/>
          <w:noProof/>
        </w:rPr>
        <w:t xml:space="preserve"> as well as with the recent developments in the </w:t>
      </w:r>
      <w:r w:rsidR="00030A8D" w:rsidRPr="679D0EC3">
        <w:rPr>
          <w:rFonts w:eastAsia="Times New Roman"/>
          <w:noProof/>
        </w:rPr>
        <w:t xml:space="preserve">ongoing </w:t>
      </w:r>
      <w:r w:rsidR="00D8111C" w:rsidRPr="679D0EC3">
        <w:rPr>
          <w:rFonts w:eastAsia="Times New Roman"/>
          <w:noProof/>
        </w:rPr>
        <w:t xml:space="preserve">review </w:t>
      </w:r>
      <w:r w:rsidR="00030A8D" w:rsidRPr="679D0EC3">
        <w:rPr>
          <w:rFonts w:eastAsia="Times New Roman"/>
          <w:noProof/>
        </w:rPr>
        <w:t>of the AFA</w:t>
      </w:r>
      <w:r w:rsidRPr="00D4396B">
        <w:rPr>
          <w:rFonts w:eastAsia="Times New Roman"/>
          <w:noProof/>
        </w:rPr>
        <w:t xml:space="preserve">. The direct link with </w:t>
      </w:r>
      <w:r w:rsidR="5E228EC4" w:rsidRPr="5B894187">
        <w:rPr>
          <w:rFonts w:eastAsia="Times New Roman"/>
          <w:noProof/>
        </w:rPr>
        <w:t xml:space="preserve">current </w:t>
      </w:r>
      <w:r w:rsidRPr="00D4396B">
        <w:rPr>
          <w:rFonts w:eastAsia="Times New Roman"/>
          <w:noProof/>
        </w:rPr>
        <w:t>reflections led at Council level</w:t>
      </w:r>
      <w:r w:rsidR="00DF60CC" w:rsidRPr="679D0EC3">
        <w:rPr>
          <w:rFonts w:eastAsia="Times New Roman"/>
          <w:noProof/>
        </w:rPr>
        <w:t>,</w:t>
      </w:r>
      <w:r w:rsidR="00030A8D" w:rsidRPr="679D0EC3">
        <w:rPr>
          <w:rFonts w:eastAsia="Times New Roman"/>
          <w:noProof/>
        </w:rPr>
        <w:t xml:space="preserve"> the </w:t>
      </w:r>
      <w:r w:rsidR="00DF60CC" w:rsidRPr="679D0EC3">
        <w:rPr>
          <w:rFonts w:eastAsia="Times New Roman"/>
          <w:noProof/>
        </w:rPr>
        <w:t>ProtectEU</w:t>
      </w:r>
      <w:r w:rsidR="00BA7062" w:rsidRPr="679D0EC3">
        <w:rPr>
          <w:rFonts w:eastAsia="Times New Roman"/>
          <w:noProof/>
        </w:rPr>
        <w:t xml:space="preserve"> Internal Security Strategy</w:t>
      </w:r>
      <w:r w:rsidR="00DF60CC" w:rsidRPr="679D0EC3">
        <w:rPr>
          <w:rFonts w:eastAsia="Times New Roman"/>
          <w:noProof/>
        </w:rPr>
        <w:t xml:space="preserve"> and the </w:t>
      </w:r>
      <w:r w:rsidR="00D44E86" w:rsidRPr="679D0EC3">
        <w:rPr>
          <w:rFonts w:eastAsia="Times New Roman"/>
          <w:noProof/>
        </w:rPr>
        <w:t xml:space="preserve">Commission </w:t>
      </w:r>
      <w:r w:rsidR="00A57C32" w:rsidRPr="679D0EC3">
        <w:rPr>
          <w:rFonts w:eastAsia="Times New Roman"/>
          <w:noProof/>
        </w:rPr>
        <w:t>White Paper that launched the review of the AFA</w:t>
      </w:r>
      <w:r w:rsidRPr="00D4396B">
        <w:rPr>
          <w:rFonts w:eastAsia="Times New Roman"/>
          <w:noProof/>
        </w:rPr>
        <w:t xml:space="preserve"> reinforces this coherence.</w:t>
      </w:r>
      <w:r w:rsidR="00DB5A5A">
        <w:rPr>
          <w:rStyle w:val="FootnoteReference"/>
          <w:rFonts w:eastAsia="Times New Roman"/>
          <w:noProof/>
        </w:rPr>
        <w:footnoteReference w:id="143"/>
      </w:r>
      <w:r w:rsidR="511E253A" w:rsidRPr="679D0EC3">
        <w:rPr>
          <w:rStyle w:val="FootnoteReference"/>
          <w:rFonts w:eastAsia="Times New Roman"/>
          <w:noProof/>
        </w:rPr>
        <w:t xml:space="preserve"> </w:t>
      </w:r>
      <w:r w:rsidR="2133EAEE" w:rsidRPr="00A14861">
        <w:rPr>
          <w:rFonts w:eastAsia="Times New Roman"/>
          <w:b/>
          <w:bCs/>
          <w:noProof/>
        </w:rPr>
        <w:t>This coherence is high regarding ongoing legislative and policy initiatives in the field</w:t>
      </w:r>
      <w:r w:rsidR="00D44E86" w:rsidRPr="679D0EC3">
        <w:rPr>
          <w:rFonts w:eastAsia="Times New Roman"/>
          <w:b/>
          <w:bCs/>
          <w:noProof/>
        </w:rPr>
        <w:t>s</w:t>
      </w:r>
      <w:r w:rsidR="2133EAEE" w:rsidRPr="00A14861">
        <w:rPr>
          <w:rFonts w:eastAsia="Times New Roman"/>
          <w:b/>
          <w:bCs/>
          <w:noProof/>
        </w:rPr>
        <w:t xml:space="preserve"> of JHA</w:t>
      </w:r>
      <w:r w:rsidR="00D44E86" w:rsidRPr="679D0EC3">
        <w:rPr>
          <w:rFonts w:eastAsia="Times New Roman"/>
          <w:b/>
          <w:bCs/>
          <w:noProof/>
        </w:rPr>
        <w:t xml:space="preserve"> and AFA</w:t>
      </w:r>
      <w:r w:rsidR="2133EAEE" w:rsidRPr="00A14861">
        <w:rPr>
          <w:rFonts w:eastAsia="Times New Roman"/>
          <w:b/>
          <w:bCs/>
          <w:noProof/>
        </w:rPr>
        <w:t xml:space="preserve">. </w:t>
      </w:r>
      <w:r w:rsidR="2133EAEE" w:rsidRPr="679D0EC3">
        <w:rPr>
          <w:rFonts w:eastAsia="Times New Roman"/>
          <w:noProof/>
        </w:rPr>
        <w:t xml:space="preserve">Indeed, </w:t>
      </w:r>
      <w:r w:rsidR="00DF60CC" w:rsidRPr="679D0EC3">
        <w:rPr>
          <w:rFonts w:eastAsia="Times New Roman"/>
          <w:noProof/>
        </w:rPr>
        <w:t xml:space="preserve">on the one hand, </w:t>
      </w:r>
      <w:r w:rsidR="69A8252A" w:rsidRPr="679D0EC3">
        <w:rPr>
          <w:rFonts w:eastAsia="Times New Roman"/>
          <w:noProof/>
        </w:rPr>
        <w:t>the integration of the agency’s operational and analytical capabilities into a broader ecosystem designed to tackle new forms of crime in a cross-cutting manner, in collaboration with other active partners</w:t>
      </w:r>
      <w:r w:rsidR="0EEC7B05" w:rsidRPr="679D0EC3">
        <w:rPr>
          <w:rFonts w:eastAsia="Times New Roman"/>
          <w:noProof/>
        </w:rPr>
        <w:t xml:space="preserve"> (notably Europol)</w:t>
      </w:r>
      <w:r w:rsidR="69A8252A" w:rsidRPr="679D0EC3">
        <w:rPr>
          <w:rFonts w:eastAsia="Times New Roman"/>
          <w:noProof/>
        </w:rPr>
        <w:t>, is fully in line with current paradigm on how agencies and bodies specialising in the fight against crime should operate.</w:t>
      </w:r>
      <w:r w:rsidR="00FE223B" w:rsidRPr="679D0EC3">
        <w:rPr>
          <w:rFonts w:eastAsia="Times New Roman"/>
          <w:noProof/>
        </w:rPr>
        <w:t xml:space="preserve"> On the other</w:t>
      </w:r>
      <w:r w:rsidR="00EC4988" w:rsidRPr="679D0EC3">
        <w:rPr>
          <w:rFonts w:eastAsia="Times New Roman"/>
          <w:noProof/>
        </w:rPr>
        <w:t xml:space="preserve"> hand</w:t>
      </w:r>
      <w:r w:rsidR="00FE223B" w:rsidRPr="679D0EC3">
        <w:rPr>
          <w:rFonts w:eastAsia="Times New Roman"/>
          <w:noProof/>
        </w:rPr>
        <w:t>, t</w:t>
      </w:r>
      <w:r w:rsidR="69A8252A" w:rsidRPr="679D0EC3">
        <w:rPr>
          <w:rFonts w:eastAsia="Times New Roman"/>
          <w:noProof/>
        </w:rPr>
        <w:t>he AFA review</w:t>
      </w:r>
      <w:r w:rsidR="00BA2244" w:rsidRPr="679D0EC3">
        <w:rPr>
          <w:rFonts w:eastAsia="Times New Roman"/>
          <w:noProof/>
        </w:rPr>
        <w:t xml:space="preserve"> </w:t>
      </w:r>
      <w:r w:rsidR="00BA2244">
        <w:rPr>
          <w:noProof/>
        </w:rPr>
        <w:t xml:space="preserve">seeks to enhance effectiveness </w:t>
      </w:r>
      <w:r w:rsidR="58200C79">
        <w:rPr>
          <w:noProof/>
        </w:rPr>
        <w:t>by</w:t>
      </w:r>
      <w:r w:rsidR="00BA2244">
        <w:rPr>
          <w:noProof/>
        </w:rPr>
        <w:t>, avoid</w:t>
      </w:r>
      <w:r w:rsidR="25BC0F2E">
        <w:rPr>
          <w:noProof/>
        </w:rPr>
        <w:t>ing</w:t>
      </w:r>
      <w:r w:rsidR="00BA2244">
        <w:rPr>
          <w:noProof/>
        </w:rPr>
        <w:t xml:space="preserve"> overlaps between EU agencies and bodies active in the fight against </w:t>
      </w:r>
      <w:r w:rsidR="00371D23">
        <w:rPr>
          <w:noProof/>
        </w:rPr>
        <w:t>crimes affecting the Union’s financial interests,</w:t>
      </w:r>
      <w:r w:rsidR="00EC4988">
        <w:rPr>
          <w:noProof/>
        </w:rPr>
        <w:t xml:space="preserve"> including by </w:t>
      </w:r>
      <w:r w:rsidR="00F54A54">
        <w:rPr>
          <w:noProof/>
        </w:rPr>
        <w:t>enhancing the hit/no-hit system. The AFA review also aims to</w:t>
      </w:r>
      <w:r w:rsidR="00371D23">
        <w:rPr>
          <w:noProof/>
        </w:rPr>
        <w:t xml:space="preserve"> </w:t>
      </w:r>
      <w:r w:rsidR="00BA2244">
        <w:rPr>
          <w:noProof/>
        </w:rPr>
        <w:t>make better use of financial and human resources whilst addressing new challenges, such as the increased involvement of cross-border and organised crime groups targeting EU funds or the use of advanced technologies, including artificial intelligence tools.</w:t>
      </w:r>
      <w:r w:rsidR="004D01A8">
        <w:rPr>
          <w:noProof/>
        </w:rPr>
        <w:t xml:space="preserve"> In this context, the Commission is finalising its evaluation of the EPPO and OLAF Regulations and, based on their findings, will propose a revision of both Regulations, </w:t>
      </w:r>
      <w:r w:rsidR="008955DF">
        <w:rPr>
          <w:noProof/>
        </w:rPr>
        <w:t>which will also</w:t>
      </w:r>
      <w:r w:rsidR="00194138">
        <w:rPr>
          <w:noProof/>
        </w:rPr>
        <w:t xml:space="preserve"> likely</w:t>
      </w:r>
      <w:r w:rsidR="008955DF">
        <w:rPr>
          <w:noProof/>
        </w:rPr>
        <w:t xml:space="preserve"> encompass </w:t>
      </w:r>
      <w:r w:rsidR="00194138">
        <w:rPr>
          <w:noProof/>
        </w:rPr>
        <w:t xml:space="preserve">proposals to </w:t>
      </w:r>
      <w:r w:rsidR="008955DF">
        <w:rPr>
          <w:noProof/>
        </w:rPr>
        <w:t>revamp</w:t>
      </w:r>
      <w:r w:rsidR="00194138">
        <w:rPr>
          <w:noProof/>
        </w:rPr>
        <w:t xml:space="preserve"> the</w:t>
      </w:r>
      <w:r w:rsidR="008955DF">
        <w:rPr>
          <w:noProof/>
        </w:rPr>
        <w:t xml:space="preserve"> relations between Eurojust and the EPPO and OLAF. </w:t>
      </w:r>
    </w:p>
    <w:p w14:paraId="267DCDD0" w14:textId="4DE5CAEE" w:rsidR="46483A8A" w:rsidRPr="00D4396B" w:rsidRDefault="5C50DB46" w:rsidP="00DD3923">
      <w:pPr>
        <w:spacing w:after="120"/>
        <w:rPr>
          <w:rFonts w:eastAsia="Times New Roman"/>
          <w:noProof/>
        </w:rPr>
      </w:pPr>
      <w:r w:rsidRPr="00D4396B">
        <w:rPr>
          <w:rFonts w:eastAsia="Times New Roman"/>
          <w:b/>
          <w:bCs/>
          <w:noProof/>
        </w:rPr>
        <w:t>A.PO3</w:t>
      </w:r>
      <w:r w:rsidRPr="00D4396B">
        <w:rPr>
          <w:rFonts w:eastAsia="Times New Roman"/>
          <w:noProof/>
        </w:rPr>
        <w:t xml:space="preserve"> highlights a moderate external coherence: extending competences to emerging crime areas (e.g. cybercrime) aligns with EU policy priorities</w:t>
      </w:r>
      <w:r w:rsidR="00A232EC">
        <w:rPr>
          <w:rFonts w:eastAsia="Times New Roman"/>
          <w:noProof/>
        </w:rPr>
        <w:t>,</w:t>
      </w:r>
      <w:r w:rsidRPr="00D4396B">
        <w:rPr>
          <w:rFonts w:eastAsia="Times New Roman"/>
          <w:noProof/>
        </w:rPr>
        <w:t xml:space="preserve"> but expanding analytical or operational roles may risk overlap with the mandate of Europol. Concerning the new analytical competence </w:t>
      </w:r>
      <w:r w:rsidR="4F684FC1" w:rsidRPr="35839FC0">
        <w:rPr>
          <w:rFonts w:eastAsia="Times New Roman"/>
          <w:noProof/>
        </w:rPr>
        <w:t xml:space="preserve">of </w:t>
      </w:r>
      <w:r w:rsidR="55ACE1CC" w:rsidRPr="35B29580">
        <w:rPr>
          <w:rFonts w:eastAsia="Times New Roman"/>
          <w:noProof/>
        </w:rPr>
        <w:t xml:space="preserve">judicial data </w:t>
      </w:r>
      <w:r w:rsidRPr="00D4396B">
        <w:rPr>
          <w:rFonts w:eastAsia="Times New Roman"/>
          <w:noProof/>
        </w:rPr>
        <w:t>on the field of organised crime, overlaps and/or duplication of work may occur with Europol’s role</w:t>
      </w:r>
      <w:r w:rsidR="51BC2BCE" w:rsidRPr="00D4396B">
        <w:rPr>
          <w:rFonts w:eastAsia="Times New Roman"/>
          <w:noProof/>
        </w:rPr>
        <w:t>.</w:t>
      </w:r>
      <w:r w:rsidR="00653542">
        <w:rPr>
          <w:rFonts w:eastAsia="Times New Roman"/>
          <w:noProof/>
        </w:rPr>
        <w:t xml:space="preserve"> </w:t>
      </w:r>
      <w:r w:rsidR="3A7FDCA4" w:rsidRPr="23753668">
        <w:rPr>
          <w:rFonts w:eastAsia="Times New Roman"/>
          <w:noProof/>
        </w:rPr>
        <w:t>Even</w:t>
      </w:r>
      <w:r w:rsidR="3A7FDCA4" w:rsidRPr="6789B1E8">
        <w:rPr>
          <w:rFonts w:eastAsia="Times New Roman"/>
          <w:noProof/>
        </w:rPr>
        <w:t xml:space="preserve"> if</w:t>
      </w:r>
      <w:r w:rsidRPr="00D4396B">
        <w:rPr>
          <w:rFonts w:eastAsia="Times New Roman"/>
          <w:noProof/>
        </w:rPr>
        <w:t xml:space="preserve"> minor practical coherence issues could arise</w:t>
      </w:r>
      <w:r w:rsidR="00A46FEE">
        <w:rPr>
          <w:rFonts w:eastAsia="Times New Roman"/>
          <w:noProof/>
        </w:rPr>
        <w:t>,</w:t>
      </w:r>
      <w:r w:rsidRPr="00D4396B">
        <w:rPr>
          <w:rFonts w:eastAsia="Times New Roman"/>
          <w:noProof/>
        </w:rPr>
        <w:t xml:space="preserve"> depending on the implementation by Member States in terms of transfer of data, this analytical competence</w:t>
      </w:r>
      <w:r w:rsidR="00653542">
        <w:rPr>
          <w:rFonts w:eastAsia="Times New Roman"/>
          <w:noProof/>
        </w:rPr>
        <w:t xml:space="preserve"> </w:t>
      </w:r>
      <w:r w:rsidRPr="00D4396B">
        <w:rPr>
          <w:rFonts w:eastAsia="Times New Roman"/>
          <w:noProof/>
        </w:rPr>
        <w:t>i</w:t>
      </w:r>
      <w:r w:rsidR="005235ED" w:rsidRPr="00D4396B">
        <w:rPr>
          <w:rFonts w:eastAsia="Times New Roman"/>
          <w:noProof/>
        </w:rPr>
        <w:t>s</w:t>
      </w:r>
      <w:r w:rsidRPr="00D4396B">
        <w:rPr>
          <w:rFonts w:eastAsia="Times New Roman"/>
          <w:noProof/>
        </w:rPr>
        <w:t xml:space="preserve"> </w:t>
      </w:r>
      <w:r w:rsidR="00F747B7" w:rsidRPr="7C79BFA8">
        <w:rPr>
          <w:rFonts w:eastAsia="Times New Roman"/>
          <w:noProof/>
        </w:rPr>
        <w:t>ful</w:t>
      </w:r>
      <w:r w:rsidRPr="7C79BFA8">
        <w:rPr>
          <w:rFonts w:eastAsia="Times New Roman"/>
          <w:noProof/>
        </w:rPr>
        <w:t>ly</w:t>
      </w:r>
      <w:r w:rsidRPr="00D4396B">
        <w:rPr>
          <w:rFonts w:eastAsia="Times New Roman"/>
          <w:noProof/>
        </w:rPr>
        <w:t xml:space="preserve"> consistent with the new tools to combat organised crime</w:t>
      </w:r>
      <w:r w:rsidR="22EACA58" w:rsidRPr="00D4396B">
        <w:rPr>
          <w:rFonts w:eastAsia="Times New Roman"/>
          <w:noProof/>
        </w:rPr>
        <w:t>.</w:t>
      </w:r>
    </w:p>
    <w:p w14:paraId="6C344BBA" w14:textId="7CCD9E84" w:rsidR="46483A8A" w:rsidRPr="00D4396B" w:rsidRDefault="0642C9DC" w:rsidP="00DD3923">
      <w:pPr>
        <w:spacing w:after="120"/>
        <w:rPr>
          <w:rFonts w:eastAsia="Times New Roman"/>
          <w:noProof/>
        </w:rPr>
      </w:pPr>
      <w:r w:rsidRPr="00D4396B">
        <w:rPr>
          <w:rFonts w:eastAsia="Times New Roman"/>
          <w:b/>
          <w:bCs/>
          <w:noProof/>
        </w:rPr>
        <w:t>B.PO3</w:t>
      </w:r>
      <w:r w:rsidRPr="00D4396B">
        <w:rPr>
          <w:rFonts w:eastAsia="Times New Roman"/>
          <w:noProof/>
        </w:rPr>
        <w:t xml:space="preserve"> underline</w:t>
      </w:r>
      <w:r w:rsidR="00C66300" w:rsidRPr="00D4396B">
        <w:rPr>
          <w:rFonts w:eastAsia="Times New Roman"/>
          <w:noProof/>
        </w:rPr>
        <w:t>s</w:t>
      </w:r>
      <w:r w:rsidRPr="00D4396B">
        <w:rPr>
          <w:rFonts w:eastAsia="Times New Roman"/>
          <w:noProof/>
        </w:rPr>
        <w:t xml:space="preserve"> a consequent external coherence, as </w:t>
      </w:r>
      <w:r w:rsidR="00C66300" w:rsidRPr="00D4396B">
        <w:rPr>
          <w:rFonts w:eastAsia="Times New Roman"/>
          <w:noProof/>
        </w:rPr>
        <w:t>it</w:t>
      </w:r>
      <w:r w:rsidRPr="00D4396B">
        <w:rPr>
          <w:rFonts w:eastAsia="Times New Roman"/>
          <w:noProof/>
        </w:rPr>
        <w:t xml:space="preserve"> reinforce</w:t>
      </w:r>
      <w:r w:rsidR="00C66300" w:rsidRPr="00D4396B">
        <w:rPr>
          <w:rFonts w:eastAsia="Times New Roman"/>
          <w:noProof/>
        </w:rPr>
        <w:t>s</w:t>
      </w:r>
      <w:r w:rsidRPr="00D4396B">
        <w:rPr>
          <w:rFonts w:eastAsia="Times New Roman"/>
          <w:noProof/>
        </w:rPr>
        <w:t xml:space="preserve"> EU judicial cooperation mechanisms</w:t>
      </w:r>
      <w:r w:rsidR="00E53CE2" w:rsidRPr="00D4396B">
        <w:rPr>
          <w:rFonts w:eastAsia="Times New Roman"/>
          <w:noProof/>
        </w:rPr>
        <w:t>.</w:t>
      </w:r>
    </w:p>
    <w:p w14:paraId="644F2DC1" w14:textId="2B29AD36" w:rsidR="46483A8A" w:rsidRPr="00D4396B" w:rsidRDefault="5C50DB46" w:rsidP="00DD3923">
      <w:pPr>
        <w:spacing w:after="120"/>
        <w:rPr>
          <w:noProof/>
        </w:rPr>
      </w:pPr>
      <w:r w:rsidRPr="00D4396B">
        <w:rPr>
          <w:rFonts w:eastAsia="Times New Roman"/>
          <w:b/>
          <w:bCs/>
          <w:noProof/>
        </w:rPr>
        <w:t>C.PO3</w:t>
      </w:r>
      <w:r w:rsidRPr="00D4396B">
        <w:rPr>
          <w:rFonts w:eastAsia="Times New Roman"/>
          <w:noProof/>
        </w:rPr>
        <w:t xml:space="preserve"> is also externally coherent because aligning governance with common EU agency models reflects broader administrative practice. In particular, the creation of a</w:t>
      </w:r>
      <w:r w:rsidR="007D1563" w:rsidRPr="00D4396B">
        <w:rPr>
          <w:rFonts w:eastAsia="Times New Roman"/>
          <w:noProof/>
        </w:rPr>
        <w:t xml:space="preserve"> </w:t>
      </w:r>
      <w:r w:rsidRPr="5B1280F5">
        <w:rPr>
          <w:rFonts w:eastAsia="Times New Roman"/>
          <w:noProof/>
        </w:rPr>
        <w:t>M</w:t>
      </w:r>
      <w:r w:rsidR="3EDA2FF4" w:rsidRPr="5B1280F5">
        <w:rPr>
          <w:rFonts w:eastAsia="Times New Roman"/>
          <w:noProof/>
        </w:rPr>
        <w:t>B</w:t>
      </w:r>
      <w:r w:rsidRPr="00D4396B">
        <w:rPr>
          <w:rFonts w:eastAsia="Times New Roman"/>
          <w:noProof/>
        </w:rPr>
        <w:t xml:space="preserve"> will strongly improve </w:t>
      </w:r>
      <w:r w:rsidR="007D1563" w:rsidRPr="00D4396B">
        <w:rPr>
          <w:rFonts w:eastAsia="Times New Roman"/>
          <w:noProof/>
        </w:rPr>
        <w:t xml:space="preserve">alignment </w:t>
      </w:r>
      <w:r w:rsidRPr="00D4396B">
        <w:rPr>
          <w:rFonts w:eastAsia="Times New Roman"/>
          <w:noProof/>
        </w:rPr>
        <w:t xml:space="preserve">with the common approach of decentralised agencies. </w:t>
      </w:r>
    </w:p>
    <w:p w14:paraId="38BBAAC9" w14:textId="57405DE0" w:rsidR="46483A8A" w:rsidRPr="00D4396B" w:rsidRDefault="00A434F8" w:rsidP="00DD3923">
      <w:pPr>
        <w:spacing w:after="120"/>
        <w:rPr>
          <w:rFonts w:eastAsia="Times New Roman"/>
          <w:noProof/>
        </w:rPr>
      </w:pPr>
      <w:r w:rsidRPr="00D4396B">
        <w:rPr>
          <w:rFonts w:eastAsia="Times New Roman"/>
          <w:b/>
          <w:bCs/>
          <w:noProof/>
        </w:rPr>
        <w:t>D</w:t>
      </w:r>
      <w:r w:rsidR="5C50DB46" w:rsidRPr="00D4396B">
        <w:rPr>
          <w:rFonts w:eastAsia="Times New Roman"/>
          <w:b/>
          <w:bCs/>
          <w:noProof/>
        </w:rPr>
        <w:t>.PO3</w:t>
      </w:r>
      <w:r w:rsidR="5C50DB46" w:rsidRPr="00D4396B">
        <w:rPr>
          <w:rFonts w:eastAsia="Times New Roman"/>
          <w:noProof/>
        </w:rPr>
        <w:t xml:space="preserve"> (Europol) and </w:t>
      </w:r>
      <w:r w:rsidR="0061372C" w:rsidRPr="00D4396B">
        <w:rPr>
          <w:rFonts w:eastAsia="Times New Roman"/>
          <w:b/>
          <w:bCs/>
          <w:noProof/>
        </w:rPr>
        <w:t>E</w:t>
      </w:r>
      <w:r w:rsidR="5C50DB46" w:rsidRPr="00D4396B">
        <w:rPr>
          <w:rFonts w:eastAsia="Times New Roman"/>
          <w:b/>
          <w:bCs/>
          <w:noProof/>
        </w:rPr>
        <w:t>.PO2</w:t>
      </w:r>
      <w:r w:rsidR="5C50DB46" w:rsidRPr="00D4396B">
        <w:rPr>
          <w:rFonts w:eastAsia="Times New Roman"/>
          <w:noProof/>
        </w:rPr>
        <w:t xml:space="preserve"> (EPPO) demonstrate superior external coherence, as codifying cooperation with Europol and strengthening operational coordination with the EPPO supports the integrated functioning of the EU criminal justice architecture</w:t>
      </w:r>
      <w:r w:rsidR="00950B47">
        <w:rPr>
          <w:rFonts w:eastAsia="Times New Roman"/>
          <w:noProof/>
        </w:rPr>
        <w:t xml:space="preserve"> and the AFA,</w:t>
      </w:r>
      <w:r w:rsidR="5C50DB46" w:rsidRPr="00D4396B">
        <w:rPr>
          <w:rFonts w:eastAsia="Times New Roman"/>
          <w:noProof/>
        </w:rPr>
        <w:t xml:space="preserve"> and is consistent </w:t>
      </w:r>
      <w:r w:rsidR="0047121A" w:rsidRPr="00D4396B">
        <w:rPr>
          <w:rFonts w:eastAsia="Times New Roman"/>
          <w:noProof/>
        </w:rPr>
        <w:t>with the</w:t>
      </w:r>
      <w:r w:rsidR="00036533" w:rsidRPr="00D4396B">
        <w:rPr>
          <w:rFonts w:eastAsia="Times New Roman"/>
          <w:noProof/>
        </w:rPr>
        <w:t xml:space="preserve"> </w:t>
      </w:r>
      <w:r w:rsidR="00950B47">
        <w:rPr>
          <w:rFonts w:eastAsia="Times New Roman"/>
          <w:noProof/>
        </w:rPr>
        <w:t xml:space="preserve">mission </w:t>
      </w:r>
      <w:r w:rsidR="00036533" w:rsidRPr="00D4396B">
        <w:rPr>
          <w:rFonts w:eastAsia="Times New Roman"/>
          <w:noProof/>
        </w:rPr>
        <w:t>of the EPPO</w:t>
      </w:r>
      <w:r w:rsidR="5C50DB46" w:rsidRPr="00D4396B">
        <w:rPr>
          <w:rFonts w:eastAsia="Times New Roman"/>
          <w:noProof/>
        </w:rPr>
        <w:t xml:space="preserve">. Once again, the reinforcement of data exchange via IT connections and new automated systems is </w:t>
      </w:r>
      <w:r w:rsidR="00E21E40">
        <w:rPr>
          <w:rFonts w:eastAsia="Times New Roman"/>
          <w:noProof/>
        </w:rPr>
        <w:t xml:space="preserve">entirely coherent </w:t>
      </w:r>
      <w:r w:rsidR="5C50DB46" w:rsidRPr="00D4396B">
        <w:rPr>
          <w:rFonts w:eastAsia="Times New Roman"/>
          <w:noProof/>
        </w:rPr>
        <w:t>with new operational requirements to better fight against organised crime</w:t>
      </w:r>
      <w:r w:rsidR="00D6483A">
        <w:rPr>
          <w:rFonts w:eastAsia="Times New Roman"/>
          <w:noProof/>
        </w:rPr>
        <w:t xml:space="preserve"> as well as with the needs already emerged in the ongoing review of the AFA</w:t>
      </w:r>
      <w:r w:rsidR="00D6483A">
        <w:rPr>
          <w:rStyle w:val="FootnoteReference"/>
          <w:rFonts w:eastAsia="Times New Roman"/>
          <w:noProof/>
        </w:rPr>
        <w:footnoteReference w:id="144"/>
      </w:r>
      <w:r w:rsidR="5C50DB46" w:rsidRPr="00D4396B">
        <w:rPr>
          <w:rFonts w:eastAsia="Times New Roman"/>
          <w:noProof/>
        </w:rPr>
        <w:t xml:space="preserve">. Lastly, </w:t>
      </w:r>
      <w:r w:rsidR="00373A20" w:rsidRPr="00D4396B">
        <w:rPr>
          <w:rFonts w:eastAsia="Times New Roman"/>
          <w:noProof/>
        </w:rPr>
        <w:t>th</w:t>
      </w:r>
      <w:r w:rsidR="00373A20">
        <w:rPr>
          <w:rFonts w:eastAsia="Times New Roman"/>
          <w:noProof/>
        </w:rPr>
        <w:t>is</w:t>
      </w:r>
      <w:r w:rsidR="5C50DB46" w:rsidRPr="00D4396B">
        <w:rPr>
          <w:rFonts w:eastAsia="Times New Roman"/>
          <w:noProof/>
        </w:rPr>
        <w:t xml:space="preserve"> option would increase transversal coherence by ensuring very high levels of alignment with </w:t>
      </w:r>
      <w:r w:rsidR="0047121A" w:rsidRPr="00D4396B">
        <w:rPr>
          <w:rFonts w:eastAsia="Times New Roman"/>
          <w:noProof/>
        </w:rPr>
        <w:t>other actors</w:t>
      </w:r>
      <w:r w:rsidR="5C50DB46" w:rsidRPr="00D4396B">
        <w:rPr>
          <w:rFonts w:eastAsia="Times New Roman"/>
          <w:noProof/>
        </w:rPr>
        <w:t xml:space="preserve"> involved in the </w:t>
      </w:r>
      <w:r w:rsidR="1938CC4C" w:rsidRPr="00D4396B">
        <w:rPr>
          <w:rFonts w:eastAsia="Times New Roman"/>
          <w:noProof/>
        </w:rPr>
        <w:t>planned review of</w:t>
      </w:r>
      <w:r w:rsidR="5C50DB46" w:rsidRPr="00D4396B">
        <w:rPr>
          <w:rFonts w:eastAsia="Times New Roman"/>
          <w:noProof/>
        </w:rPr>
        <w:t xml:space="preserve"> </w:t>
      </w:r>
      <w:r w:rsidR="00E5093C">
        <w:rPr>
          <w:rFonts w:eastAsia="Times New Roman"/>
          <w:noProof/>
        </w:rPr>
        <w:t xml:space="preserve">the </w:t>
      </w:r>
      <w:r w:rsidR="5C50DB46" w:rsidRPr="00D4396B">
        <w:rPr>
          <w:rFonts w:eastAsia="Times New Roman"/>
          <w:noProof/>
        </w:rPr>
        <w:t xml:space="preserve">AFA. </w:t>
      </w:r>
    </w:p>
    <w:p w14:paraId="7A66BFD2" w14:textId="308CD3EF" w:rsidR="46483A8A" w:rsidRDefault="00F21953" w:rsidP="00DD3923">
      <w:pPr>
        <w:spacing w:after="120"/>
        <w:rPr>
          <w:rFonts w:eastAsia="Times New Roman"/>
          <w:noProof/>
        </w:rPr>
      </w:pPr>
      <w:r w:rsidRPr="7E8FC249">
        <w:rPr>
          <w:rFonts w:eastAsia="Times New Roman"/>
          <w:b/>
          <w:bCs/>
          <w:noProof/>
        </w:rPr>
        <w:t>F</w:t>
      </w:r>
      <w:r w:rsidR="5C50DB46" w:rsidRPr="7E8FC249">
        <w:rPr>
          <w:rFonts w:eastAsia="Times New Roman"/>
          <w:b/>
          <w:bCs/>
          <w:noProof/>
        </w:rPr>
        <w:t>.PO</w:t>
      </w:r>
      <w:r w:rsidR="00146FAB">
        <w:rPr>
          <w:rFonts w:eastAsia="Times New Roman"/>
          <w:b/>
          <w:bCs/>
          <w:noProof/>
        </w:rPr>
        <w:t>2</w:t>
      </w:r>
      <w:r w:rsidR="5C50DB46" w:rsidRPr="7E8FC249">
        <w:rPr>
          <w:rFonts w:eastAsia="Times New Roman"/>
          <w:noProof/>
        </w:rPr>
        <w:t xml:space="preserve"> also provides a correct external coherence, as clarifying the role of </w:t>
      </w:r>
      <w:r w:rsidR="70D15D66" w:rsidRPr="5B1280F5">
        <w:rPr>
          <w:rFonts w:eastAsia="Times New Roman"/>
          <w:noProof/>
        </w:rPr>
        <w:t>LM</w:t>
      </w:r>
      <w:r w:rsidR="5C50DB46" w:rsidRPr="5B1280F5">
        <w:rPr>
          <w:rFonts w:eastAsia="Times New Roman"/>
          <w:noProof/>
        </w:rPr>
        <w:t>s</w:t>
      </w:r>
      <w:r w:rsidR="5C50DB46" w:rsidRPr="7E8FC249">
        <w:rPr>
          <w:rFonts w:eastAsia="Times New Roman"/>
          <w:noProof/>
        </w:rPr>
        <w:t xml:space="preserve"> and institutionalising contact points supports the EU’s external judicial cooperation policy and partnerships with third countries and international organisations. Some possible challenges in the internal coherence between the role of contact points towards </w:t>
      </w:r>
      <w:r w:rsidR="2639BB3C" w:rsidRPr="5B1280F5">
        <w:rPr>
          <w:rFonts w:eastAsia="Times New Roman"/>
          <w:noProof/>
        </w:rPr>
        <w:t>LM</w:t>
      </w:r>
      <w:r w:rsidR="5C50DB46" w:rsidRPr="5B1280F5">
        <w:rPr>
          <w:rFonts w:eastAsia="Times New Roman"/>
          <w:noProof/>
        </w:rPr>
        <w:t>s</w:t>
      </w:r>
      <w:r w:rsidR="5C50DB46" w:rsidRPr="7E8FC249">
        <w:rPr>
          <w:rFonts w:eastAsia="Times New Roman"/>
          <w:noProof/>
        </w:rPr>
        <w:t xml:space="preserve"> and prosecutors </w:t>
      </w:r>
      <w:r w:rsidR="00A83572">
        <w:rPr>
          <w:rFonts w:eastAsia="Times New Roman"/>
          <w:noProof/>
        </w:rPr>
        <w:t>m</w:t>
      </w:r>
      <w:r w:rsidR="00E947C6">
        <w:rPr>
          <w:rFonts w:eastAsia="Times New Roman"/>
          <w:noProof/>
        </w:rPr>
        <w:t>ight</w:t>
      </w:r>
      <w:r w:rsidR="00A83572" w:rsidRPr="7E8FC249">
        <w:rPr>
          <w:rFonts w:eastAsia="Times New Roman"/>
          <w:noProof/>
        </w:rPr>
        <w:t xml:space="preserve"> </w:t>
      </w:r>
      <w:r w:rsidR="00E947C6">
        <w:rPr>
          <w:rFonts w:eastAsia="Times New Roman"/>
          <w:noProof/>
        </w:rPr>
        <w:t>emerge</w:t>
      </w:r>
      <w:r w:rsidR="00A83572">
        <w:rPr>
          <w:rFonts w:eastAsia="Times New Roman"/>
          <w:noProof/>
        </w:rPr>
        <w:t>,</w:t>
      </w:r>
      <w:r w:rsidR="5C50DB46" w:rsidRPr="7E8FC249">
        <w:rPr>
          <w:rFonts w:eastAsia="Times New Roman"/>
          <w:noProof/>
        </w:rPr>
        <w:t xml:space="preserve"> but </w:t>
      </w:r>
      <w:r w:rsidR="00A83572">
        <w:rPr>
          <w:rFonts w:eastAsia="Times New Roman"/>
          <w:noProof/>
        </w:rPr>
        <w:t>these</w:t>
      </w:r>
      <w:r w:rsidR="5C50DB46" w:rsidRPr="7E8FC249">
        <w:rPr>
          <w:rFonts w:eastAsia="Times New Roman"/>
          <w:noProof/>
        </w:rPr>
        <w:t xml:space="preserve"> can be addressed by clarifying the differences </w:t>
      </w:r>
      <w:r w:rsidR="00E947C6">
        <w:rPr>
          <w:rFonts w:eastAsia="Times New Roman"/>
          <w:noProof/>
        </w:rPr>
        <w:t>between</w:t>
      </w:r>
      <w:r w:rsidR="00E947C6" w:rsidRPr="7E8FC249">
        <w:rPr>
          <w:rFonts w:eastAsia="Times New Roman"/>
          <w:noProof/>
        </w:rPr>
        <w:t xml:space="preserve"> </w:t>
      </w:r>
      <w:r w:rsidR="5C50DB46" w:rsidRPr="7E8FC249">
        <w:rPr>
          <w:rFonts w:eastAsia="Times New Roman"/>
          <w:noProof/>
        </w:rPr>
        <w:t>the roles, powers and responsibilities to avoid duplications and overlaps. This policy option has the potential to increase coherence by ensuring higher levels of alignment with other JHA</w:t>
      </w:r>
      <w:r w:rsidR="002C62D6">
        <w:rPr>
          <w:rFonts w:eastAsia="Times New Roman"/>
          <w:noProof/>
        </w:rPr>
        <w:t xml:space="preserve"> and AFA</w:t>
      </w:r>
      <w:r w:rsidR="5C50DB46" w:rsidRPr="7E8FC249">
        <w:rPr>
          <w:rFonts w:eastAsia="Times New Roman"/>
          <w:noProof/>
        </w:rPr>
        <w:t xml:space="preserve"> actors in terms of international data transfer regime</w:t>
      </w:r>
      <w:r w:rsidR="009E6E30">
        <w:rPr>
          <w:rFonts w:eastAsia="Times New Roman"/>
          <w:noProof/>
        </w:rPr>
        <w:t xml:space="preserve">, </w:t>
      </w:r>
      <w:r w:rsidR="5C50DB46" w:rsidRPr="7E8FC249">
        <w:rPr>
          <w:rFonts w:eastAsia="Times New Roman"/>
          <w:noProof/>
        </w:rPr>
        <w:t xml:space="preserve">while retaining the possibility </w:t>
      </w:r>
      <w:r w:rsidR="009E6E30">
        <w:rPr>
          <w:rFonts w:eastAsia="Times New Roman"/>
          <w:noProof/>
        </w:rPr>
        <w:t>for</w:t>
      </w:r>
      <w:r w:rsidR="5C50DB46" w:rsidRPr="7E8FC249">
        <w:rPr>
          <w:rFonts w:eastAsia="Times New Roman"/>
          <w:noProof/>
        </w:rPr>
        <w:t xml:space="preserve"> Eurojust-specific rules.</w:t>
      </w:r>
    </w:p>
    <w:p w14:paraId="4B2FE754" w14:textId="51E6D3A1" w:rsidR="00C72822" w:rsidRDefault="00F8691D" w:rsidP="000C3545">
      <w:pPr>
        <w:pStyle w:val="Heading3"/>
        <w:rPr>
          <w:noProof/>
        </w:rPr>
      </w:pPr>
      <w:bookmarkStart w:id="179" w:name="_Toc232176434"/>
      <w:r>
        <w:rPr>
          <w:noProof/>
        </w:rPr>
        <w:t>8.2.</w:t>
      </w:r>
      <w:r w:rsidR="004062B2">
        <w:rPr>
          <w:noProof/>
        </w:rPr>
        <w:t>4.</w:t>
      </w:r>
      <w:r>
        <w:rPr>
          <w:noProof/>
        </w:rPr>
        <w:t xml:space="preserve"> Impacts on Fundamental Rights</w:t>
      </w:r>
      <w:bookmarkEnd w:id="179"/>
    </w:p>
    <w:p w14:paraId="5B8FEE31" w14:textId="1CAF1A7D" w:rsidR="00F8691D" w:rsidRDefault="00D611D3" w:rsidP="00DD3923">
      <w:pPr>
        <w:spacing w:after="120"/>
        <w:rPr>
          <w:rFonts w:eastAsia="Times New Roman"/>
          <w:noProof/>
        </w:rPr>
      </w:pPr>
      <w:r w:rsidRPr="384F7AB1">
        <w:rPr>
          <w:rFonts w:eastAsia="Times New Roman"/>
          <w:noProof/>
        </w:rPr>
        <w:t>The preferred option</w:t>
      </w:r>
      <w:r w:rsidR="005515C2" w:rsidRPr="384F7AB1">
        <w:rPr>
          <w:rFonts w:eastAsia="Times New Roman"/>
          <w:noProof/>
        </w:rPr>
        <w:t xml:space="preserve"> compl</w:t>
      </w:r>
      <w:r w:rsidR="567414ED" w:rsidRPr="384F7AB1">
        <w:rPr>
          <w:rFonts w:eastAsia="Times New Roman"/>
          <w:noProof/>
        </w:rPr>
        <w:t>ies</w:t>
      </w:r>
      <w:r w:rsidR="005515C2" w:rsidRPr="384F7AB1">
        <w:rPr>
          <w:rFonts w:eastAsia="Times New Roman"/>
          <w:noProof/>
        </w:rPr>
        <w:t xml:space="preserve"> </w:t>
      </w:r>
      <w:r w:rsidR="005A1F57" w:rsidRPr="384F7AB1">
        <w:rPr>
          <w:rFonts w:eastAsia="Times New Roman"/>
          <w:noProof/>
        </w:rPr>
        <w:t xml:space="preserve">with </w:t>
      </w:r>
      <w:r w:rsidR="69E08619" w:rsidRPr="384F7AB1">
        <w:rPr>
          <w:rFonts w:eastAsia="Times New Roman"/>
          <w:noProof/>
        </w:rPr>
        <w:t xml:space="preserve">principles provided for in </w:t>
      </w:r>
      <w:r w:rsidR="005A1F57" w:rsidRPr="384F7AB1">
        <w:rPr>
          <w:rFonts w:eastAsia="Times New Roman"/>
          <w:noProof/>
        </w:rPr>
        <w:t xml:space="preserve">the </w:t>
      </w:r>
      <w:r w:rsidRPr="384F7AB1">
        <w:rPr>
          <w:rFonts w:eastAsia="Times New Roman"/>
          <w:noProof/>
        </w:rPr>
        <w:t xml:space="preserve">Charter of Fundamental Rights of the </w:t>
      </w:r>
      <w:r w:rsidR="00B67DB4" w:rsidRPr="384F7AB1">
        <w:rPr>
          <w:rFonts w:eastAsia="Times New Roman"/>
          <w:noProof/>
        </w:rPr>
        <w:t>European Union (the Charter) and the European Convention on Human Rights (ECHR), particularly in areas where Euroj</w:t>
      </w:r>
      <w:r w:rsidR="006746C8" w:rsidRPr="384F7AB1">
        <w:rPr>
          <w:rFonts w:eastAsia="Times New Roman"/>
          <w:noProof/>
        </w:rPr>
        <w:t xml:space="preserve">ust’s expanded mandate would intersect with </w:t>
      </w:r>
      <w:r w:rsidR="2E6285E0" w:rsidRPr="384F7AB1">
        <w:rPr>
          <w:rFonts w:eastAsia="Times New Roman"/>
          <w:noProof/>
        </w:rPr>
        <w:t xml:space="preserve">criminal </w:t>
      </w:r>
      <w:r w:rsidR="006746C8" w:rsidRPr="384F7AB1">
        <w:rPr>
          <w:rFonts w:eastAsia="Times New Roman"/>
          <w:noProof/>
        </w:rPr>
        <w:t>procedural safeguards and data protection</w:t>
      </w:r>
      <w:r w:rsidRPr="384F7AB1">
        <w:rPr>
          <w:rStyle w:val="FootnoteReference"/>
          <w:rFonts w:eastAsia="Times New Roman"/>
          <w:noProof/>
        </w:rPr>
        <w:footnoteReference w:id="145"/>
      </w:r>
      <w:r w:rsidR="006746C8" w:rsidRPr="384F7AB1">
        <w:rPr>
          <w:rFonts w:eastAsia="Times New Roman"/>
          <w:noProof/>
        </w:rPr>
        <w:t xml:space="preserve">. </w:t>
      </w:r>
    </w:p>
    <w:p w14:paraId="4CABF12F" w14:textId="483A2DEE" w:rsidR="00B60186" w:rsidRPr="00084999" w:rsidRDefault="601B5637" w:rsidP="7206463B">
      <w:pPr>
        <w:spacing w:after="120"/>
        <w:rPr>
          <w:noProof/>
        </w:rPr>
      </w:pPr>
      <w:r w:rsidRPr="00E16E7D">
        <w:rPr>
          <w:rFonts w:eastAsia="Times New Roman"/>
          <w:i/>
          <w:iCs/>
          <w:noProof/>
          <w:lang w:val="en-US"/>
        </w:rPr>
        <w:t>Protection of personal data</w:t>
      </w:r>
      <w:r w:rsidRPr="1A3C93C9">
        <w:rPr>
          <w:rFonts w:eastAsia="Times New Roman"/>
          <w:noProof/>
          <w:u w:val="single"/>
          <w:lang w:val="en-US"/>
        </w:rPr>
        <w:t xml:space="preserve"> </w:t>
      </w:r>
    </w:p>
    <w:p w14:paraId="3449AB0F" w14:textId="7B00EF0E" w:rsidR="00B60186" w:rsidRPr="00E16E7D" w:rsidRDefault="00B60186" w:rsidP="00B60186">
      <w:pPr>
        <w:spacing w:after="120"/>
        <w:rPr>
          <w:rFonts w:eastAsia="Times New Roman"/>
          <w:bCs/>
          <w:noProof/>
          <w:u w:val="single"/>
          <w:lang w:val="en-US"/>
        </w:rPr>
      </w:pPr>
      <w:r w:rsidRPr="00E16E7D">
        <w:rPr>
          <w:rFonts w:eastAsia="Times New Roman"/>
          <w:noProof/>
          <w:lang w:val="en-US"/>
        </w:rPr>
        <w:t>The preferred policy option</w:t>
      </w:r>
      <w:r w:rsidR="000B4ADB">
        <w:rPr>
          <w:rFonts w:eastAsia="Times New Roman"/>
          <w:noProof/>
          <w:lang w:val="en-US"/>
        </w:rPr>
        <w:t xml:space="preserve">, </w:t>
      </w:r>
      <w:r w:rsidRPr="00E16E7D">
        <w:rPr>
          <w:rFonts w:eastAsia="Times New Roman"/>
          <w:noProof/>
          <w:lang w:val="en-US"/>
        </w:rPr>
        <w:t>particularly th</w:t>
      </w:r>
      <w:r w:rsidR="0041495B">
        <w:rPr>
          <w:rFonts w:eastAsia="Times New Roman"/>
          <w:noProof/>
          <w:lang w:val="en-US"/>
        </w:rPr>
        <w:t>e measures</w:t>
      </w:r>
      <w:r w:rsidRPr="00E16E7D">
        <w:rPr>
          <w:rFonts w:eastAsia="Times New Roman"/>
          <w:noProof/>
          <w:lang w:val="en-US"/>
        </w:rPr>
        <w:t xml:space="preserve"> enhancing data exchange with </w:t>
      </w:r>
      <w:r w:rsidRPr="00E16E7D">
        <w:rPr>
          <w:rFonts w:eastAsia="Times New Roman"/>
          <w:b/>
          <w:bCs/>
          <w:noProof/>
          <w:lang w:val="en-US"/>
        </w:rPr>
        <w:t>Europol, the EPPO, and third countries</w:t>
      </w:r>
      <w:r w:rsidRPr="00E16E7D">
        <w:rPr>
          <w:rFonts w:eastAsia="Times New Roman"/>
          <w:noProof/>
          <w:lang w:val="en-US"/>
        </w:rPr>
        <w:t xml:space="preserve"> (such as </w:t>
      </w:r>
      <w:r w:rsidRPr="00E16E7D">
        <w:rPr>
          <w:rFonts w:eastAsia="Times New Roman"/>
          <w:b/>
          <w:bCs/>
          <w:noProof/>
          <w:lang w:val="en-US"/>
        </w:rPr>
        <w:t>D.PO3, E.PO2, and F.PO2</w:t>
      </w:r>
      <w:r w:rsidRPr="00E16E7D">
        <w:rPr>
          <w:rFonts w:eastAsia="Times New Roman"/>
          <w:noProof/>
          <w:lang w:val="en-US"/>
        </w:rPr>
        <w:t>)</w:t>
      </w:r>
      <w:r w:rsidR="000B4ADB">
        <w:rPr>
          <w:rFonts w:eastAsia="Times New Roman"/>
          <w:noProof/>
          <w:lang w:val="en-US"/>
        </w:rPr>
        <w:t xml:space="preserve">, </w:t>
      </w:r>
      <w:r w:rsidRPr="00E16E7D">
        <w:rPr>
          <w:rFonts w:eastAsia="Times New Roman"/>
          <w:noProof/>
          <w:lang w:val="en-US"/>
        </w:rPr>
        <w:t>will increase the volume and scope of personal data processing. While this strengthens operational cooperation, it also introduces risks that must be carefully managed.</w:t>
      </w:r>
    </w:p>
    <w:p w14:paraId="32354E01" w14:textId="7644D757" w:rsidR="00B60186" w:rsidRPr="00E16E7D" w:rsidRDefault="35B68DDF" w:rsidP="00B60186">
      <w:pPr>
        <w:spacing w:after="120"/>
        <w:rPr>
          <w:rFonts w:eastAsia="Times New Roman"/>
          <w:noProof/>
          <w:lang w:val="en-US"/>
        </w:rPr>
      </w:pPr>
      <w:r w:rsidRPr="07306001">
        <w:rPr>
          <w:rFonts w:eastAsia="Times New Roman"/>
          <w:noProof/>
          <w:lang w:val="en-US"/>
        </w:rPr>
        <w:t xml:space="preserve">To mitigate these risks, </w:t>
      </w:r>
      <w:r w:rsidRPr="07306001">
        <w:rPr>
          <w:rFonts w:eastAsia="Times New Roman"/>
          <w:b/>
          <w:bCs/>
          <w:noProof/>
          <w:lang w:val="en-US"/>
        </w:rPr>
        <w:t>strict legal bases</w:t>
      </w:r>
      <w:r w:rsidRPr="07306001">
        <w:rPr>
          <w:rFonts w:eastAsia="Times New Roman"/>
          <w:noProof/>
          <w:lang w:val="en-US"/>
        </w:rPr>
        <w:t xml:space="preserve"> for data exchange w</w:t>
      </w:r>
      <w:r w:rsidR="493C6439" w:rsidRPr="07306001">
        <w:rPr>
          <w:rFonts w:eastAsia="Times New Roman"/>
          <w:noProof/>
          <w:lang w:val="en-US"/>
        </w:rPr>
        <w:t>ill</w:t>
      </w:r>
      <w:r w:rsidR="70F50EF2" w:rsidRPr="07306001">
        <w:rPr>
          <w:rFonts w:eastAsia="Times New Roman"/>
          <w:noProof/>
          <w:lang w:val="en-US"/>
        </w:rPr>
        <w:t xml:space="preserve"> </w:t>
      </w:r>
      <w:r w:rsidRPr="07306001">
        <w:rPr>
          <w:rFonts w:eastAsia="Times New Roman"/>
          <w:noProof/>
          <w:lang w:val="en-US"/>
        </w:rPr>
        <w:t xml:space="preserve">be established, ensuring that shared data is limited to what is </w:t>
      </w:r>
      <w:r w:rsidRPr="07306001">
        <w:rPr>
          <w:rFonts w:eastAsia="Times New Roman"/>
          <w:b/>
          <w:bCs/>
          <w:noProof/>
          <w:lang w:val="en-US"/>
        </w:rPr>
        <w:t>necessary and proportionate</w:t>
      </w:r>
      <w:r w:rsidRPr="07306001">
        <w:rPr>
          <w:rFonts w:eastAsia="Times New Roman"/>
          <w:noProof/>
          <w:lang w:val="en-US"/>
        </w:rPr>
        <w:t xml:space="preserve"> for judicial cooperation. </w:t>
      </w:r>
      <w:r w:rsidRPr="07306001">
        <w:rPr>
          <w:rFonts w:eastAsia="Times New Roman"/>
          <w:b/>
          <w:bCs/>
          <w:noProof/>
          <w:lang w:val="en-US"/>
        </w:rPr>
        <w:t>Purpose limitation safeguards</w:t>
      </w:r>
      <w:r w:rsidRPr="07306001">
        <w:rPr>
          <w:rFonts w:eastAsia="Times New Roman"/>
          <w:noProof/>
          <w:lang w:val="en-US"/>
        </w:rPr>
        <w:t xml:space="preserve"> will prevent the use of data for unintended objectives, while </w:t>
      </w:r>
      <w:r w:rsidRPr="07306001">
        <w:rPr>
          <w:rFonts w:eastAsia="Times New Roman"/>
          <w:b/>
          <w:bCs/>
          <w:noProof/>
          <w:lang w:val="en-US"/>
        </w:rPr>
        <w:t>oversight by the European Data Protection Supervisor (EDPS)</w:t>
      </w:r>
      <w:r w:rsidRPr="07306001">
        <w:rPr>
          <w:rFonts w:eastAsia="Times New Roman"/>
          <w:noProof/>
          <w:lang w:val="en-US"/>
        </w:rPr>
        <w:t xml:space="preserve"> will ensure compliance with EU standards, particularly for transfers to third countries. </w:t>
      </w:r>
      <w:r w:rsidR="462F5E2A" w:rsidRPr="07306001">
        <w:rPr>
          <w:rFonts w:eastAsia="Times New Roman"/>
          <w:noProof/>
          <w:lang w:val="en-US"/>
        </w:rPr>
        <w:t>A</w:t>
      </w:r>
      <w:r w:rsidRPr="07306001">
        <w:rPr>
          <w:rFonts w:eastAsia="Times New Roman"/>
          <w:noProof/>
          <w:lang w:val="en-US"/>
        </w:rPr>
        <w:t xml:space="preserve"> revision</w:t>
      </w:r>
      <w:r w:rsidR="462F5E2A" w:rsidRPr="07306001">
        <w:rPr>
          <w:rFonts w:eastAsia="Times New Roman"/>
          <w:noProof/>
          <w:lang w:val="en-US"/>
        </w:rPr>
        <w:t xml:space="preserve"> of the EJR</w:t>
      </w:r>
      <w:r w:rsidRPr="07306001">
        <w:rPr>
          <w:rFonts w:eastAsia="Times New Roman"/>
          <w:noProof/>
          <w:lang w:val="en-US"/>
        </w:rPr>
        <w:t xml:space="preserve"> will also align with the </w:t>
      </w:r>
      <w:r w:rsidRPr="07306001">
        <w:rPr>
          <w:rFonts w:eastAsia="Times New Roman"/>
          <w:b/>
          <w:bCs/>
          <w:noProof/>
          <w:lang w:val="en-US"/>
        </w:rPr>
        <w:t xml:space="preserve">parallel revision of </w:t>
      </w:r>
      <w:r w:rsidR="0FFBC1FF" w:rsidRPr="07306001">
        <w:rPr>
          <w:rFonts w:eastAsia="Times New Roman"/>
          <w:b/>
          <w:bCs/>
          <w:noProof/>
          <w:lang w:val="en-US"/>
        </w:rPr>
        <w:t>Chapter IX of the</w:t>
      </w:r>
      <w:r w:rsidRPr="07306001">
        <w:rPr>
          <w:rFonts w:eastAsia="Times New Roman"/>
          <w:b/>
          <w:bCs/>
          <w:noProof/>
          <w:lang w:val="en-US"/>
        </w:rPr>
        <w:t xml:space="preserve"> EUDPR</w:t>
      </w:r>
      <w:r w:rsidRPr="07306001">
        <w:rPr>
          <w:rFonts w:eastAsia="Times New Roman"/>
          <w:noProof/>
          <w:lang w:val="en-US"/>
        </w:rPr>
        <w:t>, which will provide harmonised rules for all JHA agencies, further reinforcing data protection.</w:t>
      </w:r>
    </w:p>
    <w:p w14:paraId="26C779AF" w14:textId="4A060B1B" w:rsidR="6133A643" w:rsidRDefault="6133A643" w:rsidP="00390347">
      <w:pPr>
        <w:spacing w:after="160"/>
        <w:rPr>
          <w:rFonts w:eastAsia="Times New Roman"/>
          <w:noProof/>
          <w:lang w:val="en-US"/>
        </w:rPr>
      </w:pPr>
      <w:r w:rsidRPr="07306001">
        <w:rPr>
          <w:rFonts w:eastAsia="Times New Roman"/>
          <w:noProof/>
          <w:lang w:val="en-US"/>
        </w:rPr>
        <w:t>As previously explained, data protection rules and processing envisaged will not be “</w:t>
      </w:r>
      <w:r w:rsidRPr="00C04E7E">
        <w:rPr>
          <w:rFonts w:eastAsia="Times New Roman"/>
          <w:i/>
          <w:iCs/>
          <w:noProof/>
          <w:lang w:val="en-US"/>
        </w:rPr>
        <w:t>lex specialis</w:t>
      </w:r>
      <w:r w:rsidRPr="07306001">
        <w:rPr>
          <w:rFonts w:eastAsia="Times New Roman"/>
          <w:noProof/>
          <w:lang w:val="en-US"/>
        </w:rPr>
        <w:t xml:space="preserve">” and will comply with the horizontal framework and the safeguards it provides for all JHA agencies and bodies of the EU. </w:t>
      </w:r>
      <w:r w:rsidR="14425E71" w:rsidRPr="07306001">
        <w:rPr>
          <w:rFonts w:eastAsia="Times New Roman"/>
          <w:noProof/>
          <w:lang w:val="en-US"/>
        </w:rPr>
        <w:t>The explanatory memorandum of the draft proposal on</w:t>
      </w:r>
      <w:r w:rsidR="4B2C9E17" w:rsidRPr="07306001">
        <w:rPr>
          <w:rFonts w:eastAsia="Times New Roman"/>
          <w:noProof/>
          <w:lang w:val="en-US"/>
        </w:rPr>
        <w:t xml:space="preserve"> the revision of Chapter IX of the</w:t>
      </w:r>
      <w:r w:rsidR="14425E71" w:rsidRPr="07306001">
        <w:rPr>
          <w:rFonts w:eastAsia="Times New Roman"/>
          <w:noProof/>
          <w:lang w:val="en-US"/>
        </w:rPr>
        <w:t xml:space="preserve"> EUDPR states that the targeted nature of the changes ensures that existing level of data protection is maintained, while providing improvements as regards consistency of applicable rules and further harmonisation. The proposal </w:t>
      </w:r>
      <w:r w:rsidR="4B04E567" w:rsidRPr="07306001">
        <w:rPr>
          <w:rFonts w:eastAsia="Times New Roman"/>
          <w:noProof/>
          <w:lang w:val="en-US"/>
        </w:rPr>
        <w:t xml:space="preserve">will thus </w:t>
      </w:r>
      <w:r w:rsidR="14425E71" w:rsidRPr="07306001">
        <w:rPr>
          <w:rFonts w:eastAsia="Times New Roman"/>
          <w:noProof/>
          <w:lang w:val="en-US"/>
        </w:rPr>
        <w:t>target specific provisions of the EUDPR</w:t>
      </w:r>
      <w:r w:rsidR="76B88C1C" w:rsidRPr="07306001">
        <w:rPr>
          <w:rFonts w:eastAsia="Times New Roman"/>
          <w:noProof/>
          <w:lang w:val="en-US"/>
        </w:rPr>
        <w:t xml:space="preserve"> and will not</w:t>
      </w:r>
      <w:r w:rsidR="14425E71" w:rsidRPr="07306001">
        <w:rPr>
          <w:rFonts w:eastAsia="Times New Roman"/>
          <w:noProof/>
          <w:lang w:val="en-US"/>
        </w:rPr>
        <w:t xml:space="preserve"> alter the overall framework</w:t>
      </w:r>
      <w:r w:rsidR="558CA5C1" w:rsidRPr="07306001">
        <w:rPr>
          <w:rFonts w:eastAsia="Times New Roman"/>
          <w:noProof/>
          <w:lang w:val="en-US"/>
        </w:rPr>
        <w:t>: t</w:t>
      </w:r>
      <w:r w:rsidR="14425E71" w:rsidRPr="07306001">
        <w:rPr>
          <w:rFonts w:eastAsia="Times New Roman"/>
          <w:noProof/>
          <w:lang w:val="en-US"/>
        </w:rPr>
        <w:t>he changes do not involve new policy options, and are expected to have minimal, non-quantifiable impact on fundamental rights.</w:t>
      </w:r>
      <w:r w:rsidR="1B057A2C" w:rsidRPr="07306001">
        <w:rPr>
          <w:rFonts w:eastAsia="Times New Roman"/>
          <w:noProof/>
          <w:lang w:val="en-US"/>
        </w:rPr>
        <w:t xml:space="preserve"> </w:t>
      </w:r>
      <w:r w:rsidR="431404A6" w:rsidRPr="07306001">
        <w:rPr>
          <w:rFonts w:eastAsia="Times New Roman"/>
          <w:noProof/>
          <w:lang w:val="en-US"/>
        </w:rPr>
        <w:t>At the same time, no new legal obstacles are created with regard to the implementation of Eurojust’s tasks, which are streamlined by a more rationalised legal framework.</w:t>
      </w:r>
    </w:p>
    <w:p w14:paraId="52E5E39B" w14:textId="09F29453" w:rsidR="00B60186" w:rsidRPr="00E16E7D" w:rsidRDefault="00B60186" w:rsidP="00B60186">
      <w:pPr>
        <w:spacing w:after="120"/>
        <w:rPr>
          <w:rFonts w:eastAsia="Times New Roman"/>
          <w:noProof/>
          <w:lang w:val="en-US"/>
        </w:rPr>
      </w:pPr>
      <w:r w:rsidRPr="00E16E7D">
        <w:rPr>
          <w:rFonts w:eastAsia="Times New Roman"/>
          <w:i/>
          <w:noProof/>
          <w:lang w:val="en-US"/>
        </w:rPr>
        <w:t>Procedural Safeguards in Criminal Proceedings</w:t>
      </w:r>
    </w:p>
    <w:p w14:paraId="50F93820" w14:textId="29DEF23B" w:rsidR="00B60186" w:rsidRPr="00242D75" w:rsidRDefault="00B60186" w:rsidP="00242D75">
      <w:pPr>
        <w:spacing w:after="120"/>
        <w:rPr>
          <w:noProof/>
        </w:rPr>
      </w:pPr>
      <w:r w:rsidRPr="384F7AB1">
        <w:rPr>
          <w:rFonts w:eastAsia="Times New Roman"/>
          <w:noProof/>
          <w:lang w:val="en-US"/>
        </w:rPr>
        <w:t xml:space="preserve">The </w:t>
      </w:r>
      <w:r w:rsidR="00367E5E" w:rsidRPr="384F7AB1">
        <w:rPr>
          <w:rFonts w:eastAsia="Times New Roman"/>
          <w:noProof/>
          <w:lang w:val="en-US"/>
        </w:rPr>
        <w:t>preferred option</w:t>
      </w:r>
      <w:r w:rsidRPr="384F7AB1">
        <w:rPr>
          <w:rFonts w:eastAsia="Times New Roman"/>
          <w:noProof/>
          <w:lang w:val="en-US"/>
        </w:rPr>
        <w:t xml:space="preserve"> aims to </w:t>
      </w:r>
      <w:r w:rsidRPr="384F7AB1">
        <w:rPr>
          <w:rFonts w:eastAsia="Times New Roman"/>
          <w:b/>
          <w:bCs/>
          <w:noProof/>
          <w:lang w:val="en-US"/>
        </w:rPr>
        <w:t>strengthen Eurojust’s operational role</w:t>
      </w:r>
      <w:r w:rsidRPr="384F7AB1">
        <w:rPr>
          <w:rFonts w:eastAsia="Times New Roman"/>
          <w:noProof/>
          <w:lang w:val="en-US"/>
        </w:rPr>
        <w:t xml:space="preserve"> (e.g., through </w:t>
      </w:r>
      <w:r w:rsidRPr="384F7AB1">
        <w:rPr>
          <w:rFonts w:eastAsia="Times New Roman"/>
          <w:b/>
          <w:bCs/>
          <w:noProof/>
          <w:lang w:val="en-US"/>
        </w:rPr>
        <w:t>A.PO3 and B.PO3</w:t>
      </w:r>
      <w:r w:rsidRPr="384F7AB1">
        <w:rPr>
          <w:rFonts w:eastAsia="Times New Roman"/>
          <w:noProof/>
          <w:lang w:val="en-US"/>
        </w:rPr>
        <w:t>) without compromising core principles of criminal justice</w:t>
      </w:r>
      <w:r w:rsidR="7420A272" w:rsidRPr="384F7AB1">
        <w:rPr>
          <w:rFonts w:eastAsia="Times New Roman"/>
          <w:noProof/>
          <w:lang w:val="en-US"/>
        </w:rPr>
        <w:t xml:space="preserve"> such as the procedural safeguards of suspects and accused persons</w:t>
      </w:r>
      <w:r w:rsidR="2FB7E45B" w:rsidRPr="384F7AB1">
        <w:rPr>
          <w:rFonts w:eastAsia="Times New Roman"/>
          <w:noProof/>
          <w:lang w:val="en-US"/>
        </w:rPr>
        <w:t xml:space="preserve"> which depend </w:t>
      </w:r>
      <w:r w:rsidR="1C8BBADE" w:rsidRPr="0DCF8777">
        <w:rPr>
          <w:rFonts w:eastAsia="Times New Roman"/>
          <w:b/>
          <w:bCs/>
          <w:noProof/>
          <w:lang w:val="en-US"/>
        </w:rPr>
        <w:t>largely on national judicial systems</w:t>
      </w:r>
      <w:r w:rsidR="1C8BBADE" w:rsidRPr="0DCF8777">
        <w:rPr>
          <w:rFonts w:eastAsia="Times New Roman"/>
          <w:noProof/>
          <w:lang w:val="en-US"/>
        </w:rPr>
        <w:t>, which form the procedural framework upon which Eurojust relies in the context of its operational support</w:t>
      </w:r>
      <w:r w:rsidR="6D393CD3" w:rsidRPr="0DCF8777">
        <w:rPr>
          <w:rFonts w:eastAsia="Times New Roman"/>
          <w:noProof/>
          <w:lang w:val="en-US"/>
        </w:rPr>
        <w:t>.</w:t>
      </w:r>
      <w:r w:rsidR="00EF521E">
        <w:rPr>
          <w:rFonts w:eastAsia="Times New Roman"/>
          <w:noProof/>
          <w:lang w:val="en-US"/>
        </w:rPr>
        <w:t xml:space="preserve"> </w:t>
      </w:r>
      <w:r w:rsidR="1C8BBADE" w:rsidRPr="0DCF8777">
        <w:rPr>
          <w:rFonts w:eastAsia="Times New Roman"/>
          <w:noProof/>
          <w:lang w:val="en-US"/>
        </w:rPr>
        <w:t xml:space="preserve">The impact of Eurojust’s intervention is therefore intended to be at least neutral or positive (e.g. preventing a breach of the </w:t>
      </w:r>
      <w:r w:rsidR="1C8BBADE" w:rsidRPr="0DCF8777">
        <w:rPr>
          <w:rFonts w:eastAsia="Times New Roman"/>
          <w:i/>
          <w:iCs/>
          <w:noProof/>
          <w:lang w:val="en-US"/>
        </w:rPr>
        <w:t>ne bis in idem</w:t>
      </w:r>
      <w:r w:rsidR="1C8BBADE" w:rsidRPr="0DCF8777">
        <w:rPr>
          <w:rFonts w:eastAsia="Times New Roman"/>
          <w:noProof/>
          <w:lang w:val="en-US"/>
        </w:rPr>
        <w:t xml:space="preserve"> principle</w:t>
      </w:r>
      <w:r w:rsidR="006858AC" w:rsidRPr="0DCF8777">
        <w:rPr>
          <w:rFonts w:eastAsia="Times New Roman"/>
          <w:noProof/>
          <w:lang w:val="en-US"/>
        </w:rPr>
        <w:t xml:space="preserve"> through enhanc</w:t>
      </w:r>
      <w:r w:rsidR="00EF521E">
        <w:rPr>
          <w:rFonts w:eastAsia="Times New Roman"/>
          <w:noProof/>
          <w:lang w:val="en-US"/>
        </w:rPr>
        <w:t>e</w:t>
      </w:r>
      <w:r w:rsidR="00AB49E0">
        <w:rPr>
          <w:rFonts w:eastAsia="Times New Roman"/>
          <w:noProof/>
          <w:lang w:val="en-US"/>
        </w:rPr>
        <w:t>d</w:t>
      </w:r>
      <w:r w:rsidR="006858AC" w:rsidRPr="0DCF8777">
        <w:rPr>
          <w:rFonts w:eastAsia="Times New Roman"/>
          <w:noProof/>
          <w:lang w:val="en-US"/>
        </w:rPr>
        <w:t xml:space="preserve"> coordination mechanisms</w:t>
      </w:r>
      <w:r w:rsidR="1C8BBADE" w:rsidRPr="0DCF8777">
        <w:rPr>
          <w:rFonts w:eastAsia="Times New Roman"/>
          <w:noProof/>
          <w:lang w:val="en-US"/>
        </w:rPr>
        <w:t>).</w:t>
      </w:r>
    </w:p>
    <w:p w14:paraId="4F58EDB1" w14:textId="25BA1E20" w:rsidR="003145A1" w:rsidRPr="003145A1" w:rsidRDefault="00B60186" w:rsidP="00504DA1">
      <w:pPr>
        <w:rPr>
          <w:noProof/>
          <w:lang w:val="en-US"/>
        </w:rPr>
      </w:pPr>
      <w:r w:rsidRPr="00E16E7D">
        <w:rPr>
          <w:rFonts w:eastAsia="Times New Roman"/>
          <w:noProof/>
          <w:lang w:val="en-US"/>
        </w:rPr>
        <w:t xml:space="preserve">Key safeguards will ensure that Eurojust’s role remains </w:t>
      </w:r>
      <w:r w:rsidRPr="00E16E7D">
        <w:rPr>
          <w:rFonts w:eastAsia="Times New Roman"/>
          <w:b/>
          <w:bCs/>
          <w:noProof/>
          <w:lang w:val="en-US"/>
        </w:rPr>
        <w:t>supportive and coordinative</w:t>
      </w:r>
      <w:r w:rsidRPr="00E16E7D">
        <w:rPr>
          <w:rFonts w:eastAsia="Times New Roman"/>
          <w:noProof/>
          <w:lang w:val="en-US"/>
        </w:rPr>
        <w:t xml:space="preserve">, avoiding any interference with national judicial independence. </w:t>
      </w:r>
      <w:r w:rsidRPr="00E16E7D">
        <w:rPr>
          <w:rFonts w:eastAsia="Times New Roman"/>
          <w:b/>
          <w:bCs/>
          <w:noProof/>
          <w:lang w:val="en-US"/>
        </w:rPr>
        <w:t>Transparency and legal remedies</w:t>
      </w:r>
      <w:r w:rsidRPr="00E16E7D">
        <w:rPr>
          <w:rFonts w:eastAsia="Times New Roman"/>
          <w:noProof/>
          <w:lang w:val="en-US"/>
        </w:rPr>
        <w:t xml:space="preserve"> will be embedded in operational procedures, providing clear avenues for individuals to challenge data processing or operational decisions that </w:t>
      </w:r>
      <w:r w:rsidR="77EA8961" w:rsidRPr="4AFED11A">
        <w:rPr>
          <w:rFonts w:eastAsia="Times New Roman"/>
          <w:noProof/>
          <w:lang w:val="en-US"/>
        </w:rPr>
        <w:t>might</w:t>
      </w:r>
      <w:r w:rsidR="76C778C4" w:rsidRPr="4AFED11A">
        <w:rPr>
          <w:rFonts w:eastAsia="Times New Roman"/>
          <w:noProof/>
          <w:lang w:val="en-US"/>
        </w:rPr>
        <w:t xml:space="preserve"> </w:t>
      </w:r>
      <w:r w:rsidRPr="00E16E7D">
        <w:rPr>
          <w:rFonts w:eastAsia="Times New Roman"/>
          <w:noProof/>
          <w:lang w:val="en-US"/>
        </w:rPr>
        <w:t>affect their rights.</w:t>
      </w:r>
      <w:r w:rsidR="00EE4E9C">
        <w:rPr>
          <w:rFonts w:eastAsia="Times New Roman"/>
          <w:noProof/>
          <w:lang w:val="en-US"/>
        </w:rPr>
        <w:t xml:space="preserve"> </w:t>
      </w:r>
    </w:p>
    <w:p w14:paraId="6D48CA40" w14:textId="3FB96ED9" w:rsidR="5A232742" w:rsidRPr="00D4396B" w:rsidRDefault="5A232742" w:rsidP="000C3545">
      <w:pPr>
        <w:pStyle w:val="Heading2"/>
        <w:rPr>
          <w:noProof/>
          <w:lang w:val="en-IE"/>
        </w:rPr>
      </w:pPr>
      <w:bookmarkStart w:id="180" w:name="_Toc232176435"/>
      <w:r w:rsidRPr="00D4396B">
        <w:rPr>
          <w:noProof/>
        </w:rPr>
        <w:t>8.3</w:t>
      </w:r>
      <w:r w:rsidR="00E838F0" w:rsidRPr="00D4396B">
        <w:rPr>
          <w:noProof/>
        </w:rPr>
        <w:t>.</w:t>
      </w:r>
      <w:r w:rsidR="00981587">
        <w:rPr>
          <w:noProof/>
        </w:rPr>
        <w:tab/>
      </w:r>
      <w:r w:rsidR="00092A27">
        <w:rPr>
          <w:smallCaps/>
          <w:noProof/>
        </w:rPr>
        <w:t>Refit</w:t>
      </w:r>
      <w:r w:rsidR="00092A27" w:rsidRPr="00D4396B">
        <w:rPr>
          <w:noProof/>
        </w:rPr>
        <w:t> </w:t>
      </w:r>
      <w:r w:rsidRPr="00D4396B">
        <w:rPr>
          <w:noProof/>
        </w:rPr>
        <w:t>(simplification and improved efficiency)</w:t>
      </w:r>
      <w:r w:rsidR="00CD67EB">
        <w:rPr>
          <w:noProof/>
        </w:rPr>
        <w:t xml:space="preserve"> and </w:t>
      </w:r>
      <w:r w:rsidR="001E136E">
        <w:rPr>
          <w:noProof/>
        </w:rPr>
        <w:t>‘one in, one out</w:t>
      </w:r>
      <w:r w:rsidR="00FF0125">
        <w:rPr>
          <w:noProof/>
        </w:rPr>
        <w:t>’</w:t>
      </w:r>
      <w:r w:rsidR="001E136E">
        <w:rPr>
          <w:noProof/>
        </w:rPr>
        <w:t xml:space="preserve"> approach</w:t>
      </w:r>
      <w:bookmarkEnd w:id="180"/>
    </w:p>
    <w:p w14:paraId="6B5A31FD" w14:textId="539B8A2E" w:rsidR="5A232742" w:rsidRPr="00D4396B" w:rsidRDefault="5A232742" w:rsidP="00657EAE">
      <w:pPr>
        <w:pStyle w:val="NormalWeb"/>
        <w:spacing w:before="0" w:beforeAutospacing="0" w:after="120" w:afterAutospacing="0"/>
        <w:jc w:val="both"/>
        <w:rPr>
          <w:bCs/>
          <w:noProof/>
          <w:color w:val="000000" w:themeColor="text1"/>
        </w:rPr>
      </w:pPr>
      <w:r w:rsidRPr="00D4396B">
        <w:rPr>
          <w:noProof/>
          <w:color w:val="000000" w:themeColor="text1"/>
          <w:lang w:val="en-GB"/>
        </w:rPr>
        <w:t xml:space="preserve">In line with the Commission’s Regulatory Fitness and Performance Programme (REFIT), revisions of EU legislation aim to simplify rules and reduce unnecessary administrative burden. </w:t>
      </w:r>
      <w:r w:rsidR="00EC1C28">
        <w:rPr>
          <w:noProof/>
          <w:color w:val="000000" w:themeColor="text1"/>
          <w:lang w:val="en-GB"/>
        </w:rPr>
        <w:t>T</w:t>
      </w:r>
      <w:r w:rsidRPr="00D4396B">
        <w:rPr>
          <w:noProof/>
          <w:color w:val="000000" w:themeColor="text1"/>
          <w:lang w:val="en-GB"/>
        </w:rPr>
        <w:t xml:space="preserve">he revision of the </w:t>
      </w:r>
      <w:r w:rsidR="007610C8">
        <w:rPr>
          <w:noProof/>
          <w:color w:val="000000" w:themeColor="text1"/>
          <w:lang w:val="en-GB"/>
        </w:rPr>
        <w:t>EJR</w:t>
      </w:r>
      <w:r w:rsidR="00E95559">
        <w:rPr>
          <w:noProof/>
          <w:color w:val="000000" w:themeColor="text1"/>
          <w:lang w:val="en-GB"/>
        </w:rPr>
        <w:t xml:space="preserve"> complies with this approach</w:t>
      </w:r>
      <w:r w:rsidRPr="00D4396B">
        <w:rPr>
          <w:noProof/>
          <w:color w:val="000000" w:themeColor="text1"/>
          <w:lang w:val="en-GB"/>
        </w:rPr>
        <w:t xml:space="preserve"> </w:t>
      </w:r>
      <w:r w:rsidR="00C036EB">
        <w:rPr>
          <w:noProof/>
          <w:color w:val="000000" w:themeColor="text1"/>
          <w:lang w:val="en-GB"/>
        </w:rPr>
        <w:t xml:space="preserve">as it </w:t>
      </w:r>
      <w:r w:rsidRPr="00D4396B">
        <w:rPr>
          <w:noProof/>
          <w:color w:val="000000" w:themeColor="text1"/>
          <w:lang w:val="en-GB"/>
        </w:rPr>
        <w:t xml:space="preserve">seeks to </w:t>
      </w:r>
      <w:r w:rsidR="00047ABF">
        <w:rPr>
          <w:noProof/>
          <w:color w:val="000000" w:themeColor="text1"/>
          <w:lang w:val="en-GB"/>
        </w:rPr>
        <w:t xml:space="preserve">streamline the </w:t>
      </w:r>
      <w:r w:rsidR="00FB2614">
        <w:rPr>
          <w:noProof/>
          <w:color w:val="000000" w:themeColor="text1"/>
          <w:lang w:val="en-GB"/>
        </w:rPr>
        <w:t>A</w:t>
      </w:r>
      <w:r w:rsidR="00B55348">
        <w:rPr>
          <w:noProof/>
          <w:color w:val="000000" w:themeColor="text1"/>
          <w:lang w:val="en-GB"/>
        </w:rPr>
        <w:t xml:space="preserve">gency’s </w:t>
      </w:r>
      <w:r w:rsidR="00A87DC1">
        <w:rPr>
          <w:noProof/>
          <w:color w:val="000000" w:themeColor="text1"/>
          <w:lang w:val="en-GB"/>
        </w:rPr>
        <w:t xml:space="preserve">decision-making process and </w:t>
      </w:r>
      <w:r w:rsidR="004949AE">
        <w:rPr>
          <w:noProof/>
          <w:color w:val="000000" w:themeColor="text1"/>
          <w:lang w:val="en-GB"/>
        </w:rPr>
        <w:t xml:space="preserve">more generally to improve efficient </w:t>
      </w:r>
      <w:r w:rsidR="007E18D4">
        <w:rPr>
          <w:noProof/>
          <w:color w:val="000000" w:themeColor="text1"/>
          <w:lang w:val="en-GB"/>
        </w:rPr>
        <w:t xml:space="preserve">cross-border </w:t>
      </w:r>
      <w:r w:rsidR="004908F5">
        <w:rPr>
          <w:noProof/>
          <w:color w:val="000000" w:themeColor="text1"/>
          <w:lang w:val="en-GB"/>
        </w:rPr>
        <w:t>coordination</w:t>
      </w:r>
      <w:r w:rsidR="6BC3F607" w:rsidRPr="00D4396B">
        <w:rPr>
          <w:noProof/>
          <w:color w:val="000000" w:themeColor="text1"/>
          <w:lang w:val="en-GB"/>
        </w:rPr>
        <w:t>.</w:t>
      </w:r>
    </w:p>
    <w:p w14:paraId="1976D903" w14:textId="7B2616C1" w:rsidR="75955546" w:rsidRPr="00D4396B" w:rsidRDefault="5A232742" w:rsidP="00657EAE">
      <w:pPr>
        <w:pStyle w:val="NormalWeb"/>
        <w:spacing w:before="0" w:beforeAutospacing="0" w:after="120" w:afterAutospacing="0"/>
        <w:jc w:val="both"/>
        <w:rPr>
          <w:noProof/>
          <w:color w:val="000000" w:themeColor="text1"/>
        </w:rPr>
      </w:pPr>
      <w:r w:rsidRPr="00D4396B">
        <w:rPr>
          <w:noProof/>
          <w:color w:val="000000" w:themeColor="text1"/>
          <w:lang w:val="en-GB"/>
        </w:rPr>
        <w:t xml:space="preserve">This initiative </w:t>
      </w:r>
      <w:r w:rsidRPr="00D4396B">
        <w:rPr>
          <w:b/>
          <w:bCs/>
          <w:noProof/>
          <w:color w:val="000000" w:themeColor="text1"/>
          <w:lang w:val="en-GB"/>
        </w:rPr>
        <w:t>does not impose administrative costs on businesses</w:t>
      </w:r>
      <w:r w:rsidRPr="00D4396B">
        <w:rPr>
          <w:noProof/>
          <w:color w:val="000000" w:themeColor="text1"/>
          <w:lang w:val="en-GB"/>
        </w:rPr>
        <w:t xml:space="preserve"> and therefore does not trigger the ‘</w:t>
      </w:r>
      <w:r w:rsidRPr="00D4396B">
        <w:rPr>
          <w:i/>
          <w:iCs/>
          <w:noProof/>
          <w:color w:val="000000" w:themeColor="text1"/>
          <w:lang w:val="en-GB"/>
        </w:rPr>
        <w:t>one in, one out</w:t>
      </w:r>
      <w:r w:rsidRPr="00D4396B">
        <w:rPr>
          <w:noProof/>
          <w:color w:val="000000" w:themeColor="text1"/>
          <w:lang w:val="en-GB"/>
        </w:rPr>
        <w:t xml:space="preserve">’ adjustment mechanism. The measures concern </w:t>
      </w:r>
      <w:r w:rsidR="4806E22E" w:rsidRPr="00D4396B">
        <w:rPr>
          <w:noProof/>
          <w:color w:val="000000" w:themeColor="text1"/>
          <w:lang w:val="en-GB"/>
        </w:rPr>
        <w:t xml:space="preserve">an EU entity and </w:t>
      </w:r>
      <w:r w:rsidRPr="00D4396B">
        <w:rPr>
          <w:noProof/>
          <w:color w:val="000000" w:themeColor="text1"/>
          <w:lang w:val="en-GB"/>
        </w:rPr>
        <w:t>public authorities involved in judicial cooperation and do not introduce new regulatory obligations for the private sector.</w:t>
      </w:r>
      <w:r w:rsidR="00700FE1">
        <w:rPr>
          <w:noProof/>
          <w:color w:val="000000" w:themeColor="text1"/>
          <w:lang w:val="en-GB"/>
        </w:rPr>
        <w:t xml:space="preserve"> T</w:t>
      </w:r>
      <w:r>
        <w:rPr>
          <w:noProof/>
        </w:rPr>
        <w:t>he</w:t>
      </w:r>
      <w:r w:rsidRPr="00D4396B">
        <w:rPr>
          <w:noProof/>
        </w:rPr>
        <w:t xml:space="preserve"> initiative is expected to generate significant public benefits by strengthening the Union’s capacity to combat serious </w:t>
      </w:r>
      <w:r w:rsidR="4B1D8DAB" w:rsidRPr="00D4396B">
        <w:rPr>
          <w:noProof/>
          <w:color w:val="000000" w:themeColor="text1"/>
        </w:rPr>
        <w:t>cross</w:t>
      </w:r>
      <w:r w:rsidR="00231A6C" w:rsidRPr="00D4396B">
        <w:rPr>
          <w:noProof/>
          <w:color w:val="000000" w:themeColor="text1"/>
        </w:rPr>
        <w:t>-</w:t>
      </w:r>
      <w:r w:rsidR="4B1D8DAB" w:rsidRPr="00D4396B">
        <w:rPr>
          <w:noProof/>
          <w:color w:val="000000" w:themeColor="text1"/>
        </w:rPr>
        <w:t>border</w:t>
      </w:r>
      <w:r w:rsidRPr="00D4396B">
        <w:rPr>
          <w:noProof/>
          <w:color w:val="000000" w:themeColor="text1"/>
        </w:rPr>
        <w:t xml:space="preserve"> crime</w:t>
      </w:r>
      <w:r w:rsidR="00B26B8A" w:rsidRPr="00D4396B">
        <w:rPr>
          <w:noProof/>
          <w:color w:val="000000" w:themeColor="text1"/>
        </w:rPr>
        <w:t>, thereby</w:t>
      </w:r>
      <w:r w:rsidR="007615A7" w:rsidRPr="00D4396B">
        <w:rPr>
          <w:noProof/>
          <w:color w:val="000000" w:themeColor="text1"/>
        </w:rPr>
        <w:t xml:space="preserve"> </w:t>
      </w:r>
      <w:r w:rsidR="00B26B8A" w:rsidRPr="00D4396B">
        <w:rPr>
          <w:noProof/>
          <w:color w:val="000000" w:themeColor="text1"/>
        </w:rPr>
        <w:t>reinforcing public trust and supporting the proper functioning of the internal market</w:t>
      </w:r>
      <w:r w:rsidRPr="00D4396B">
        <w:rPr>
          <w:noProof/>
          <w:color w:val="000000" w:themeColor="text1"/>
        </w:rPr>
        <w:t>.</w:t>
      </w:r>
    </w:p>
    <w:p w14:paraId="17B91560" w14:textId="76ADD0BB" w:rsidR="50F58EFC" w:rsidRPr="00D4396B" w:rsidRDefault="56FAC667" w:rsidP="00781830">
      <w:pPr>
        <w:pStyle w:val="Heading1"/>
        <w:rPr>
          <w:noProof/>
        </w:rPr>
      </w:pPr>
      <w:bookmarkStart w:id="181" w:name="_Toc1703595474"/>
      <w:bookmarkStart w:id="182" w:name="_Toc1663037708"/>
      <w:bookmarkStart w:id="183" w:name="_Toc221260319"/>
      <w:bookmarkStart w:id="184" w:name="_Toc232176436"/>
      <w:r w:rsidRPr="00D4396B">
        <w:rPr>
          <w:noProof/>
        </w:rPr>
        <w:t>9</w:t>
      </w:r>
      <w:r w:rsidR="4FBD3165" w:rsidRPr="00D4396B">
        <w:rPr>
          <w:noProof/>
        </w:rPr>
        <w:t>.</w:t>
      </w:r>
      <w:r w:rsidR="4C4BB058" w:rsidRPr="00D4396B">
        <w:rPr>
          <w:noProof/>
        </w:rPr>
        <w:tab/>
      </w:r>
      <w:r w:rsidR="12E62A1A" w:rsidRPr="00D4396B">
        <w:rPr>
          <w:noProof/>
        </w:rPr>
        <w:t>How will actual impacts be monitored and evaluated?</w:t>
      </w:r>
      <w:bookmarkEnd w:id="181"/>
      <w:bookmarkEnd w:id="182"/>
      <w:bookmarkEnd w:id="183"/>
      <w:bookmarkEnd w:id="184"/>
    </w:p>
    <w:p w14:paraId="3DE29D6A" w14:textId="262FA535" w:rsidR="50F58EFC" w:rsidRDefault="071489EF" w:rsidP="5241A12B">
      <w:pPr>
        <w:spacing w:after="120"/>
        <w:rPr>
          <w:rFonts w:eastAsia="Times New Roman"/>
          <w:noProof/>
          <w:color w:val="000000" w:themeColor="text1"/>
        </w:rPr>
      </w:pPr>
      <w:r w:rsidRPr="522EFC56">
        <w:rPr>
          <w:rFonts w:eastAsia="Times New Roman"/>
          <w:noProof/>
          <w:color w:val="000000" w:themeColor="text1"/>
        </w:rPr>
        <w:t xml:space="preserve">Putting in place a structured framework for monitoring and evaluation will help ensure that the strengthened mandate under the preferred policy option translates into measurable operational, strategic and systemic benefits. Monitoring arrangements will build on the mechanisms already established under </w:t>
      </w:r>
      <w:r w:rsidRPr="522EFC56">
        <w:rPr>
          <w:rFonts w:eastAsia="Times New Roman"/>
          <w:b/>
          <w:bCs/>
          <w:noProof/>
          <w:color w:val="000000" w:themeColor="text1"/>
        </w:rPr>
        <w:t>Article 69 of the E</w:t>
      </w:r>
      <w:r w:rsidR="4235C407" w:rsidRPr="522EFC56">
        <w:rPr>
          <w:rFonts w:eastAsia="Times New Roman"/>
          <w:b/>
          <w:bCs/>
          <w:noProof/>
          <w:color w:val="000000" w:themeColor="text1"/>
        </w:rPr>
        <w:t>JR</w:t>
      </w:r>
      <w:r w:rsidRPr="522EFC56">
        <w:rPr>
          <w:rFonts w:eastAsia="Times New Roman"/>
          <w:noProof/>
          <w:color w:val="000000" w:themeColor="text1"/>
        </w:rPr>
        <w:t xml:space="preserve"> (subject to potential renumbering without changing its substance), which foresees periodic evaluations of Eurojust’s impact, effectiveness and efficiency. These mechanisms will be complemented by a refined indicator framework aligned with the specific and operational objectives of the preferred option.</w:t>
      </w:r>
    </w:p>
    <w:p w14:paraId="78BB807D" w14:textId="690D6F20" w:rsidR="00521898" w:rsidRPr="00E16DF6" w:rsidRDefault="006E7F2A" w:rsidP="000C3545">
      <w:pPr>
        <w:pStyle w:val="Heading3"/>
        <w:rPr>
          <w:noProof/>
          <w:u w:val="single"/>
          <w:lang w:val="en-IE"/>
        </w:rPr>
      </w:pPr>
      <w:bookmarkStart w:id="185" w:name="_Toc232176437"/>
      <w:r>
        <w:rPr>
          <w:noProof/>
          <w:lang w:val="en-IE"/>
        </w:rPr>
        <w:t>9.1</w:t>
      </w:r>
      <w:r w:rsidR="00521898" w:rsidRPr="00E16DF6">
        <w:rPr>
          <w:noProof/>
          <w:lang w:val="en-IE"/>
        </w:rPr>
        <w:t>.</w:t>
      </w:r>
      <w:r w:rsidR="00521898" w:rsidRPr="000734DB">
        <w:rPr>
          <w:noProof/>
          <w:lang w:val="en-IE"/>
        </w:rPr>
        <w:t xml:space="preserve"> Measurable indicators</w:t>
      </w:r>
      <w:r w:rsidR="00E131D1">
        <w:rPr>
          <w:noProof/>
          <w:lang w:val="en-IE"/>
        </w:rPr>
        <w:t xml:space="preserve"> </w:t>
      </w:r>
      <w:r w:rsidR="002D073E">
        <w:rPr>
          <w:noProof/>
          <w:lang w:val="en-IE"/>
        </w:rPr>
        <w:t xml:space="preserve">of </w:t>
      </w:r>
      <w:r w:rsidR="002D073E" w:rsidRPr="000734DB">
        <w:rPr>
          <w:noProof/>
          <w:lang w:val="en-IE"/>
        </w:rPr>
        <w:t>success</w:t>
      </w:r>
      <w:r w:rsidR="00E131D1">
        <w:rPr>
          <w:noProof/>
          <w:lang w:val="en-IE"/>
        </w:rPr>
        <w:t xml:space="preserve"> and </w:t>
      </w:r>
      <w:r w:rsidR="002D073E">
        <w:rPr>
          <w:noProof/>
          <w:lang w:val="en-IE"/>
        </w:rPr>
        <w:t xml:space="preserve">proposed </w:t>
      </w:r>
      <w:r w:rsidR="00E131D1">
        <w:rPr>
          <w:noProof/>
          <w:lang w:val="en-IE"/>
        </w:rPr>
        <w:t>targets</w:t>
      </w:r>
      <w:bookmarkEnd w:id="185"/>
    </w:p>
    <w:p w14:paraId="4C3D35C5" w14:textId="5E2791BA" w:rsidR="00521898" w:rsidRPr="00643E6E" w:rsidRDefault="00521898" w:rsidP="00521898">
      <w:pPr>
        <w:spacing w:after="120"/>
        <w:rPr>
          <w:rFonts w:eastAsia="Times New Roman"/>
          <w:noProof/>
          <w:lang w:val="en-IE"/>
        </w:rPr>
      </w:pPr>
      <w:r>
        <w:rPr>
          <w:rFonts w:eastAsia="Times New Roman"/>
          <w:noProof/>
          <w:lang w:val="en-IE"/>
        </w:rPr>
        <w:t>As regards the SMART</w:t>
      </w:r>
      <w:r>
        <w:rPr>
          <w:rStyle w:val="FootnoteReference"/>
          <w:rFonts w:eastAsia="Times New Roman"/>
          <w:noProof/>
          <w:lang w:val="en-IE"/>
        </w:rPr>
        <w:footnoteReference w:id="146"/>
      </w:r>
      <w:r>
        <w:rPr>
          <w:rFonts w:eastAsia="Times New Roman"/>
          <w:noProof/>
          <w:lang w:val="en-IE"/>
        </w:rPr>
        <w:t xml:space="preserve"> objectives specified in </w:t>
      </w:r>
      <w:r w:rsidRPr="47290179">
        <w:rPr>
          <w:rFonts w:eastAsia="Times New Roman"/>
          <w:noProof/>
          <w:lang w:val="en-IE"/>
        </w:rPr>
        <w:t>chapter</w:t>
      </w:r>
      <w:r>
        <w:rPr>
          <w:rFonts w:eastAsia="Times New Roman"/>
          <w:noProof/>
          <w:lang w:val="en-IE"/>
        </w:rPr>
        <w:t xml:space="preserve"> 4.2</w:t>
      </w:r>
      <w:r w:rsidRPr="00643E6E">
        <w:rPr>
          <w:rFonts w:eastAsia="Times New Roman"/>
          <w:noProof/>
          <w:lang w:val="en-IE"/>
        </w:rPr>
        <w:t xml:space="preserve">, </w:t>
      </w:r>
      <w:r>
        <w:rPr>
          <w:rFonts w:eastAsia="Times New Roman"/>
          <w:noProof/>
          <w:lang w:val="en-IE"/>
        </w:rPr>
        <w:t>a</w:t>
      </w:r>
      <w:r w:rsidRPr="00643E6E">
        <w:rPr>
          <w:rFonts w:eastAsia="Times New Roman"/>
          <w:noProof/>
          <w:lang w:val="en-IE"/>
        </w:rPr>
        <w:t xml:space="preserve"> successful implementation of the package is expected to deliver the following results</w:t>
      </w:r>
      <w:r w:rsidR="00AF6E9C">
        <w:rPr>
          <w:rFonts w:eastAsia="Times New Roman"/>
          <w:noProof/>
          <w:lang w:val="en-IE"/>
        </w:rPr>
        <w:t>, in terms of the following RACER</w:t>
      </w:r>
      <w:r w:rsidR="00CB26B3">
        <w:rPr>
          <w:rStyle w:val="FootnoteReference"/>
          <w:rFonts w:eastAsia="Times New Roman"/>
          <w:noProof/>
          <w:lang w:val="en-IE"/>
        </w:rPr>
        <w:footnoteReference w:id="147"/>
      </w:r>
      <w:r w:rsidR="00AF6E9C">
        <w:rPr>
          <w:rFonts w:eastAsia="Times New Roman"/>
          <w:noProof/>
          <w:lang w:val="en-IE"/>
        </w:rPr>
        <w:t xml:space="preserve"> indicators (</w:t>
      </w:r>
      <w:r w:rsidR="00297FF7">
        <w:rPr>
          <w:rFonts w:eastAsia="Times New Roman"/>
          <w:noProof/>
          <w:lang w:val="en-IE"/>
        </w:rPr>
        <w:t>including baseline</w:t>
      </w:r>
      <w:r w:rsidR="00C92060">
        <w:rPr>
          <w:rFonts w:eastAsia="Times New Roman"/>
          <w:noProof/>
          <w:lang w:val="en-IE"/>
        </w:rPr>
        <w:t xml:space="preserve"> when known</w:t>
      </w:r>
      <w:r w:rsidR="00297FF7">
        <w:rPr>
          <w:rFonts w:eastAsia="Times New Roman"/>
          <w:noProof/>
          <w:lang w:val="en-IE"/>
        </w:rPr>
        <w:t xml:space="preserve">, </w:t>
      </w:r>
      <w:r w:rsidR="00AF6E9C">
        <w:rPr>
          <w:rFonts w:eastAsia="Times New Roman"/>
          <w:noProof/>
          <w:lang w:val="en-IE"/>
        </w:rPr>
        <w:t>quantified targets</w:t>
      </w:r>
      <w:r w:rsidR="00D42995">
        <w:rPr>
          <w:rFonts w:eastAsia="Times New Roman"/>
          <w:noProof/>
          <w:lang w:val="en-IE"/>
        </w:rPr>
        <w:t xml:space="preserve"> and </w:t>
      </w:r>
      <w:r w:rsidR="00AF6E9C">
        <w:rPr>
          <w:rFonts w:eastAsia="Times New Roman"/>
          <w:noProof/>
          <w:lang w:val="en-IE"/>
        </w:rPr>
        <w:t>milestones)</w:t>
      </w:r>
      <w:r>
        <w:rPr>
          <w:rFonts w:eastAsia="Times New Roman"/>
          <w:noProof/>
          <w:lang w:val="en-IE"/>
        </w:rPr>
        <w:t>:</w:t>
      </w:r>
    </w:p>
    <w:p w14:paraId="634491DE" w14:textId="5E5EC98B" w:rsidR="00521898" w:rsidRPr="00B01FE9" w:rsidRDefault="00521898" w:rsidP="008B6BCF">
      <w:pPr>
        <w:pStyle w:val="ListParagraph"/>
        <w:numPr>
          <w:ilvl w:val="0"/>
          <w:numId w:val="16"/>
        </w:numPr>
        <w:spacing w:after="120"/>
        <w:ind w:left="0" w:firstLine="0"/>
        <w:contextualSpacing w:val="0"/>
        <w:rPr>
          <w:rFonts w:eastAsia="Times New Roman"/>
          <w:noProof/>
          <w:lang w:val="en-IE"/>
        </w:rPr>
      </w:pPr>
      <w:r w:rsidRPr="00716F21">
        <w:rPr>
          <w:rFonts w:eastAsia="Times New Roman"/>
          <w:b/>
          <w:noProof/>
          <w:lang w:val="en-IE"/>
        </w:rPr>
        <w:t>Reduced administrative workload of NMs</w:t>
      </w:r>
      <w:r>
        <w:rPr>
          <w:rFonts w:eastAsia="Times New Roman"/>
          <w:noProof/>
          <w:lang w:val="en-IE"/>
        </w:rPr>
        <w:t>:</w:t>
      </w:r>
      <w:r w:rsidRPr="00B01FE9">
        <w:rPr>
          <w:rFonts w:eastAsia="Times New Roman"/>
          <w:noProof/>
          <w:lang w:val="en-IE"/>
        </w:rPr>
        <w:t xml:space="preserve"> </w:t>
      </w:r>
      <w:r>
        <w:rPr>
          <w:rFonts w:eastAsia="Times New Roman"/>
          <w:noProof/>
          <w:lang w:val="en-IE"/>
        </w:rPr>
        <w:t>f</w:t>
      </w:r>
      <w:r w:rsidRPr="00B01FE9">
        <w:rPr>
          <w:rFonts w:eastAsia="Times New Roman"/>
          <w:noProof/>
          <w:lang w:val="en-IE"/>
        </w:rPr>
        <w:t xml:space="preserve">rom a current baseline of </w:t>
      </w:r>
      <w:r w:rsidR="00B611E1">
        <w:rPr>
          <w:rFonts w:eastAsia="Times New Roman"/>
          <w:noProof/>
          <w:lang w:val="en-IE"/>
        </w:rPr>
        <w:t>ca</w:t>
      </w:r>
      <w:r w:rsidRPr="00B01FE9">
        <w:rPr>
          <w:rFonts w:eastAsia="Times New Roman"/>
          <w:noProof/>
          <w:lang w:val="en-IE"/>
        </w:rPr>
        <w:t xml:space="preserve"> 40%</w:t>
      </w:r>
      <w:r w:rsidR="00BC599C">
        <w:rPr>
          <w:rFonts w:eastAsia="Times New Roman"/>
          <w:noProof/>
          <w:lang w:val="en-IE"/>
        </w:rPr>
        <w:t xml:space="preserve"> of their </w:t>
      </w:r>
      <w:r w:rsidR="006B3AF7">
        <w:rPr>
          <w:rFonts w:eastAsia="Times New Roman"/>
          <w:noProof/>
          <w:lang w:val="en-IE"/>
        </w:rPr>
        <w:t xml:space="preserve">overall </w:t>
      </w:r>
      <w:r w:rsidR="00DC2A13">
        <w:rPr>
          <w:rFonts w:eastAsia="Times New Roman"/>
          <w:noProof/>
          <w:lang w:val="en-IE"/>
        </w:rPr>
        <w:t>workload</w:t>
      </w:r>
      <w:r w:rsidRPr="00B01FE9">
        <w:rPr>
          <w:rFonts w:eastAsia="Times New Roman"/>
          <w:noProof/>
          <w:lang w:val="en-IE"/>
        </w:rPr>
        <w:t>, this share is expected to decrease to around 20</w:t>
      </w:r>
      <w:r>
        <w:rPr>
          <w:rFonts w:eastAsia="Times New Roman"/>
          <w:noProof/>
          <w:lang w:val="en-IE"/>
        </w:rPr>
        <w:t>-</w:t>
      </w:r>
      <w:r w:rsidRPr="00B01FE9">
        <w:rPr>
          <w:rFonts w:eastAsia="Times New Roman"/>
          <w:noProof/>
          <w:lang w:val="en-IE"/>
        </w:rPr>
        <w:t xml:space="preserve">25% within two years from the entry into application of the revised Regulation </w:t>
      </w:r>
      <w:r w:rsidR="00B611E1">
        <w:rPr>
          <w:rFonts w:eastAsia="Times New Roman"/>
          <w:noProof/>
          <w:lang w:val="en-IE"/>
        </w:rPr>
        <w:t>(</w:t>
      </w:r>
      <w:r w:rsidRPr="00B01FE9">
        <w:rPr>
          <w:rFonts w:eastAsia="Times New Roman"/>
          <w:noProof/>
          <w:lang w:val="en-IE"/>
        </w:rPr>
        <w:t>taking into account a transitional adjustment period</w:t>
      </w:r>
      <w:r w:rsidR="00B611E1">
        <w:rPr>
          <w:rFonts w:eastAsia="Times New Roman"/>
          <w:noProof/>
          <w:lang w:val="en-IE"/>
        </w:rPr>
        <w:t>)</w:t>
      </w:r>
      <w:r w:rsidRPr="00B01FE9">
        <w:rPr>
          <w:rFonts w:eastAsia="Times New Roman"/>
          <w:noProof/>
          <w:lang w:val="en-IE"/>
        </w:rPr>
        <w:t xml:space="preserve"> and to reach a steady-state level of 10</w:t>
      </w:r>
      <w:r>
        <w:rPr>
          <w:rFonts w:eastAsia="Times New Roman"/>
          <w:noProof/>
          <w:lang w:val="en-IE"/>
        </w:rPr>
        <w:t>-</w:t>
      </w:r>
      <w:r w:rsidRPr="00B01FE9">
        <w:rPr>
          <w:rFonts w:eastAsia="Times New Roman"/>
          <w:noProof/>
          <w:lang w:val="en-IE"/>
        </w:rPr>
        <w:t>15% within five years.</w:t>
      </w:r>
      <w:r w:rsidR="008D3FD7">
        <w:rPr>
          <w:rFonts w:eastAsia="Times New Roman"/>
          <w:noProof/>
          <w:lang w:val="en-IE"/>
        </w:rPr>
        <w:t xml:space="preserve"> </w:t>
      </w:r>
      <w:r w:rsidR="00432479" w:rsidRPr="00432479">
        <w:rPr>
          <w:rFonts w:eastAsia="Times New Roman"/>
          <w:noProof/>
        </w:rPr>
        <w:t>Progress against this indicator will be monitored through the Commission’s involvement in the E</w:t>
      </w:r>
      <w:r w:rsidR="00432479">
        <w:rPr>
          <w:rFonts w:eastAsia="Times New Roman"/>
          <w:noProof/>
        </w:rPr>
        <w:t>B</w:t>
      </w:r>
      <w:r w:rsidR="00432479" w:rsidRPr="00432479">
        <w:rPr>
          <w:rFonts w:eastAsia="Times New Roman"/>
          <w:noProof/>
        </w:rPr>
        <w:t xml:space="preserve"> and </w:t>
      </w:r>
      <w:r w:rsidR="00432479">
        <w:rPr>
          <w:rFonts w:eastAsia="Times New Roman"/>
          <w:noProof/>
        </w:rPr>
        <w:t>MB</w:t>
      </w:r>
      <w:r w:rsidR="00432479" w:rsidRPr="00432479">
        <w:rPr>
          <w:rFonts w:eastAsia="Times New Roman"/>
          <w:noProof/>
        </w:rPr>
        <w:t>, and assessed in the context of the next evaluation of the Regulation and Agency.</w:t>
      </w:r>
    </w:p>
    <w:p w14:paraId="589CE08B" w14:textId="64E4F73A" w:rsidR="00521898" w:rsidRPr="00B01FE9" w:rsidRDefault="00521898" w:rsidP="008B6BCF">
      <w:pPr>
        <w:pStyle w:val="ListParagraph"/>
        <w:numPr>
          <w:ilvl w:val="0"/>
          <w:numId w:val="16"/>
        </w:numPr>
        <w:spacing w:after="120"/>
        <w:ind w:left="0" w:firstLine="0"/>
        <w:contextualSpacing w:val="0"/>
        <w:rPr>
          <w:rFonts w:eastAsia="Times New Roman"/>
          <w:noProof/>
          <w:lang w:val="en-IE"/>
        </w:rPr>
      </w:pPr>
      <w:r w:rsidRPr="6E834B38">
        <w:rPr>
          <w:rFonts w:eastAsia="Times New Roman"/>
          <w:b/>
          <w:bCs/>
          <w:noProof/>
          <w:lang w:val="en-IE"/>
        </w:rPr>
        <w:t>Increased Eurojust proactivity</w:t>
      </w:r>
      <w:r>
        <w:rPr>
          <w:rFonts w:eastAsia="Times New Roman"/>
          <w:noProof/>
          <w:lang w:val="en-IE"/>
        </w:rPr>
        <w:t>,</w:t>
      </w:r>
      <w:r w:rsidRPr="00B01FE9">
        <w:rPr>
          <w:rFonts w:eastAsia="Times New Roman"/>
          <w:noProof/>
          <w:lang w:val="en-IE"/>
        </w:rPr>
        <w:t xml:space="preserve"> as reflected in a higher number of own-initiative cases </w:t>
      </w:r>
      <w:r>
        <w:rPr>
          <w:rFonts w:eastAsia="Times New Roman"/>
          <w:noProof/>
          <w:lang w:val="en-IE"/>
        </w:rPr>
        <w:t>opened and handled:</w:t>
      </w:r>
      <w:r w:rsidRPr="00B01FE9">
        <w:rPr>
          <w:rFonts w:eastAsia="Times New Roman"/>
          <w:noProof/>
          <w:lang w:val="en-IE"/>
        </w:rPr>
        <w:t xml:space="preserve"> </w:t>
      </w:r>
      <w:r>
        <w:rPr>
          <w:rFonts w:eastAsia="Times New Roman"/>
          <w:noProof/>
          <w:lang w:val="en-IE"/>
        </w:rPr>
        <w:t>f</w:t>
      </w:r>
      <w:r w:rsidRPr="00B01FE9">
        <w:rPr>
          <w:rFonts w:eastAsia="Times New Roman"/>
          <w:noProof/>
          <w:lang w:val="en-IE"/>
        </w:rPr>
        <w:t xml:space="preserve">ollowing an initial adjustment phase, a gradual increase is </w:t>
      </w:r>
      <w:r>
        <w:rPr>
          <w:rFonts w:eastAsia="Times New Roman"/>
          <w:noProof/>
          <w:lang w:val="en-IE"/>
        </w:rPr>
        <w:t>expecte</w:t>
      </w:r>
      <w:r w:rsidRPr="00B01FE9">
        <w:rPr>
          <w:rFonts w:eastAsia="Times New Roman"/>
          <w:noProof/>
          <w:lang w:val="en-IE"/>
        </w:rPr>
        <w:t xml:space="preserve">d, </w:t>
      </w:r>
      <w:r w:rsidR="00564916" w:rsidRPr="6E834B38">
        <w:rPr>
          <w:rFonts w:eastAsia="Times New Roman"/>
          <w:noProof/>
          <w:lang w:val="en-IE"/>
        </w:rPr>
        <w:t>with the annual average number of own</w:t>
      </w:r>
      <w:r w:rsidR="00300F1D" w:rsidRPr="6E834B38">
        <w:rPr>
          <w:rFonts w:eastAsia="Times New Roman"/>
          <w:noProof/>
          <w:lang w:val="en-IE"/>
        </w:rPr>
        <w:t xml:space="preserve">-initiative cases opened increasing by 10-15% within </w:t>
      </w:r>
      <w:r w:rsidR="00691AEA" w:rsidRPr="6E834B38">
        <w:rPr>
          <w:rFonts w:eastAsia="Times New Roman"/>
          <w:noProof/>
          <w:lang w:val="en-IE"/>
        </w:rPr>
        <w:t xml:space="preserve">five years. </w:t>
      </w:r>
      <w:r w:rsidR="00AB4E50" w:rsidRPr="6E834B38">
        <w:rPr>
          <w:rFonts w:eastAsia="Times New Roman"/>
          <w:noProof/>
          <w:lang w:val="en-IE"/>
        </w:rPr>
        <w:t>T</w:t>
      </w:r>
      <w:r w:rsidR="00691AEA" w:rsidRPr="6E834B38">
        <w:rPr>
          <w:rFonts w:eastAsia="Times New Roman"/>
          <w:noProof/>
          <w:lang w:val="en-IE"/>
        </w:rPr>
        <w:t>o</w:t>
      </w:r>
      <w:r w:rsidR="00AB4E50" w:rsidRPr="6E834B38">
        <w:rPr>
          <w:rFonts w:eastAsia="Times New Roman"/>
          <w:noProof/>
          <w:lang w:val="en-IE"/>
        </w:rPr>
        <w:t xml:space="preserve"> avoid distortions</w:t>
      </w:r>
      <w:r w:rsidR="0019769B" w:rsidRPr="6E834B38">
        <w:rPr>
          <w:rFonts w:eastAsia="Times New Roman"/>
          <w:noProof/>
          <w:lang w:val="en-IE"/>
        </w:rPr>
        <w:t xml:space="preserve"> resulting from the normal</w:t>
      </w:r>
      <w:r w:rsidR="00691AEA" w:rsidRPr="6E834B38">
        <w:rPr>
          <w:rFonts w:eastAsia="Times New Roman"/>
          <w:noProof/>
          <w:lang w:val="en-IE"/>
        </w:rPr>
        <w:t xml:space="preserve"> year-on-year fluctuations in Eurojust casework, the baseline will be calculated </w:t>
      </w:r>
      <w:r w:rsidR="00400D6A" w:rsidRPr="6E834B38">
        <w:rPr>
          <w:rFonts w:eastAsia="Times New Roman"/>
          <w:noProof/>
          <w:lang w:val="en-IE"/>
        </w:rPr>
        <w:t xml:space="preserve">on the basis of the average annual number of own-initiative cases opened during the five years </w:t>
      </w:r>
      <w:r w:rsidR="003E2F62" w:rsidRPr="6E834B38">
        <w:rPr>
          <w:rFonts w:eastAsia="Times New Roman"/>
          <w:noProof/>
          <w:lang w:val="en-IE"/>
        </w:rPr>
        <w:t>preceding the entry into application of the revised Regulation</w:t>
      </w:r>
      <w:r w:rsidR="00F456D4" w:rsidRPr="6E834B38">
        <w:rPr>
          <w:rFonts w:eastAsia="Times New Roman"/>
          <w:noProof/>
          <w:lang w:val="en-IE"/>
        </w:rPr>
        <w:t xml:space="preserve">. Progress will be assessed against that baseline by reference to the corresponding annual average over the five years </w:t>
      </w:r>
      <w:r w:rsidR="00845089" w:rsidRPr="6E834B38">
        <w:rPr>
          <w:rFonts w:eastAsia="Times New Roman"/>
          <w:noProof/>
          <w:lang w:val="en-IE"/>
        </w:rPr>
        <w:t>following its entry into application</w:t>
      </w:r>
      <w:r w:rsidR="00283649" w:rsidRPr="6E834B38">
        <w:rPr>
          <w:rFonts w:eastAsia="Times New Roman"/>
          <w:noProof/>
          <w:lang w:val="en-IE"/>
        </w:rPr>
        <w:t>, using the data reported in Eurojust’s CAAR</w:t>
      </w:r>
      <w:r w:rsidR="68C6179D" w:rsidRPr="6E834B38">
        <w:rPr>
          <w:rFonts w:eastAsia="Times New Roman"/>
          <w:noProof/>
          <w:lang w:val="en-IE"/>
        </w:rPr>
        <w:t>s</w:t>
      </w:r>
      <w:r w:rsidR="00283649" w:rsidRPr="6E834B38">
        <w:rPr>
          <w:rFonts w:eastAsia="Times New Roman"/>
          <w:noProof/>
          <w:lang w:val="en-IE"/>
        </w:rPr>
        <w:t>.</w:t>
      </w:r>
      <w:r w:rsidR="008719D7">
        <w:rPr>
          <w:rStyle w:val="FootnoteReference"/>
          <w:rFonts w:eastAsia="Times New Roman"/>
          <w:noProof/>
        </w:rPr>
        <w:footnoteReference w:id="148"/>
      </w:r>
    </w:p>
    <w:p w14:paraId="0DC324D2" w14:textId="24FDC43D" w:rsidR="00F837ED" w:rsidRPr="00F837ED" w:rsidRDefault="00521898" w:rsidP="00F837ED">
      <w:pPr>
        <w:pStyle w:val="ListParagraph"/>
        <w:numPr>
          <w:ilvl w:val="0"/>
          <w:numId w:val="16"/>
        </w:numPr>
        <w:spacing w:after="120"/>
        <w:ind w:left="0" w:firstLine="0"/>
        <w:contextualSpacing w:val="0"/>
        <w:rPr>
          <w:rFonts w:eastAsia="Times New Roman"/>
          <w:noProof/>
          <w:lang w:val="en-IE"/>
        </w:rPr>
      </w:pPr>
      <w:r w:rsidRPr="00B01FE9">
        <w:rPr>
          <w:rFonts w:eastAsia="Times New Roman"/>
          <w:noProof/>
          <w:lang w:val="en-IE"/>
        </w:rPr>
        <w:t xml:space="preserve">A progressive </w:t>
      </w:r>
      <w:r w:rsidRPr="00716F21">
        <w:rPr>
          <w:rFonts w:eastAsia="Times New Roman"/>
          <w:b/>
          <w:noProof/>
          <w:lang w:val="en-IE"/>
        </w:rPr>
        <w:t xml:space="preserve">reduction in the share of </w:t>
      </w:r>
      <w:r w:rsidR="00D66941">
        <w:rPr>
          <w:rFonts w:eastAsia="Times New Roman"/>
          <w:b/>
          <w:noProof/>
          <w:lang w:val="en-IE"/>
        </w:rPr>
        <w:t>‘</w:t>
      </w:r>
      <w:r w:rsidRPr="00716F21">
        <w:rPr>
          <w:rFonts w:eastAsia="Times New Roman"/>
          <w:b/>
          <w:noProof/>
          <w:lang w:val="en-IE"/>
        </w:rPr>
        <w:t>simple</w:t>
      </w:r>
      <w:r w:rsidR="00D66941">
        <w:rPr>
          <w:rFonts w:eastAsia="Times New Roman"/>
          <w:b/>
          <w:noProof/>
          <w:lang w:val="en-IE"/>
        </w:rPr>
        <w:t>’</w:t>
      </w:r>
      <w:r w:rsidRPr="00716F21">
        <w:rPr>
          <w:rFonts w:eastAsia="Times New Roman"/>
          <w:b/>
          <w:noProof/>
          <w:lang w:val="en-IE"/>
        </w:rPr>
        <w:t xml:space="preserve"> cases handled by Eurojust</w:t>
      </w:r>
      <w:r>
        <w:rPr>
          <w:rFonts w:eastAsia="Times New Roman"/>
          <w:noProof/>
          <w:lang w:val="en-IE"/>
        </w:rPr>
        <w:t>:</w:t>
      </w:r>
      <w:r w:rsidRPr="00B01FE9">
        <w:rPr>
          <w:rFonts w:eastAsia="Times New Roman"/>
          <w:noProof/>
          <w:lang w:val="en-IE"/>
        </w:rPr>
        <w:t xml:space="preserve"> </w:t>
      </w:r>
      <w:r w:rsidR="00826130">
        <w:rPr>
          <w:rFonts w:eastAsia="Times New Roman"/>
          <w:noProof/>
          <w:lang w:val="en-IE"/>
        </w:rPr>
        <w:t>bilateral</w:t>
      </w:r>
      <w:r w:rsidR="00CB4ECE">
        <w:rPr>
          <w:rFonts w:eastAsia="Times New Roman"/>
          <w:noProof/>
          <w:lang w:val="en-IE"/>
        </w:rPr>
        <w:t xml:space="preserve"> and</w:t>
      </w:r>
      <w:r w:rsidRPr="00B01FE9">
        <w:rPr>
          <w:rFonts w:eastAsia="Times New Roman"/>
          <w:noProof/>
          <w:lang w:val="en-IE"/>
        </w:rPr>
        <w:t xml:space="preserve"> </w:t>
      </w:r>
      <w:r w:rsidR="007D5715">
        <w:rPr>
          <w:rFonts w:eastAsia="Times New Roman"/>
          <w:noProof/>
          <w:lang w:val="en-IE"/>
        </w:rPr>
        <w:t>lower-complexity</w:t>
      </w:r>
      <w:r w:rsidR="007D5715" w:rsidRPr="00B01FE9">
        <w:rPr>
          <w:rFonts w:eastAsia="Times New Roman"/>
          <w:noProof/>
          <w:lang w:val="en-IE"/>
        </w:rPr>
        <w:t xml:space="preserve"> </w:t>
      </w:r>
      <w:r w:rsidRPr="00B01FE9">
        <w:rPr>
          <w:rFonts w:eastAsia="Times New Roman"/>
          <w:noProof/>
          <w:lang w:val="en-IE"/>
        </w:rPr>
        <w:t>cases are currently estimated at around 80% of</w:t>
      </w:r>
      <w:r w:rsidR="00CB4ECE">
        <w:rPr>
          <w:rFonts w:eastAsia="Times New Roman"/>
          <w:noProof/>
          <w:lang w:val="en-IE"/>
        </w:rPr>
        <w:t xml:space="preserve"> Eurojust’s</w:t>
      </w:r>
      <w:r w:rsidRPr="00B01FE9">
        <w:rPr>
          <w:rFonts w:eastAsia="Times New Roman"/>
          <w:noProof/>
          <w:lang w:val="en-IE"/>
        </w:rPr>
        <w:t xml:space="preserve"> total</w:t>
      </w:r>
      <w:r>
        <w:rPr>
          <w:rFonts w:eastAsia="Times New Roman"/>
          <w:noProof/>
          <w:lang w:val="en-IE"/>
        </w:rPr>
        <w:t xml:space="preserve"> annual</w:t>
      </w:r>
      <w:r w:rsidR="00CB4ECE">
        <w:rPr>
          <w:rFonts w:eastAsia="Times New Roman"/>
          <w:noProof/>
          <w:lang w:val="en-IE"/>
        </w:rPr>
        <w:t xml:space="preserve"> case</w:t>
      </w:r>
      <w:r w:rsidRPr="00B01FE9">
        <w:rPr>
          <w:rFonts w:eastAsia="Times New Roman"/>
          <w:noProof/>
          <w:lang w:val="en-IE"/>
        </w:rPr>
        <w:t xml:space="preserve"> intake. </w:t>
      </w:r>
      <w:r w:rsidR="00A72364">
        <w:rPr>
          <w:rFonts w:eastAsia="Times New Roman"/>
          <w:noProof/>
          <w:lang w:val="en-IE"/>
        </w:rPr>
        <w:t>While a</w:t>
      </w:r>
      <w:r w:rsidR="00A72364" w:rsidRPr="00B01FE9">
        <w:rPr>
          <w:rFonts w:eastAsia="Times New Roman"/>
          <w:noProof/>
          <w:lang w:val="en-IE"/>
        </w:rPr>
        <w:t xml:space="preserve"> </w:t>
      </w:r>
      <w:r w:rsidRPr="00B01FE9">
        <w:rPr>
          <w:rFonts w:eastAsia="Times New Roman"/>
          <w:noProof/>
          <w:lang w:val="en-IE"/>
        </w:rPr>
        <w:t>residual share of 20</w:t>
      </w:r>
      <w:r>
        <w:rPr>
          <w:rFonts w:eastAsia="Times New Roman"/>
          <w:noProof/>
          <w:lang w:val="en-IE"/>
        </w:rPr>
        <w:t>-</w:t>
      </w:r>
      <w:r w:rsidRPr="00B01FE9">
        <w:rPr>
          <w:rFonts w:eastAsia="Times New Roman"/>
          <w:noProof/>
          <w:lang w:val="en-IE"/>
        </w:rPr>
        <w:t>25% is expected to remain, reflecting cases</w:t>
      </w:r>
      <w:r w:rsidR="002B40DF">
        <w:rPr>
          <w:rFonts w:eastAsia="Times New Roman"/>
          <w:noProof/>
          <w:lang w:val="en-IE"/>
        </w:rPr>
        <w:t xml:space="preserve"> that</w:t>
      </w:r>
      <w:r w:rsidRPr="00B01FE9">
        <w:rPr>
          <w:rFonts w:eastAsia="Times New Roman"/>
          <w:noProof/>
          <w:lang w:val="en-IE"/>
        </w:rPr>
        <w:t xml:space="preserve"> initially </w:t>
      </w:r>
      <w:r w:rsidR="002B40DF">
        <w:rPr>
          <w:rFonts w:eastAsia="Times New Roman"/>
          <w:noProof/>
          <w:lang w:val="en-IE"/>
        </w:rPr>
        <w:t>appear</w:t>
      </w:r>
      <w:r w:rsidR="002B40DF" w:rsidRPr="00B01FE9">
        <w:rPr>
          <w:rFonts w:eastAsia="Times New Roman"/>
          <w:noProof/>
          <w:lang w:val="en-IE"/>
        </w:rPr>
        <w:t xml:space="preserve"> </w:t>
      </w:r>
      <w:r w:rsidRPr="00B01FE9">
        <w:rPr>
          <w:rFonts w:eastAsia="Times New Roman"/>
          <w:noProof/>
          <w:lang w:val="en-IE"/>
        </w:rPr>
        <w:t>complex or</w:t>
      </w:r>
      <w:r w:rsidR="002B40DF">
        <w:rPr>
          <w:rFonts w:eastAsia="Times New Roman"/>
          <w:noProof/>
          <w:lang w:val="en-IE"/>
        </w:rPr>
        <w:t xml:space="preserve"> are</w:t>
      </w:r>
      <w:r w:rsidRPr="00B01FE9">
        <w:rPr>
          <w:rFonts w:eastAsia="Times New Roman"/>
          <w:noProof/>
          <w:lang w:val="en-IE"/>
        </w:rPr>
        <w:t xml:space="preserve"> escalated from the EJN</w:t>
      </w:r>
      <w:r w:rsidR="002B40DF">
        <w:rPr>
          <w:rFonts w:eastAsia="Times New Roman"/>
          <w:noProof/>
          <w:lang w:val="en-IE"/>
        </w:rPr>
        <w:t xml:space="preserve">, </w:t>
      </w:r>
      <w:r w:rsidR="00321E65">
        <w:rPr>
          <w:rFonts w:eastAsia="Times New Roman"/>
          <w:noProof/>
          <w:lang w:val="en-IE"/>
        </w:rPr>
        <w:t>a</w:t>
      </w:r>
      <w:r w:rsidRPr="00B01FE9">
        <w:rPr>
          <w:rFonts w:eastAsia="Times New Roman"/>
          <w:noProof/>
          <w:lang w:val="en-IE"/>
        </w:rPr>
        <w:t xml:space="preserve"> gradual reduction is </w:t>
      </w:r>
      <w:r>
        <w:rPr>
          <w:rFonts w:eastAsia="Times New Roman"/>
          <w:noProof/>
          <w:lang w:val="en-IE"/>
        </w:rPr>
        <w:t>expected</w:t>
      </w:r>
      <w:r w:rsidRPr="00B01FE9">
        <w:rPr>
          <w:rFonts w:eastAsia="Times New Roman"/>
          <w:noProof/>
          <w:lang w:val="en-IE"/>
        </w:rPr>
        <w:t xml:space="preserve"> </w:t>
      </w:r>
      <w:r>
        <w:rPr>
          <w:rFonts w:eastAsia="Times New Roman"/>
          <w:noProof/>
          <w:lang w:val="en-IE"/>
        </w:rPr>
        <w:t>to</w:t>
      </w:r>
      <w:r w:rsidRPr="00B01FE9">
        <w:rPr>
          <w:rFonts w:eastAsia="Times New Roman"/>
          <w:noProof/>
          <w:lang w:val="en-IE"/>
        </w:rPr>
        <w:t xml:space="preserve"> </w:t>
      </w:r>
      <w:r w:rsidR="00AF42D2">
        <w:rPr>
          <w:rFonts w:eastAsia="Times New Roman"/>
          <w:noProof/>
          <w:lang w:val="en-IE"/>
        </w:rPr>
        <w:t>reach</w:t>
      </w:r>
      <w:r w:rsidRPr="00B01FE9">
        <w:rPr>
          <w:rFonts w:eastAsia="Times New Roman"/>
          <w:noProof/>
          <w:lang w:val="en-IE"/>
        </w:rPr>
        <w:t xml:space="preserve"> around 60% within two years, </w:t>
      </w:r>
      <w:r w:rsidR="007D2218">
        <w:rPr>
          <w:rFonts w:eastAsia="Times New Roman"/>
          <w:noProof/>
          <w:lang w:val="en-IE"/>
        </w:rPr>
        <w:t>down to</w:t>
      </w:r>
      <w:r w:rsidRPr="00B01FE9">
        <w:rPr>
          <w:rFonts w:eastAsia="Times New Roman"/>
          <w:noProof/>
          <w:lang w:val="en-IE"/>
        </w:rPr>
        <w:t xml:space="preserve"> 40% within five years, </w:t>
      </w:r>
      <w:r w:rsidR="00B549E0">
        <w:rPr>
          <w:rFonts w:eastAsia="Times New Roman"/>
          <w:noProof/>
          <w:lang w:val="en-IE"/>
        </w:rPr>
        <w:t>then</w:t>
      </w:r>
      <w:r w:rsidRPr="00B01FE9">
        <w:rPr>
          <w:rFonts w:eastAsia="Times New Roman"/>
          <w:noProof/>
          <w:lang w:val="en-IE"/>
        </w:rPr>
        <w:t xml:space="preserve"> 20</w:t>
      </w:r>
      <w:r>
        <w:rPr>
          <w:rFonts w:eastAsia="Times New Roman"/>
          <w:noProof/>
          <w:lang w:val="en-IE"/>
        </w:rPr>
        <w:t>-</w:t>
      </w:r>
      <w:r w:rsidRPr="00B01FE9">
        <w:rPr>
          <w:rFonts w:eastAsia="Times New Roman"/>
          <w:noProof/>
          <w:lang w:val="en-IE"/>
        </w:rPr>
        <w:t>25% within ten years.</w:t>
      </w:r>
      <w:r w:rsidR="00321E65">
        <w:rPr>
          <w:rFonts w:eastAsia="Times New Roman"/>
          <w:noProof/>
          <w:lang w:val="en-IE"/>
        </w:rPr>
        <w:t xml:space="preserve"> </w:t>
      </w:r>
      <w:r w:rsidR="00134D02">
        <w:rPr>
          <w:rFonts w:eastAsia="Times New Roman"/>
          <w:noProof/>
          <w:lang w:val="en-IE"/>
        </w:rPr>
        <w:t xml:space="preserve">The baseline will be determined by reference to the share of simple cases in the total number of cases </w:t>
      </w:r>
      <w:r w:rsidR="00554B1A">
        <w:rPr>
          <w:rFonts w:eastAsia="Times New Roman"/>
          <w:noProof/>
          <w:lang w:val="en-IE"/>
        </w:rPr>
        <w:t xml:space="preserve">opened in the year preceding the entry into application of the revised Regulation. Progress will be monitored on the basis of the </w:t>
      </w:r>
      <w:r w:rsidR="00AC5EEA">
        <w:rPr>
          <w:rFonts w:eastAsia="Times New Roman"/>
          <w:noProof/>
          <w:lang w:val="en-IE"/>
        </w:rPr>
        <w:t>statistics and KPIs regularly reported by Eurojust in its CAARs.</w:t>
      </w:r>
      <w:r w:rsidR="00AC5EEA">
        <w:rPr>
          <w:rStyle w:val="FootnoteReference"/>
          <w:rFonts w:eastAsia="Times New Roman"/>
          <w:noProof/>
          <w:lang w:val="en-IE"/>
        </w:rPr>
        <w:footnoteReference w:id="149"/>
      </w:r>
    </w:p>
    <w:p w14:paraId="79B8D64B" w14:textId="489BEDC2" w:rsidR="00521898" w:rsidRPr="0024505E" w:rsidRDefault="00521898" w:rsidP="00C04E7E">
      <w:pPr>
        <w:pStyle w:val="ListParagraph"/>
        <w:numPr>
          <w:ilvl w:val="0"/>
          <w:numId w:val="16"/>
        </w:numPr>
        <w:spacing w:after="120"/>
        <w:ind w:left="0" w:firstLine="0"/>
        <w:contextualSpacing w:val="0"/>
        <w:rPr>
          <w:rFonts w:eastAsia="Times New Roman"/>
          <w:noProof/>
          <w:lang w:val="en-IE"/>
        </w:rPr>
      </w:pPr>
      <w:r w:rsidRPr="00B01FE9">
        <w:rPr>
          <w:rFonts w:eastAsia="Times New Roman"/>
          <w:noProof/>
          <w:lang w:val="en-IE"/>
        </w:rPr>
        <w:t xml:space="preserve">Finally, </w:t>
      </w:r>
      <w:r w:rsidRPr="1B173C9A">
        <w:rPr>
          <w:rFonts w:eastAsia="Times New Roman"/>
          <w:noProof/>
          <w:lang w:val="en-IE"/>
        </w:rPr>
        <w:t>improving</w:t>
      </w:r>
      <w:r w:rsidRPr="00B01FE9">
        <w:rPr>
          <w:rFonts w:eastAsia="Times New Roman"/>
          <w:noProof/>
          <w:lang w:val="en-IE"/>
        </w:rPr>
        <w:t xml:space="preserve"> information exchange with EU partners</w:t>
      </w:r>
      <w:r w:rsidRPr="08931E01">
        <w:rPr>
          <w:rFonts w:eastAsia="Times New Roman"/>
          <w:noProof/>
          <w:lang w:val="en-IE"/>
        </w:rPr>
        <w:t>, in particular Europol,</w:t>
      </w:r>
      <w:r w:rsidRPr="00B01FE9">
        <w:rPr>
          <w:rFonts w:eastAsia="Times New Roman"/>
          <w:noProof/>
          <w:lang w:val="en-IE"/>
        </w:rPr>
        <w:t xml:space="preserve"> </w:t>
      </w:r>
      <w:r>
        <w:rPr>
          <w:rFonts w:eastAsia="Times New Roman"/>
          <w:noProof/>
          <w:lang w:val="en-IE"/>
        </w:rPr>
        <w:t>is</w:t>
      </w:r>
      <w:r w:rsidRPr="00B01FE9">
        <w:rPr>
          <w:rFonts w:eastAsia="Times New Roman"/>
          <w:noProof/>
          <w:lang w:val="en-IE"/>
        </w:rPr>
        <w:t xml:space="preserve"> expected, notably through an </w:t>
      </w:r>
      <w:r w:rsidRPr="00A17608">
        <w:rPr>
          <w:rFonts w:eastAsia="Times New Roman"/>
          <w:b/>
          <w:noProof/>
          <w:lang w:val="en-IE"/>
        </w:rPr>
        <w:t>increase in follow-ups to “hits” identified in information systems</w:t>
      </w:r>
      <w:r w:rsidRPr="00B01FE9">
        <w:rPr>
          <w:rFonts w:eastAsia="Times New Roman"/>
          <w:noProof/>
          <w:lang w:val="en-IE"/>
        </w:rPr>
        <w:t>, reflecting enhanced timeliness and relevance</w:t>
      </w:r>
      <w:r w:rsidR="002C0685">
        <w:rPr>
          <w:rFonts w:eastAsia="Times New Roman"/>
          <w:noProof/>
          <w:lang w:val="en-IE"/>
        </w:rPr>
        <w:t>.</w:t>
      </w:r>
      <w:r w:rsidR="002C0685" w:rsidRPr="00B01FE9">
        <w:rPr>
          <w:rFonts w:eastAsia="Times New Roman"/>
          <w:noProof/>
          <w:lang w:val="en-IE"/>
        </w:rPr>
        <w:t xml:space="preserve"> </w:t>
      </w:r>
      <w:r w:rsidR="002C0685" w:rsidRPr="002C0685">
        <w:rPr>
          <w:rFonts w:eastAsia="Times New Roman"/>
          <w:noProof/>
        </w:rPr>
        <w:t>The baseline will be determined by reference to the number of follow-ups to hits recorded in the year preceding the entry into application of the revised Regulation. An increase of up to 50% may be expected within five years. Progress will be monitored on the basis of the data reported in Eurojust’s CAARs, cross-checked against corresponding data reported in Europol’s CAARs.</w:t>
      </w:r>
    </w:p>
    <w:p w14:paraId="793A0D75" w14:textId="47273EC2" w:rsidR="00521898" w:rsidRPr="00657EAE" w:rsidRDefault="34A6B48C" w:rsidP="000C3545">
      <w:pPr>
        <w:pStyle w:val="Heading3"/>
        <w:rPr>
          <w:noProof/>
          <w:u w:val="single"/>
          <w:lang w:val="en-IE"/>
        </w:rPr>
      </w:pPr>
      <w:bookmarkStart w:id="186" w:name="_Toc232176438"/>
      <w:r w:rsidRPr="7ED56759">
        <w:rPr>
          <w:noProof/>
          <w:lang w:val="en-IE"/>
        </w:rPr>
        <w:t>9.2. Operational objectives</w:t>
      </w:r>
      <w:r w:rsidR="5C65EC25" w:rsidRPr="36906D7F">
        <w:rPr>
          <w:noProof/>
          <w:lang w:val="en-IE"/>
        </w:rPr>
        <w:t xml:space="preserve"> and related </w:t>
      </w:r>
      <w:r w:rsidRPr="7ED56759">
        <w:rPr>
          <w:noProof/>
          <w:lang w:val="en-IE"/>
        </w:rPr>
        <w:t>indicators</w:t>
      </w:r>
      <w:r w:rsidR="037992C9" w:rsidRPr="041EEBF0">
        <w:rPr>
          <w:noProof/>
          <w:lang w:val="en-IE"/>
        </w:rPr>
        <w:t xml:space="preserve"> proposed</w:t>
      </w:r>
      <w:bookmarkEnd w:id="186"/>
    </w:p>
    <w:p w14:paraId="44DE5B4E" w14:textId="3251BED2" w:rsidR="50F58EFC" w:rsidRPr="00D4396B" w:rsidRDefault="00A4482B" w:rsidP="00DD3923">
      <w:pPr>
        <w:spacing w:after="120"/>
        <w:rPr>
          <w:rFonts w:eastAsia="Times New Roman"/>
          <w:noProof/>
          <w:color w:val="000000" w:themeColor="text1"/>
        </w:rPr>
      </w:pPr>
      <w:r>
        <w:rPr>
          <w:rFonts w:eastAsia="Times New Roman"/>
          <w:noProof/>
          <w:color w:val="000000" w:themeColor="text1"/>
        </w:rPr>
        <w:t>Further to</w:t>
      </w:r>
      <w:r w:rsidR="487919F7" w:rsidRPr="12FB2044">
        <w:rPr>
          <w:rFonts w:eastAsia="Times New Roman"/>
          <w:noProof/>
          <w:color w:val="000000" w:themeColor="text1"/>
        </w:rPr>
        <w:t xml:space="preserve"> </w:t>
      </w:r>
      <w:r w:rsidR="487919F7" w:rsidRPr="260BA821">
        <w:rPr>
          <w:noProof/>
          <w:lang w:val="en-IE"/>
        </w:rPr>
        <w:t>the</w:t>
      </w:r>
      <w:r>
        <w:rPr>
          <w:noProof/>
          <w:lang w:val="en-IE"/>
        </w:rPr>
        <w:t xml:space="preserve"> above</w:t>
      </w:r>
      <w:r w:rsidR="487919F7" w:rsidRPr="260BA821">
        <w:rPr>
          <w:noProof/>
          <w:lang w:val="en-IE"/>
        </w:rPr>
        <w:t xml:space="preserve"> </w:t>
      </w:r>
      <w:r w:rsidR="487919F7" w:rsidRPr="00657EAE">
        <w:rPr>
          <w:b/>
          <w:bCs/>
          <w:noProof/>
          <w:lang w:val="en-IE"/>
        </w:rPr>
        <w:t>measurable success indicators</w:t>
      </w:r>
      <w:r w:rsidR="1250D02C" w:rsidRPr="4AD6F0A4">
        <w:rPr>
          <w:noProof/>
          <w:lang w:val="en-IE"/>
        </w:rPr>
        <w:t xml:space="preserve">, </w:t>
      </w:r>
      <w:r w:rsidR="003079EC">
        <w:rPr>
          <w:noProof/>
          <w:lang w:val="en-IE"/>
        </w:rPr>
        <w:t>the use of some</w:t>
      </w:r>
      <w:r w:rsidR="50A19D78" w:rsidRPr="4AD6F0A4">
        <w:rPr>
          <w:noProof/>
          <w:lang w:val="en-IE"/>
        </w:rPr>
        <w:t xml:space="preserve"> </w:t>
      </w:r>
      <w:r>
        <w:rPr>
          <w:noProof/>
          <w:lang w:val="en-IE"/>
        </w:rPr>
        <w:t xml:space="preserve">operational objectives </w:t>
      </w:r>
      <w:r w:rsidR="003079EC">
        <w:rPr>
          <w:noProof/>
          <w:lang w:val="en-IE"/>
        </w:rPr>
        <w:t>is also</w:t>
      </w:r>
      <w:r w:rsidR="00451CC8">
        <w:rPr>
          <w:noProof/>
          <w:lang w:val="en-IE"/>
        </w:rPr>
        <w:t xml:space="preserve"> </w:t>
      </w:r>
      <w:r w:rsidR="003079EC">
        <w:rPr>
          <w:noProof/>
          <w:lang w:val="en-IE"/>
        </w:rPr>
        <w:t>propo</w:t>
      </w:r>
      <w:r w:rsidR="50A19D78" w:rsidRPr="0E7F7AAA">
        <w:rPr>
          <w:noProof/>
          <w:lang w:val="en-IE"/>
        </w:rPr>
        <w:t>sed</w:t>
      </w:r>
      <w:r w:rsidR="008B1021">
        <w:rPr>
          <w:noProof/>
          <w:lang w:val="en-IE"/>
        </w:rPr>
        <w:t>, to facilitate closer monitoring and subsequent evaluation</w:t>
      </w:r>
      <w:r w:rsidR="50A19D78" w:rsidRPr="0E7F7AAA">
        <w:rPr>
          <w:noProof/>
          <w:lang w:val="en-IE"/>
        </w:rPr>
        <w:t>.</w:t>
      </w:r>
      <w:r w:rsidR="008E7D04">
        <w:rPr>
          <w:noProof/>
          <w:lang w:val="en-IE"/>
        </w:rPr>
        <w:t xml:space="preserve"> </w:t>
      </w:r>
      <w:r w:rsidR="008B1021">
        <w:rPr>
          <w:noProof/>
          <w:lang w:val="en-IE"/>
        </w:rPr>
        <w:t>This</w:t>
      </w:r>
      <w:r w:rsidR="15DC9CD1" w:rsidRPr="00D4396B">
        <w:rPr>
          <w:rFonts w:eastAsia="Times New Roman"/>
          <w:noProof/>
          <w:color w:val="000000" w:themeColor="text1"/>
        </w:rPr>
        <w:t xml:space="preserve"> will focus on </w:t>
      </w:r>
      <w:r w:rsidR="15DC9CD1" w:rsidRPr="00657EAE">
        <w:rPr>
          <w:rFonts w:eastAsia="Times New Roman"/>
          <w:b/>
          <w:bCs/>
          <w:noProof/>
          <w:color w:val="000000" w:themeColor="text1"/>
        </w:rPr>
        <w:t>outputs</w:t>
      </w:r>
      <w:r w:rsidR="15DC9CD1" w:rsidRPr="00D4396B">
        <w:rPr>
          <w:rFonts w:eastAsia="Times New Roman"/>
          <w:noProof/>
          <w:color w:val="000000" w:themeColor="text1"/>
        </w:rPr>
        <w:t xml:space="preserve"> (e.g. volume and quality of information exchange, operational support delivered, studies and reports produced</w:t>
      </w:r>
      <w:r w:rsidR="000048E7" w:rsidRPr="00D4396B">
        <w:rPr>
          <w:rFonts w:eastAsia="Times New Roman"/>
          <w:noProof/>
          <w:color w:val="000000" w:themeColor="text1"/>
        </w:rPr>
        <w:t>, etc.</w:t>
      </w:r>
      <w:r w:rsidR="15DC9CD1" w:rsidRPr="00D4396B">
        <w:rPr>
          <w:rFonts w:eastAsia="Times New Roman"/>
          <w:noProof/>
          <w:color w:val="000000" w:themeColor="text1"/>
        </w:rPr>
        <w:t xml:space="preserve">), </w:t>
      </w:r>
      <w:r w:rsidR="15DC9CD1" w:rsidRPr="00657EAE">
        <w:rPr>
          <w:rFonts w:eastAsia="Times New Roman"/>
          <w:b/>
          <w:bCs/>
          <w:noProof/>
          <w:color w:val="000000" w:themeColor="text1"/>
        </w:rPr>
        <w:t>concrete results</w:t>
      </w:r>
      <w:r w:rsidR="15DC9CD1" w:rsidRPr="00D4396B">
        <w:rPr>
          <w:rFonts w:eastAsia="Times New Roman"/>
          <w:noProof/>
          <w:color w:val="000000" w:themeColor="text1"/>
        </w:rPr>
        <w:t xml:space="preserve"> (e.g. number of JITs involving Eurojust and </w:t>
      </w:r>
      <w:r w:rsidR="00202E23">
        <w:rPr>
          <w:rFonts w:eastAsia="Times New Roman"/>
          <w:noProof/>
          <w:color w:val="000000" w:themeColor="text1"/>
        </w:rPr>
        <w:t>the</w:t>
      </w:r>
      <w:r w:rsidR="15DC9CD1" w:rsidRPr="00D4396B">
        <w:rPr>
          <w:rFonts w:eastAsia="Times New Roman"/>
          <w:noProof/>
          <w:color w:val="000000" w:themeColor="text1"/>
        </w:rPr>
        <w:t xml:space="preserve"> new JOP, number of </w:t>
      </w:r>
      <w:r w:rsidR="00085B56" w:rsidRPr="00D4396B">
        <w:rPr>
          <w:rFonts w:eastAsia="Times New Roman"/>
          <w:noProof/>
          <w:color w:val="000000" w:themeColor="text1"/>
        </w:rPr>
        <w:t>mutual recognition</w:t>
      </w:r>
      <w:r w:rsidR="6687C99E" w:rsidRPr="00D4396B">
        <w:rPr>
          <w:rFonts w:eastAsia="Times New Roman"/>
          <w:noProof/>
          <w:color w:val="000000" w:themeColor="text1"/>
        </w:rPr>
        <w:t xml:space="preserve"> and </w:t>
      </w:r>
      <w:r w:rsidR="6F38B5C4" w:rsidRPr="00D4396B">
        <w:rPr>
          <w:rFonts w:eastAsia="Times New Roman"/>
          <w:noProof/>
          <w:color w:val="000000" w:themeColor="text1"/>
        </w:rPr>
        <w:t>judicial cooperation</w:t>
      </w:r>
      <w:r w:rsidR="00085B56" w:rsidRPr="00D4396B">
        <w:rPr>
          <w:rFonts w:eastAsia="Times New Roman"/>
          <w:noProof/>
          <w:color w:val="000000" w:themeColor="text1"/>
        </w:rPr>
        <w:t xml:space="preserve"> </w:t>
      </w:r>
      <w:r w:rsidR="15DC9CD1" w:rsidRPr="00D4396B">
        <w:rPr>
          <w:rFonts w:eastAsia="Times New Roman"/>
          <w:noProof/>
          <w:color w:val="000000" w:themeColor="text1"/>
        </w:rPr>
        <w:t>requests facilitated or issued, number of action days, of working and cooperation agreements signed, of contact points/</w:t>
      </w:r>
      <w:r w:rsidR="006234E0" w:rsidRPr="00D4396B">
        <w:rPr>
          <w:rFonts w:eastAsia="Times New Roman"/>
          <w:noProof/>
          <w:color w:val="000000" w:themeColor="text1"/>
        </w:rPr>
        <w:t>LP</w:t>
      </w:r>
      <w:r w:rsidR="15DC9CD1" w:rsidRPr="00D4396B">
        <w:rPr>
          <w:rFonts w:eastAsia="Times New Roman"/>
          <w:noProof/>
          <w:color w:val="000000" w:themeColor="text1"/>
        </w:rPr>
        <w:t>s appointed</w:t>
      </w:r>
      <w:r w:rsidR="00E5725B" w:rsidRPr="00D4396B">
        <w:rPr>
          <w:rFonts w:eastAsia="Times New Roman"/>
          <w:noProof/>
          <w:color w:val="000000" w:themeColor="text1"/>
        </w:rPr>
        <w:t>, etc.</w:t>
      </w:r>
      <w:r w:rsidR="15DC9CD1" w:rsidRPr="00D4396B">
        <w:rPr>
          <w:rFonts w:eastAsia="Times New Roman"/>
          <w:noProof/>
          <w:color w:val="000000" w:themeColor="text1"/>
        </w:rPr>
        <w:t xml:space="preserve">), and </w:t>
      </w:r>
      <w:r w:rsidR="15DC9CD1" w:rsidRPr="00657EAE">
        <w:rPr>
          <w:rFonts w:eastAsia="Times New Roman"/>
          <w:b/>
          <w:bCs/>
          <w:noProof/>
          <w:color w:val="000000" w:themeColor="text1"/>
        </w:rPr>
        <w:t xml:space="preserve">broader impacts </w:t>
      </w:r>
      <w:r w:rsidR="15DC9CD1" w:rsidRPr="00D4396B">
        <w:rPr>
          <w:rFonts w:eastAsia="Times New Roman"/>
          <w:noProof/>
          <w:color w:val="000000" w:themeColor="text1"/>
        </w:rPr>
        <w:t xml:space="preserve">(e.g. strengthened EU-level situational awareness, reduced fragmentation in operational coordination). Attention will be given to monitoring data-protection compliance, proportionality and fundamental rights safeguards but also </w:t>
      </w:r>
      <w:r w:rsidR="00546D32">
        <w:rPr>
          <w:rFonts w:eastAsia="Times New Roman"/>
          <w:noProof/>
          <w:color w:val="000000" w:themeColor="text1"/>
        </w:rPr>
        <w:t xml:space="preserve">the </w:t>
      </w:r>
      <w:r w:rsidR="15DC9CD1" w:rsidRPr="00D4396B">
        <w:rPr>
          <w:rFonts w:eastAsia="Times New Roman"/>
          <w:noProof/>
          <w:color w:val="000000" w:themeColor="text1"/>
        </w:rPr>
        <w:t>proactivity of the agency.</w:t>
      </w:r>
    </w:p>
    <w:p w14:paraId="6965CDB5" w14:textId="39CF512B" w:rsidR="50F58EFC" w:rsidRPr="00D4396B" w:rsidRDefault="15DC9CD1" w:rsidP="00DD3923">
      <w:pPr>
        <w:spacing w:after="120"/>
        <w:rPr>
          <w:noProof/>
        </w:rPr>
      </w:pPr>
      <w:r w:rsidRPr="00D4396B">
        <w:rPr>
          <w:rFonts w:eastAsia="Times New Roman"/>
          <w:noProof/>
          <w:color w:val="000000" w:themeColor="text1"/>
        </w:rPr>
        <w:t xml:space="preserve">Core indicators will be drawn from a </w:t>
      </w:r>
      <w:r w:rsidRPr="00657EAE">
        <w:rPr>
          <w:rFonts w:eastAsia="Times New Roman"/>
          <w:b/>
          <w:bCs/>
          <w:noProof/>
          <w:color w:val="000000" w:themeColor="text1"/>
        </w:rPr>
        <w:t>range of sources</w:t>
      </w:r>
      <w:r w:rsidRPr="00D4396B">
        <w:rPr>
          <w:rFonts w:eastAsia="Times New Roman"/>
          <w:noProof/>
          <w:color w:val="000000" w:themeColor="text1"/>
        </w:rPr>
        <w:t>, including Eurojust’s existing reporting instruments as the CAAR</w:t>
      </w:r>
      <w:r w:rsidRPr="03EA7604">
        <w:rPr>
          <w:rFonts w:eastAsia="Times New Roman"/>
          <w:noProof/>
          <w:color w:val="000000" w:themeColor="text1"/>
        </w:rPr>
        <w:t>.</w:t>
      </w:r>
      <w:r w:rsidRPr="00D4396B">
        <w:rPr>
          <w:rFonts w:eastAsia="Times New Roman"/>
          <w:noProof/>
          <w:color w:val="000000" w:themeColor="text1"/>
        </w:rPr>
        <w:t xml:space="preserve"> The exploitation of the CMS will be used as </w:t>
      </w:r>
      <w:r w:rsidR="22A51A97" w:rsidRPr="5A88767C">
        <w:rPr>
          <w:rFonts w:eastAsia="Times New Roman"/>
          <w:noProof/>
          <w:color w:val="000000" w:themeColor="text1"/>
        </w:rPr>
        <w:t>well</w:t>
      </w:r>
      <w:r w:rsidRPr="5A88767C">
        <w:rPr>
          <w:rFonts w:eastAsia="Times New Roman"/>
          <w:noProof/>
          <w:color w:val="000000" w:themeColor="text1"/>
        </w:rPr>
        <w:t xml:space="preserve"> </w:t>
      </w:r>
      <w:r w:rsidRPr="1644FBCE">
        <w:rPr>
          <w:rFonts w:eastAsia="Times New Roman"/>
          <w:noProof/>
          <w:color w:val="000000" w:themeColor="text1"/>
        </w:rPr>
        <w:t>as</w:t>
      </w:r>
      <w:r w:rsidRPr="00D4396B">
        <w:rPr>
          <w:rFonts w:eastAsia="Times New Roman"/>
          <w:noProof/>
          <w:color w:val="000000" w:themeColor="text1"/>
        </w:rPr>
        <w:t xml:space="preserve"> the data based on Articles 21 and 21b (CTR) of the EJR reporting on Member State information contributions; </w:t>
      </w:r>
      <w:r w:rsidR="002C18B9" w:rsidRPr="00D4396B">
        <w:rPr>
          <w:rFonts w:eastAsia="Times New Roman"/>
          <w:noProof/>
          <w:color w:val="000000" w:themeColor="text1"/>
        </w:rPr>
        <w:t>also,</w:t>
      </w:r>
      <w:r w:rsidRPr="00D4396B">
        <w:rPr>
          <w:rFonts w:eastAsia="Times New Roman"/>
          <w:noProof/>
          <w:color w:val="000000" w:themeColor="text1"/>
        </w:rPr>
        <w:t xml:space="preserve"> Article 80 of the EJR regarding the volume of stored and analysed evidence (CICED); EDPS supervisory findings and data protection reporting; and </w:t>
      </w:r>
      <w:r w:rsidR="006E7261" w:rsidRPr="3CCF1DBC">
        <w:rPr>
          <w:rFonts w:eastAsia="Times New Roman"/>
          <w:noProof/>
          <w:color w:val="000000" w:themeColor="text1"/>
        </w:rPr>
        <w:t>EB</w:t>
      </w:r>
      <w:r w:rsidRPr="00D4396B">
        <w:rPr>
          <w:rFonts w:eastAsia="Times New Roman"/>
          <w:noProof/>
          <w:color w:val="000000" w:themeColor="text1"/>
        </w:rPr>
        <w:t>/</w:t>
      </w:r>
      <w:r w:rsidRPr="03EA7604">
        <w:rPr>
          <w:rFonts w:eastAsia="Times New Roman"/>
          <w:noProof/>
          <w:color w:val="000000" w:themeColor="text1"/>
        </w:rPr>
        <w:t>M</w:t>
      </w:r>
      <w:r w:rsidR="1A7508EB" w:rsidRPr="03EA7604">
        <w:rPr>
          <w:rFonts w:eastAsia="Times New Roman"/>
          <w:noProof/>
          <w:color w:val="000000" w:themeColor="text1"/>
        </w:rPr>
        <w:t>B</w:t>
      </w:r>
      <w:r w:rsidRPr="00D4396B">
        <w:rPr>
          <w:rFonts w:eastAsia="Times New Roman"/>
          <w:noProof/>
          <w:color w:val="000000" w:themeColor="text1"/>
        </w:rPr>
        <w:t xml:space="preserve"> performance indicators.</w:t>
      </w:r>
    </w:p>
    <w:p w14:paraId="2185E692" w14:textId="645E2091" w:rsidR="50F58EFC" w:rsidRPr="00D4396B" w:rsidRDefault="15DC9CD1" w:rsidP="00DD3923">
      <w:pPr>
        <w:spacing w:after="120"/>
        <w:rPr>
          <w:rFonts w:eastAsia="Times New Roman"/>
          <w:noProof/>
          <w:color w:val="000000" w:themeColor="text1"/>
        </w:rPr>
      </w:pPr>
      <w:r w:rsidRPr="00D4396B">
        <w:rPr>
          <w:rFonts w:eastAsia="Times New Roman"/>
          <w:noProof/>
          <w:color w:val="000000" w:themeColor="text1"/>
        </w:rPr>
        <w:t xml:space="preserve">The Commission will monitor implementation through its representation </w:t>
      </w:r>
      <w:r w:rsidR="00D30A6E">
        <w:rPr>
          <w:rFonts w:eastAsia="Times New Roman"/>
          <w:noProof/>
          <w:color w:val="000000" w:themeColor="text1"/>
        </w:rPr>
        <w:t>i</w:t>
      </w:r>
      <w:r w:rsidR="00D30A6E" w:rsidRPr="00D4396B">
        <w:rPr>
          <w:rFonts w:eastAsia="Times New Roman"/>
          <w:noProof/>
          <w:color w:val="000000" w:themeColor="text1"/>
        </w:rPr>
        <w:t xml:space="preserve">n </w:t>
      </w:r>
      <w:r w:rsidRPr="00D4396B">
        <w:rPr>
          <w:rFonts w:eastAsia="Times New Roman"/>
          <w:noProof/>
          <w:color w:val="000000" w:themeColor="text1"/>
        </w:rPr>
        <w:t xml:space="preserve">the </w:t>
      </w:r>
      <w:r w:rsidR="00D30A6E">
        <w:rPr>
          <w:rFonts w:eastAsia="Times New Roman"/>
          <w:noProof/>
          <w:color w:val="000000" w:themeColor="text1"/>
        </w:rPr>
        <w:t>EB</w:t>
      </w:r>
      <w:r w:rsidRPr="00D4396B">
        <w:rPr>
          <w:rFonts w:eastAsia="Times New Roman"/>
          <w:noProof/>
          <w:color w:val="000000" w:themeColor="text1"/>
        </w:rPr>
        <w:t xml:space="preserve"> and </w:t>
      </w:r>
      <w:r w:rsidRPr="03EA7604">
        <w:rPr>
          <w:rFonts w:eastAsia="Times New Roman"/>
          <w:noProof/>
          <w:color w:val="000000" w:themeColor="text1"/>
        </w:rPr>
        <w:t>M</w:t>
      </w:r>
      <w:r w:rsidR="02336676" w:rsidRPr="03EA7604">
        <w:rPr>
          <w:rFonts w:eastAsia="Times New Roman"/>
          <w:noProof/>
          <w:color w:val="000000" w:themeColor="text1"/>
        </w:rPr>
        <w:t>B</w:t>
      </w:r>
      <w:r w:rsidRPr="00D4396B">
        <w:rPr>
          <w:rFonts w:eastAsia="Times New Roman"/>
          <w:noProof/>
          <w:color w:val="000000" w:themeColor="text1"/>
        </w:rPr>
        <w:t xml:space="preserve">, structured exchanges with Member States (including </w:t>
      </w:r>
      <w:r w:rsidR="48221751" w:rsidRPr="03EA7604">
        <w:rPr>
          <w:rFonts w:eastAsia="Times New Roman"/>
          <w:noProof/>
          <w:color w:val="000000" w:themeColor="text1"/>
        </w:rPr>
        <w:t>NM</w:t>
      </w:r>
      <w:r w:rsidRPr="03EA7604">
        <w:rPr>
          <w:rFonts w:eastAsia="Times New Roman"/>
          <w:noProof/>
          <w:color w:val="000000" w:themeColor="text1"/>
        </w:rPr>
        <w:t>s</w:t>
      </w:r>
      <w:r w:rsidRPr="00D4396B">
        <w:rPr>
          <w:rFonts w:eastAsia="Times New Roman"/>
          <w:noProof/>
          <w:color w:val="000000" w:themeColor="text1"/>
        </w:rPr>
        <w:t>) and Eurojust staff, and consultation with oversight bodies, including the EDPS. Data will also be drawn from SOCTA cycles, EMPACT performance reporting and, where appropriate, targeted stakeholder surveys.</w:t>
      </w:r>
    </w:p>
    <w:p w14:paraId="4570FBE8" w14:textId="524BD491" w:rsidR="00D20FD1" w:rsidRPr="000734DB" w:rsidRDefault="15DC9CD1" w:rsidP="00890248">
      <w:pPr>
        <w:spacing w:after="120"/>
        <w:rPr>
          <w:noProof/>
        </w:rPr>
      </w:pPr>
      <w:r w:rsidRPr="00D4396B">
        <w:rPr>
          <w:rFonts w:eastAsia="Times New Roman"/>
          <w:noProof/>
          <w:color w:val="000000" w:themeColor="text1"/>
        </w:rPr>
        <w:t xml:space="preserve">Monitoring will begin from the entry into </w:t>
      </w:r>
      <w:r w:rsidR="0041465A">
        <w:rPr>
          <w:rFonts w:eastAsia="Times New Roman"/>
          <w:noProof/>
          <w:color w:val="000000" w:themeColor="text1"/>
        </w:rPr>
        <w:t>applicat</w:t>
      </w:r>
      <w:r w:rsidR="00581FFF">
        <w:rPr>
          <w:rFonts w:eastAsia="Times New Roman"/>
          <w:noProof/>
          <w:color w:val="000000" w:themeColor="text1"/>
        </w:rPr>
        <w:t>ion</w:t>
      </w:r>
      <w:r w:rsidR="0041465A" w:rsidRPr="00D4396B">
        <w:rPr>
          <w:rFonts w:eastAsia="Times New Roman"/>
          <w:noProof/>
          <w:color w:val="000000" w:themeColor="text1"/>
        </w:rPr>
        <w:t xml:space="preserve"> </w:t>
      </w:r>
      <w:r w:rsidRPr="00D4396B">
        <w:rPr>
          <w:rFonts w:eastAsia="Times New Roman"/>
          <w:noProof/>
          <w:color w:val="000000" w:themeColor="text1"/>
        </w:rPr>
        <w:t xml:space="preserve">of the revised Regulation. </w:t>
      </w:r>
      <w:r w:rsidR="00AC02D7">
        <w:rPr>
          <w:rFonts w:eastAsia="Times New Roman"/>
          <w:noProof/>
          <w:color w:val="000000" w:themeColor="text1"/>
        </w:rPr>
        <w:t>Overall p</w:t>
      </w:r>
      <w:r w:rsidR="00683D61" w:rsidRPr="3579D990">
        <w:rPr>
          <w:rFonts w:eastAsia="Times New Roman"/>
          <w:noProof/>
          <w:color w:val="000000" w:themeColor="text1"/>
        </w:rPr>
        <w:t>rogress</w:t>
      </w:r>
      <w:r w:rsidR="00683D61">
        <w:rPr>
          <w:rFonts w:eastAsia="Times New Roman"/>
          <w:noProof/>
          <w:color w:val="000000" w:themeColor="text1"/>
        </w:rPr>
        <w:t xml:space="preserve"> </w:t>
      </w:r>
      <w:r w:rsidR="00BD6953">
        <w:rPr>
          <w:rFonts w:eastAsia="Times New Roman"/>
          <w:noProof/>
          <w:color w:val="000000" w:themeColor="text1"/>
        </w:rPr>
        <w:t>will be</w:t>
      </w:r>
      <w:r w:rsidRPr="00D4396B">
        <w:rPr>
          <w:rFonts w:eastAsia="Times New Roman"/>
          <w:noProof/>
          <w:color w:val="000000" w:themeColor="text1"/>
        </w:rPr>
        <w:t xml:space="preserve"> </w:t>
      </w:r>
      <w:r w:rsidR="00BD6953">
        <w:rPr>
          <w:rFonts w:eastAsia="Times New Roman"/>
          <w:noProof/>
          <w:color w:val="000000" w:themeColor="text1"/>
        </w:rPr>
        <w:t>checked some</w:t>
      </w:r>
      <w:r w:rsidRPr="00D4396B">
        <w:rPr>
          <w:rFonts w:eastAsia="Times New Roman"/>
          <w:noProof/>
          <w:color w:val="000000" w:themeColor="text1"/>
        </w:rPr>
        <w:t xml:space="preserve"> four years after entry into </w:t>
      </w:r>
      <w:r w:rsidR="00142359" w:rsidRPr="3579D990">
        <w:rPr>
          <w:rFonts w:eastAsia="Times New Roman"/>
          <w:noProof/>
          <w:color w:val="000000" w:themeColor="text1"/>
        </w:rPr>
        <w:t>application</w:t>
      </w:r>
      <w:r w:rsidRPr="00D4396B">
        <w:rPr>
          <w:rFonts w:eastAsia="Times New Roman"/>
          <w:noProof/>
          <w:color w:val="000000" w:themeColor="text1"/>
        </w:rPr>
        <w:t xml:space="preserve">, </w:t>
      </w:r>
      <w:r w:rsidR="00BD6953">
        <w:rPr>
          <w:rFonts w:eastAsia="Times New Roman"/>
          <w:noProof/>
          <w:color w:val="000000" w:themeColor="text1"/>
        </w:rPr>
        <w:t xml:space="preserve">so as to </w:t>
      </w:r>
      <w:r w:rsidRPr="00D4396B">
        <w:rPr>
          <w:rFonts w:eastAsia="Times New Roman"/>
          <w:noProof/>
          <w:color w:val="000000" w:themeColor="text1"/>
        </w:rPr>
        <w:t xml:space="preserve">allow for operational maturation </w:t>
      </w:r>
      <w:r w:rsidR="00E42B48" w:rsidRPr="3579D990">
        <w:rPr>
          <w:rFonts w:eastAsia="Times New Roman"/>
          <w:noProof/>
          <w:color w:val="000000" w:themeColor="text1"/>
        </w:rPr>
        <w:t>before</w:t>
      </w:r>
      <w:r w:rsidR="00E42B48">
        <w:rPr>
          <w:rFonts w:eastAsia="Times New Roman"/>
          <w:noProof/>
          <w:color w:val="000000" w:themeColor="text1"/>
        </w:rPr>
        <w:t xml:space="preserve"> a fully-fledge</w:t>
      </w:r>
      <w:r w:rsidR="00C33549">
        <w:rPr>
          <w:rFonts w:eastAsia="Times New Roman"/>
          <w:noProof/>
          <w:color w:val="000000" w:themeColor="text1"/>
        </w:rPr>
        <w:t>d</w:t>
      </w:r>
      <w:r w:rsidR="00E42B48">
        <w:rPr>
          <w:rFonts w:eastAsia="Times New Roman"/>
          <w:noProof/>
          <w:color w:val="000000" w:themeColor="text1"/>
        </w:rPr>
        <w:t xml:space="preserve"> evaluation</w:t>
      </w:r>
      <w:r w:rsidR="00AC02D7">
        <w:rPr>
          <w:rFonts w:eastAsia="Times New Roman"/>
          <w:noProof/>
          <w:color w:val="000000" w:themeColor="text1"/>
        </w:rPr>
        <w:t xml:space="preserve"> can be launched (no earlier than </w:t>
      </w:r>
      <w:r w:rsidR="003E3DC3">
        <w:rPr>
          <w:rFonts w:eastAsia="Times New Roman"/>
          <w:noProof/>
          <w:color w:val="000000" w:themeColor="text1"/>
        </w:rPr>
        <w:t>5 years after entry into application)</w:t>
      </w:r>
      <w:r w:rsidRPr="00D4396B">
        <w:rPr>
          <w:rFonts w:eastAsia="Times New Roman"/>
          <w:noProof/>
          <w:color w:val="000000" w:themeColor="text1"/>
        </w:rPr>
        <w:t>. Where relevant, interim reviews may assess implementation bottlenecks, including technical interoperability and compliance burdens.</w:t>
      </w:r>
    </w:p>
    <w:sectPr w:rsidR="00D20FD1" w:rsidRPr="000734DB" w:rsidSect="005F2E44">
      <w:headerReference w:type="even" r:id="rId28"/>
      <w:headerReference w:type="default" r:id="rId29"/>
      <w:footerReference w:type="even" r:id="rId30"/>
      <w:footerReference w:type="default" r:id="rId31"/>
      <w:headerReference w:type="first" r:id="rId32"/>
      <w:footerReference w:type="first" r:id="rId33"/>
      <w:pgSz w:w="11906" w:h="16838"/>
      <w:pgMar w:top="1020" w:right="1701" w:bottom="1020" w:left="1587" w:header="601" w:footer="107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E96F5B" w14:textId="77777777" w:rsidR="00425A2A" w:rsidRDefault="00425A2A" w:rsidP="000E3086">
      <w:r>
        <w:separator/>
      </w:r>
    </w:p>
  </w:endnote>
  <w:endnote w:type="continuationSeparator" w:id="0">
    <w:p w14:paraId="398EE8F9" w14:textId="77777777" w:rsidR="00425A2A" w:rsidRDefault="00425A2A" w:rsidP="000E3086">
      <w:r>
        <w:continuationSeparator/>
      </w:r>
    </w:p>
  </w:endnote>
  <w:endnote w:type="continuationNotice" w:id="1">
    <w:p w14:paraId="39EF94F0" w14:textId="77777777" w:rsidR="00425A2A" w:rsidRDefault="00425A2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quot;&quot;Cambria&quot;,serif&quot;,serif">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9E811" w14:textId="0294C8EA" w:rsidR="005028E8" w:rsidRPr="005028E8" w:rsidRDefault="005028E8" w:rsidP="005028E8">
    <w:pPr>
      <w:pStyle w:val="FooterCoverPage"/>
      <w:rPr>
        <w:rFonts w:ascii="Arial" w:hAnsi="Arial" w:cs="Arial"/>
        <w:b/>
        <w:sz w:val="48"/>
      </w:rPr>
    </w:pPr>
    <w:r w:rsidRPr="005028E8">
      <w:rPr>
        <w:rFonts w:ascii="Arial" w:hAnsi="Arial" w:cs="Arial"/>
        <w:b/>
        <w:sz w:val="48"/>
      </w:rPr>
      <w:t>EN</w:t>
    </w:r>
    <w:r w:rsidRPr="005028E8">
      <w:rPr>
        <w:rFonts w:ascii="Arial" w:hAnsi="Arial" w:cs="Arial"/>
        <w:b/>
        <w:sz w:val="48"/>
      </w:rPr>
      <w:tab/>
    </w:r>
    <w:r w:rsidRPr="005028E8">
      <w:rPr>
        <w:rFonts w:ascii="Arial" w:hAnsi="Arial" w:cs="Arial"/>
        <w:b/>
        <w:sz w:val="48"/>
      </w:rPr>
      <w:tab/>
    </w:r>
    <w:r w:rsidRPr="005028E8">
      <w:tab/>
    </w:r>
    <w:r w:rsidRPr="005028E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A26D2" w14:textId="5E700A13" w:rsidR="005028E8" w:rsidRPr="005028E8" w:rsidRDefault="005028E8" w:rsidP="005028E8">
    <w:pPr>
      <w:pStyle w:val="FooterCoverPage"/>
      <w:rPr>
        <w:rFonts w:ascii="Arial" w:hAnsi="Arial" w:cs="Arial"/>
        <w:b/>
        <w:sz w:val="48"/>
      </w:rPr>
    </w:pPr>
    <w:r w:rsidRPr="005028E8">
      <w:rPr>
        <w:rFonts w:ascii="Arial" w:hAnsi="Arial" w:cs="Arial"/>
        <w:b/>
        <w:sz w:val="48"/>
      </w:rPr>
      <w:t>EN</w:t>
    </w:r>
    <w:r w:rsidRPr="005028E8">
      <w:rPr>
        <w:rFonts w:ascii="Arial" w:hAnsi="Arial" w:cs="Arial"/>
        <w:b/>
        <w:sz w:val="48"/>
      </w:rPr>
      <w:tab/>
    </w:r>
    <w:r w:rsidRPr="005028E8">
      <w:rPr>
        <w:rFonts w:ascii="Arial" w:hAnsi="Arial" w:cs="Arial"/>
        <w:b/>
        <w:sz w:val="48"/>
      </w:rPr>
      <w:tab/>
    </w:r>
    <w:r w:rsidRPr="005028E8">
      <w:tab/>
    </w:r>
    <w:r w:rsidRPr="005028E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47ED3" w14:textId="77777777" w:rsidR="005028E8" w:rsidRPr="005028E8" w:rsidRDefault="005028E8" w:rsidP="005028E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281AD" w14:textId="77777777" w:rsidR="00CB14B2" w:rsidRDefault="00CB14B2" w:rsidP="000E30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9CE2C" w14:textId="141E9977" w:rsidR="00CB14B2" w:rsidRPr="004D54C6" w:rsidRDefault="00CB14B2" w:rsidP="004D54C6">
    <w:pPr>
      <w:pStyle w:val="Footer"/>
      <w:rPr>
        <w:lang w:val="en-I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C81F8" w14:textId="183C8A0A" w:rsidR="00CB14B2" w:rsidRDefault="00CB14B2" w:rsidP="004D54C6">
    <w:pPr>
      <w:pStyle w:val="Footer"/>
      <w:ind w:left="0"/>
    </w:pPr>
  </w:p>
  <w:p w14:paraId="11D2BDDF" w14:textId="77777777" w:rsidR="00CB14B2" w:rsidRDefault="00CB14B2" w:rsidP="000E308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04090344"/>
      <w:docPartObj>
        <w:docPartGallery w:val="Page Numbers (Bottom of Page)"/>
        <w:docPartUnique/>
      </w:docPartObj>
    </w:sdtPr>
    <w:sdtEndPr/>
    <w:sdtContent>
      <w:p w14:paraId="37515927" w14:textId="2B0A9B48" w:rsidR="00CB14B2" w:rsidRPr="005F2E44" w:rsidRDefault="008F2068" w:rsidP="00F2582B">
        <w:pPr>
          <w:pStyle w:val="Footer"/>
          <w:jc w:val="center"/>
          <w:rPr>
            <w:sz w:val="18"/>
            <w:szCs w:val="18"/>
          </w:rPr>
        </w:pPr>
        <w:r w:rsidRPr="005F2E44">
          <w:rPr>
            <w:sz w:val="18"/>
            <w:szCs w:val="18"/>
          </w:rPr>
          <w:fldChar w:fldCharType="begin"/>
        </w:r>
        <w:r w:rsidRPr="005F2E44">
          <w:rPr>
            <w:sz w:val="18"/>
            <w:szCs w:val="18"/>
          </w:rPr>
          <w:instrText xml:space="preserve"> PAGE   \* MERGEFORMAT </w:instrText>
        </w:r>
        <w:r w:rsidRPr="005F2E44">
          <w:rPr>
            <w:sz w:val="18"/>
            <w:szCs w:val="18"/>
          </w:rPr>
          <w:fldChar w:fldCharType="separate"/>
        </w:r>
        <w:r w:rsidRPr="005F2E44">
          <w:rPr>
            <w:sz w:val="18"/>
            <w:szCs w:val="18"/>
          </w:rPr>
          <w:t>2</w:t>
        </w:r>
        <w:r w:rsidRPr="005F2E44">
          <w:rPr>
            <w:sz w:val="18"/>
            <w:szCs w:val="18"/>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833072"/>
      <w:docPartObj>
        <w:docPartGallery w:val="Page Numbers (Bottom of Page)"/>
        <w:docPartUnique/>
      </w:docPartObj>
    </w:sdtPr>
    <w:sdtEndPr>
      <w:rPr>
        <w:noProof/>
        <w:sz w:val="18"/>
        <w:szCs w:val="18"/>
      </w:rPr>
    </w:sdtEndPr>
    <w:sdtContent>
      <w:p w14:paraId="06C35B24" w14:textId="780D1F92" w:rsidR="00CB14B2" w:rsidRPr="00F2582B" w:rsidRDefault="00F2582B" w:rsidP="00F2582B">
        <w:pPr>
          <w:pStyle w:val="Footer"/>
          <w:jc w:val="center"/>
          <w:rPr>
            <w:sz w:val="18"/>
            <w:szCs w:val="18"/>
          </w:rPr>
        </w:pPr>
        <w:r w:rsidRPr="00F2582B">
          <w:rPr>
            <w:sz w:val="18"/>
            <w:szCs w:val="18"/>
          </w:rPr>
          <w:fldChar w:fldCharType="begin"/>
        </w:r>
        <w:r w:rsidRPr="00F2582B">
          <w:rPr>
            <w:sz w:val="18"/>
            <w:szCs w:val="18"/>
          </w:rPr>
          <w:instrText xml:space="preserve"> PAGE   \* MERGEFORMAT </w:instrText>
        </w:r>
        <w:r w:rsidRPr="00F2582B">
          <w:rPr>
            <w:sz w:val="18"/>
            <w:szCs w:val="18"/>
          </w:rPr>
          <w:fldChar w:fldCharType="separate"/>
        </w:r>
        <w:r w:rsidRPr="00F2582B">
          <w:rPr>
            <w:noProof/>
            <w:sz w:val="18"/>
            <w:szCs w:val="18"/>
          </w:rPr>
          <w:t>2</w:t>
        </w:r>
        <w:r w:rsidRPr="00F2582B">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D5234" w14:textId="77777777" w:rsidR="00425A2A" w:rsidRDefault="00425A2A" w:rsidP="000E3086">
      <w:r>
        <w:separator/>
      </w:r>
    </w:p>
  </w:footnote>
  <w:footnote w:type="continuationSeparator" w:id="0">
    <w:p w14:paraId="5506DD20" w14:textId="77777777" w:rsidR="00425A2A" w:rsidRDefault="00425A2A" w:rsidP="000E3086">
      <w:r>
        <w:continuationSeparator/>
      </w:r>
    </w:p>
  </w:footnote>
  <w:footnote w:type="continuationNotice" w:id="1">
    <w:p w14:paraId="44DFE4EC" w14:textId="77777777" w:rsidR="00425A2A" w:rsidRDefault="00425A2A">
      <w:pPr>
        <w:spacing w:after="0"/>
      </w:pPr>
    </w:p>
  </w:footnote>
  <w:footnote w:id="2">
    <w:p w14:paraId="27802293" w14:textId="7875F54A"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2B4145" w:rsidRPr="00A628D0">
        <w:rPr>
          <w:rFonts w:asciiTheme="majorBidi" w:eastAsia="Times New Roman" w:hAnsiTheme="majorBidi" w:cstheme="majorBidi"/>
          <w:sz w:val="18"/>
          <w:szCs w:val="18"/>
        </w:rPr>
        <w:t>Tampere European Council</w:t>
      </w:r>
      <w:r w:rsidRPr="00A628D0">
        <w:rPr>
          <w:rFonts w:asciiTheme="majorBidi" w:eastAsia="Times New Roman" w:hAnsiTheme="majorBidi" w:cstheme="majorBidi"/>
          <w:sz w:val="18"/>
          <w:szCs w:val="18"/>
        </w:rPr>
        <w:t xml:space="preserve"> of 15 and 16 October 1999, Presidency conclusions, para 46.</w:t>
      </w:r>
    </w:p>
  </w:footnote>
  <w:footnote w:id="3">
    <w:p w14:paraId="79BB2522" w14:textId="77777777"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eastAsia="Times New Roman" w:hAnsiTheme="majorBidi" w:cstheme="majorBidi"/>
          <w:sz w:val="18"/>
          <w:szCs w:val="18"/>
        </w:rPr>
        <w:t>2002/187/JHA: Council Decision of 28 February 2002 setting up Eurojust with a view to reinforcing the fight against serious crime.</w:t>
      </w:r>
    </w:p>
  </w:footnote>
  <w:footnote w:id="4">
    <w:p w14:paraId="1B8C9159" w14:textId="1B190294"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eastAsia="Times New Roman" w:hAnsiTheme="majorBidi" w:cstheme="majorBidi"/>
          <w:sz w:val="18"/>
          <w:szCs w:val="18"/>
        </w:rPr>
        <w:t>Treaty of Lisbon amending the Treaty on European Union and the Treaty establishing the European Community, signed 13 December 2007.</w:t>
      </w:r>
    </w:p>
  </w:footnote>
  <w:footnote w:id="5">
    <w:p w14:paraId="7AB0D0E1" w14:textId="77777777" w:rsidR="005E7215" w:rsidRPr="00A628D0" w:rsidRDefault="005E7215"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lang w:val="en-IE"/>
        </w:rPr>
        <w:t xml:space="preserve"> </w:t>
      </w:r>
      <w:r w:rsidRPr="00A628D0">
        <w:rPr>
          <w:rFonts w:asciiTheme="majorBidi" w:eastAsia="Times New Roman" w:hAnsiTheme="majorBidi" w:cstheme="majorBidi"/>
          <w:sz w:val="18"/>
          <w:szCs w:val="18"/>
          <w:lang w:val="en-IE"/>
        </w:rPr>
        <w:t>Regulation (EU) 2025/2082.</w:t>
      </w:r>
    </w:p>
  </w:footnote>
  <w:footnote w:id="6">
    <w:p w14:paraId="75DBA378" w14:textId="42269DE9"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hyperlink r:id="rId1" w:history="1">
        <w:r w:rsidR="005D6C09" w:rsidRPr="00A628D0">
          <w:rPr>
            <w:rStyle w:val="Hyperlink"/>
            <w:rFonts w:asciiTheme="majorBidi" w:hAnsiTheme="majorBidi" w:cstheme="majorBidi"/>
            <w:sz w:val="18"/>
            <w:szCs w:val="18"/>
          </w:rPr>
          <w:t>Global Organized Crime Index 2025</w:t>
        </w:r>
      </w:hyperlink>
      <w:r w:rsidR="005D6C09" w:rsidRPr="00A628D0">
        <w:rPr>
          <w:rFonts w:asciiTheme="majorBidi" w:hAnsiTheme="majorBidi" w:cstheme="majorBidi"/>
          <w:sz w:val="18"/>
          <w:szCs w:val="18"/>
        </w:rPr>
        <w:t>, Crime at a cross</w:t>
      </w:r>
      <w:r w:rsidR="00F115AA" w:rsidRPr="00A628D0">
        <w:rPr>
          <w:rFonts w:asciiTheme="majorBidi" w:hAnsiTheme="majorBidi" w:cstheme="majorBidi"/>
          <w:sz w:val="18"/>
          <w:szCs w:val="18"/>
        </w:rPr>
        <w:t>roads</w:t>
      </w:r>
      <w:r w:rsidR="00CC7A7D" w:rsidRPr="00A628D0">
        <w:rPr>
          <w:rFonts w:asciiTheme="majorBidi" w:hAnsiTheme="majorBidi" w:cstheme="majorBidi"/>
          <w:sz w:val="18"/>
          <w:szCs w:val="18"/>
        </w:rPr>
        <w:t xml:space="preserve">, Europe, p. </w:t>
      </w:r>
      <w:r w:rsidR="003161AE">
        <w:rPr>
          <w:rFonts w:asciiTheme="majorBidi" w:hAnsiTheme="majorBidi" w:cstheme="majorBidi"/>
          <w:sz w:val="18"/>
          <w:szCs w:val="18"/>
        </w:rPr>
        <w:t>2</w:t>
      </w:r>
      <w:r w:rsidR="00CC7A7D" w:rsidRPr="00A628D0">
        <w:rPr>
          <w:rFonts w:asciiTheme="majorBidi" w:hAnsiTheme="majorBidi" w:cstheme="majorBidi"/>
          <w:sz w:val="18"/>
          <w:szCs w:val="18"/>
        </w:rPr>
        <w:t>.</w:t>
      </w:r>
    </w:p>
  </w:footnote>
  <w:footnote w:id="7">
    <w:p w14:paraId="20CDE554" w14:textId="517BD800"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3BEF7ED5" w:rsidRPr="00A628D0">
        <w:rPr>
          <w:rFonts w:asciiTheme="majorBidi" w:hAnsiTheme="majorBidi" w:cstheme="majorBidi"/>
          <w:sz w:val="18"/>
          <w:szCs w:val="18"/>
        </w:rPr>
        <w:t xml:space="preserve"> EU Serious and Organised Crime Threat Assessment 2025 (</w:t>
      </w:r>
      <w:hyperlink r:id="rId2">
        <w:r w:rsidR="3BEF7ED5" w:rsidRPr="00A628D0">
          <w:rPr>
            <w:rStyle w:val="Hyperlink"/>
            <w:rFonts w:asciiTheme="majorBidi" w:hAnsiTheme="majorBidi" w:cstheme="majorBidi"/>
            <w:sz w:val="18"/>
            <w:szCs w:val="18"/>
          </w:rPr>
          <w:t>EU-SOCTA</w:t>
        </w:r>
      </w:hyperlink>
      <w:r w:rsidR="3BEF7ED5" w:rsidRPr="00A628D0">
        <w:rPr>
          <w:rFonts w:asciiTheme="majorBidi" w:hAnsiTheme="majorBidi" w:cstheme="majorBidi"/>
          <w:sz w:val="18"/>
          <w:szCs w:val="18"/>
        </w:rPr>
        <w:t>)</w:t>
      </w:r>
      <w:r w:rsidR="00542849">
        <w:rPr>
          <w:rFonts w:asciiTheme="majorBidi" w:hAnsiTheme="majorBidi" w:cstheme="majorBidi"/>
          <w:sz w:val="18"/>
          <w:szCs w:val="18"/>
        </w:rPr>
        <w:t>.</w:t>
      </w:r>
    </w:p>
  </w:footnote>
  <w:footnote w:id="8">
    <w:p w14:paraId="15E37D8B" w14:textId="77777777"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eastAsia="Times New Roman" w:hAnsiTheme="majorBidi" w:cstheme="majorBidi"/>
          <w:sz w:val="18"/>
          <w:szCs w:val="18"/>
        </w:rPr>
        <w:t>COM(2025) 148 final (01.04.2025).</w:t>
      </w:r>
    </w:p>
  </w:footnote>
  <w:footnote w:id="9">
    <w:p w14:paraId="5619B496" w14:textId="01581319"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BD20E5" w:rsidRPr="00A628D0">
        <w:rPr>
          <w:rFonts w:asciiTheme="majorBidi" w:eastAsia="Times New Roman" w:hAnsiTheme="majorBidi" w:cstheme="majorBidi"/>
          <w:sz w:val="18"/>
          <w:szCs w:val="18"/>
        </w:rPr>
        <w:t xml:space="preserve">COM(2023) 641 final (18.10.2023), </w:t>
      </w:r>
      <w:r w:rsidRPr="00A628D0">
        <w:rPr>
          <w:rFonts w:asciiTheme="majorBidi" w:eastAsia="Times New Roman" w:hAnsiTheme="majorBidi" w:cstheme="majorBidi"/>
          <w:sz w:val="18"/>
          <w:szCs w:val="18"/>
          <w:lang w:val="en-IE"/>
        </w:rPr>
        <w:t>C</w:t>
      </w:r>
      <w:r w:rsidRPr="00A628D0">
        <w:rPr>
          <w:rFonts w:asciiTheme="majorBidi" w:eastAsia="Times New Roman" w:hAnsiTheme="majorBidi" w:cstheme="majorBidi"/>
          <w:sz w:val="18"/>
          <w:szCs w:val="18"/>
        </w:rPr>
        <w:t>OM(2025) 743 final (04.12.2025),</w:t>
      </w:r>
      <w:r w:rsidRPr="00A628D0">
        <w:rPr>
          <w:rFonts w:asciiTheme="majorBidi" w:hAnsiTheme="majorBidi" w:cstheme="majorBidi"/>
          <w:sz w:val="18"/>
          <w:szCs w:val="18"/>
        </w:rPr>
        <w:t xml:space="preserve"> </w:t>
      </w:r>
      <w:r w:rsidRPr="00A628D0">
        <w:rPr>
          <w:rFonts w:asciiTheme="majorBidi" w:eastAsia="Times New Roman" w:hAnsiTheme="majorBidi" w:cstheme="majorBidi"/>
          <w:sz w:val="18"/>
          <w:szCs w:val="18"/>
        </w:rPr>
        <w:t>COM(2025) 744 final (04.12.2025).</w:t>
      </w:r>
    </w:p>
  </w:footnote>
  <w:footnote w:id="10">
    <w:p w14:paraId="3331B975" w14:textId="77777777" w:rsidR="005E7215" w:rsidRPr="00A628D0" w:rsidRDefault="005E7215" w:rsidP="00A628D0">
      <w:pPr>
        <w:pStyle w:val="FootnoteText"/>
        <w:spacing w:after="20"/>
        <w:rPr>
          <w:rFonts w:asciiTheme="majorBidi" w:hAnsiTheme="majorBidi" w:cstheme="majorBidi"/>
          <w:sz w:val="18"/>
          <w:szCs w:val="18"/>
          <w:lang w:val="fr-B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lang w:val="fr-BE"/>
        </w:rPr>
        <w:t xml:space="preserve"> </w:t>
      </w:r>
      <w:r w:rsidRPr="00A628D0">
        <w:rPr>
          <w:rFonts w:asciiTheme="majorBidi" w:eastAsia="Times New Roman" w:hAnsiTheme="majorBidi" w:cstheme="majorBidi"/>
          <w:sz w:val="18"/>
          <w:szCs w:val="18"/>
          <w:lang w:val="fr-BE"/>
        </w:rPr>
        <w:t>Regulation (EU) 2023/1543 and Directive (EU) 2023/1544.</w:t>
      </w:r>
    </w:p>
  </w:footnote>
  <w:footnote w:id="11">
    <w:p w14:paraId="15A4849D" w14:textId="7B6164D1" w:rsidR="005E7215" w:rsidRPr="00A628D0" w:rsidRDefault="005E7215" w:rsidP="00A628D0">
      <w:pPr>
        <w:pStyle w:val="FootnoteText"/>
        <w:spacing w:after="20"/>
        <w:rPr>
          <w:rFonts w:asciiTheme="majorBidi" w:hAnsiTheme="majorBidi" w:cstheme="majorBidi"/>
          <w:sz w:val="18"/>
          <w:szCs w:val="18"/>
          <w:lang w:val="fr-B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lang w:val="fr-BE"/>
        </w:rPr>
        <w:t xml:space="preserve"> </w:t>
      </w:r>
      <w:r w:rsidR="00586304" w:rsidRPr="00A628D0">
        <w:rPr>
          <w:rFonts w:asciiTheme="majorBidi" w:eastAsia="Times New Roman" w:hAnsiTheme="majorBidi" w:cstheme="majorBidi"/>
          <w:sz w:val="18"/>
          <w:szCs w:val="18"/>
          <w:lang w:val="fr-BE"/>
        </w:rPr>
        <w:t xml:space="preserve">Regulations (EU) 2023/1113, </w:t>
      </w:r>
      <w:r w:rsidRPr="00A628D0">
        <w:rPr>
          <w:rFonts w:asciiTheme="majorBidi" w:eastAsia="Times New Roman" w:hAnsiTheme="majorBidi" w:cstheme="majorBidi"/>
          <w:sz w:val="18"/>
          <w:szCs w:val="18"/>
          <w:lang w:val="fr-BE"/>
        </w:rPr>
        <w:t>2024/1620, 2024/1624, Directive</w:t>
      </w:r>
      <w:r w:rsidR="00586304" w:rsidRPr="00A628D0">
        <w:rPr>
          <w:rFonts w:asciiTheme="majorBidi" w:eastAsia="Times New Roman" w:hAnsiTheme="majorBidi" w:cstheme="majorBidi"/>
          <w:sz w:val="18"/>
          <w:szCs w:val="18"/>
          <w:lang w:val="fr-BE"/>
        </w:rPr>
        <w:t>s</w:t>
      </w:r>
      <w:r w:rsidRPr="00A628D0">
        <w:rPr>
          <w:rFonts w:asciiTheme="majorBidi" w:eastAsia="Times New Roman" w:hAnsiTheme="majorBidi" w:cstheme="majorBidi"/>
          <w:sz w:val="18"/>
          <w:szCs w:val="18"/>
          <w:lang w:val="fr-BE"/>
        </w:rPr>
        <w:t xml:space="preserve"> (EU) 2024/1640, 2024/1654.</w:t>
      </w:r>
    </w:p>
  </w:footnote>
  <w:footnote w:id="12">
    <w:p w14:paraId="63803CF8" w14:textId="77777777"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eastAsia="Times New Roman" w:hAnsiTheme="majorBidi" w:cstheme="majorBidi"/>
          <w:sz w:val="18"/>
          <w:szCs w:val="18"/>
        </w:rPr>
        <w:t>Regulation (EU) 2019/818, Regulation (EU) 2019/817.</w:t>
      </w:r>
    </w:p>
  </w:footnote>
  <w:footnote w:id="13">
    <w:p w14:paraId="136E1AA6" w14:textId="77777777" w:rsidR="0044030E" w:rsidRPr="000A4C6D" w:rsidRDefault="0044030E" w:rsidP="0044030E">
      <w:pPr>
        <w:pStyle w:val="FootnoteText"/>
        <w:rPr>
          <w:sz w:val="18"/>
          <w:szCs w:val="18"/>
          <w:lang w:val="en-US"/>
        </w:rPr>
      </w:pPr>
      <w:r w:rsidRPr="002B4F06">
        <w:rPr>
          <w:rStyle w:val="FootnoteReference"/>
          <w:sz w:val="18"/>
          <w:szCs w:val="18"/>
        </w:rPr>
        <w:footnoteRef/>
      </w:r>
      <w:r w:rsidRPr="002B4F06">
        <w:rPr>
          <w:sz w:val="18"/>
          <w:szCs w:val="18"/>
        </w:rPr>
        <w:t xml:space="preserve"> </w:t>
      </w:r>
      <w:r w:rsidRPr="002B4F06">
        <w:rPr>
          <w:rFonts w:eastAsia="Times New Roman"/>
          <w:sz w:val="18"/>
          <w:szCs w:val="18"/>
        </w:rPr>
        <w:t>As defined under Article 1 of the Council Framework Decision 2002/465/JHA A Joint Investigation Team (JIT) is set up for a specific purpose and limited duration</w:t>
      </w:r>
      <w:r w:rsidRPr="002B4F06">
        <w:rPr>
          <w:rFonts w:eastAsia="Times New Roman"/>
          <w:b/>
          <w:bCs/>
          <w:sz w:val="18"/>
          <w:szCs w:val="18"/>
        </w:rPr>
        <w:t>,</w:t>
      </w:r>
      <w:r w:rsidRPr="002B4F06">
        <w:rPr>
          <w:rFonts w:eastAsia="Times New Roman"/>
          <w:sz w:val="18"/>
          <w:szCs w:val="18"/>
        </w:rPr>
        <w:t xml:space="preserve"> based on an agreement between two or more EU Member States (and possibly third parties), to carry out criminal investigations in one or more of the states involved</w:t>
      </w:r>
      <w:r w:rsidRPr="002B4F06">
        <w:rPr>
          <w:rFonts w:eastAsia="Times New Roman"/>
          <w:b/>
          <w:bCs/>
          <w:sz w:val="18"/>
          <w:szCs w:val="18"/>
        </w:rPr>
        <w:t>.</w:t>
      </w:r>
      <w:r w:rsidRPr="002B4F06">
        <w:rPr>
          <w:rFonts w:eastAsia="Times New Roman"/>
          <w:sz w:val="18"/>
          <w:szCs w:val="18"/>
        </w:rPr>
        <w:t xml:space="preserve"> Since 2024, around 300 JITs are supported by Eurojust every year.</w:t>
      </w:r>
    </w:p>
  </w:footnote>
  <w:footnote w:id="14">
    <w:p w14:paraId="49AFF04D" w14:textId="25B6469E" w:rsidR="005E7215" w:rsidRPr="00A628D0" w:rsidRDefault="005E7215" w:rsidP="00A628D0">
      <w:pPr>
        <w:pStyle w:val="FootnoteText"/>
        <w:spacing w:after="20"/>
        <w:rPr>
          <w:rFonts w:asciiTheme="majorBidi" w:hAnsiTheme="majorBidi" w:cstheme="majorBidi"/>
          <w:sz w:val="18"/>
          <w:szCs w:val="18"/>
          <w:lang w:val="en-US"/>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Demand for CMs grew by 50% between 2019 and 2024, applications for JIT financial support rose by 17% over the same period, </w:t>
      </w:r>
      <w:r w:rsidR="00BD1366" w:rsidRPr="00A628D0">
        <w:rPr>
          <w:rStyle w:val="Strong"/>
          <w:rFonts w:asciiTheme="majorBidi" w:hAnsiTheme="majorBidi" w:cstheme="majorBidi"/>
          <w:b w:val="0"/>
          <w:sz w:val="18"/>
          <w:szCs w:val="18"/>
        </w:rPr>
        <w:t>S</w:t>
      </w:r>
      <w:r w:rsidRPr="00A628D0">
        <w:rPr>
          <w:rStyle w:val="Strong"/>
          <w:rFonts w:asciiTheme="majorBidi" w:hAnsiTheme="majorBidi" w:cstheme="majorBidi"/>
          <w:b w:val="0"/>
          <w:bCs w:val="0"/>
          <w:sz w:val="18"/>
          <w:szCs w:val="18"/>
        </w:rPr>
        <w:t xml:space="preserve">upport study, pp. </w:t>
      </w:r>
      <w:r w:rsidRPr="00A628D0">
        <w:rPr>
          <w:rStyle w:val="Strong"/>
          <w:rFonts w:asciiTheme="majorBidi" w:hAnsiTheme="majorBidi" w:cstheme="majorBidi"/>
          <w:b w:val="0"/>
          <w:sz w:val="18"/>
          <w:szCs w:val="18"/>
        </w:rPr>
        <w:t>1</w:t>
      </w:r>
      <w:r w:rsidR="00051054">
        <w:rPr>
          <w:rStyle w:val="Strong"/>
          <w:rFonts w:asciiTheme="majorBidi" w:hAnsiTheme="majorBidi" w:cstheme="majorBidi"/>
          <w:b w:val="0"/>
          <w:sz w:val="18"/>
          <w:szCs w:val="18"/>
        </w:rPr>
        <w:t>9</w:t>
      </w:r>
      <w:r w:rsidRPr="00A628D0">
        <w:rPr>
          <w:rStyle w:val="Strong"/>
          <w:rFonts w:asciiTheme="majorBidi" w:hAnsiTheme="majorBidi" w:cstheme="majorBidi"/>
          <w:b w:val="0"/>
          <w:sz w:val="18"/>
          <w:szCs w:val="18"/>
        </w:rPr>
        <w:t>-</w:t>
      </w:r>
      <w:r w:rsidR="00051054">
        <w:rPr>
          <w:rStyle w:val="Strong"/>
          <w:rFonts w:asciiTheme="majorBidi" w:hAnsiTheme="majorBidi" w:cstheme="majorBidi"/>
          <w:b w:val="0"/>
          <w:sz w:val="18"/>
          <w:szCs w:val="18"/>
        </w:rPr>
        <w:t>20</w:t>
      </w:r>
      <w:r w:rsidRPr="00A628D0">
        <w:rPr>
          <w:rStyle w:val="Strong"/>
          <w:rFonts w:asciiTheme="majorBidi" w:hAnsiTheme="majorBidi" w:cstheme="majorBidi"/>
          <w:b w:val="0"/>
          <w:sz w:val="18"/>
          <w:szCs w:val="18"/>
        </w:rPr>
        <w:t>.</w:t>
      </w:r>
    </w:p>
  </w:footnote>
  <w:footnote w:id="15">
    <w:p w14:paraId="7DA29DA0" w14:textId="77777777"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eastAsia="Times New Roman" w:hAnsiTheme="majorBidi" w:cstheme="majorBidi"/>
          <w:sz w:val="18"/>
          <w:szCs w:val="18"/>
        </w:rPr>
        <w:t>SWD(2025) 182 final (02.7.2025).</w:t>
      </w:r>
    </w:p>
  </w:footnote>
  <w:footnote w:id="16">
    <w:p w14:paraId="6285F34A" w14:textId="278B474C"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hyperlink r:id="rId3" w:history="1">
        <w:r w:rsidR="009D7FD1" w:rsidRPr="00A628D0">
          <w:rPr>
            <w:rStyle w:val="Hyperlink"/>
            <w:rFonts w:asciiTheme="majorBidi" w:hAnsiTheme="majorBidi" w:cstheme="majorBidi"/>
            <w:sz w:val="18"/>
            <w:szCs w:val="18"/>
          </w:rPr>
          <w:t>Report</w:t>
        </w:r>
      </w:hyperlink>
      <w:r w:rsidR="009D7FD1" w:rsidRPr="00A628D0">
        <w:rPr>
          <w:rFonts w:asciiTheme="majorBidi" w:hAnsiTheme="majorBidi" w:cstheme="majorBidi"/>
          <w:sz w:val="18"/>
          <w:szCs w:val="18"/>
        </w:rPr>
        <w:t xml:space="preserve"> of the </w:t>
      </w:r>
      <w:r w:rsidR="00DA0B35" w:rsidRPr="00A628D0">
        <w:rPr>
          <w:rFonts w:asciiTheme="majorBidi" w:hAnsiTheme="majorBidi" w:cstheme="majorBidi"/>
          <w:sz w:val="18"/>
          <w:szCs w:val="18"/>
        </w:rPr>
        <w:t>High Level</w:t>
      </w:r>
      <w:r w:rsidR="009D7FD1" w:rsidRPr="00A628D0">
        <w:rPr>
          <w:rFonts w:asciiTheme="majorBidi" w:hAnsiTheme="majorBidi" w:cstheme="majorBidi"/>
          <w:sz w:val="18"/>
          <w:szCs w:val="18"/>
        </w:rPr>
        <w:t>-</w:t>
      </w:r>
      <w:r w:rsidR="00DA0B35" w:rsidRPr="00A628D0">
        <w:rPr>
          <w:rFonts w:asciiTheme="majorBidi" w:hAnsiTheme="majorBidi" w:cstheme="majorBidi"/>
          <w:sz w:val="18"/>
          <w:szCs w:val="18"/>
        </w:rPr>
        <w:t xml:space="preserve">Forum on </w:t>
      </w:r>
      <w:r w:rsidR="007F50B1" w:rsidRPr="00A628D0">
        <w:rPr>
          <w:rFonts w:asciiTheme="majorBidi" w:hAnsiTheme="majorBidi" w:cstheme="majorBidi"/>
          <w:sz w:val="18"/>
          <w:szCs w:val="18"/>
        </w:rPr>
        <w:t>the Future of EU Criminal Justice</w:t>
      </w:r>
      <w:r w:rsidR="009D7FD1" w:rsidRPr="00A628D0">
        <w:rPr>
          <w:rFonts w:asciiTheme="majorBidi" w:hAnsiTheme="majorBidi" w:cstheme="majorBidi"/>
          <w:sz w:val="18"/>
          <w:szCs w:val="18"/>
        </w:rPr>
        <w:t>, February-December 2025</w:t>
      </w:r>
      <w:r w:rsidR="00415A54" w:rsidRPr="00A628D0">
        <w:rPr>
          <w:rFonts w:asciiTheme="majorBidi" w:hAnsiTheme="majorBidi" w:cstheme="majorBidi"/>
          <w:sz w:val="18"/>
          <w:szCs w:val="18"/>
        </w:rPr>
        <w:t xml:space="preserve"> (HLF report)</w:t>
      </w:r>
      <w:r w:rsidR="009D7FD1" w:rsidRPr="00A628D0">
        <w:rPr>
          <w:rFonts w:asciiTheme="majorBidi" w:hAnsiTheme="majorBidi" w:cstheme="majorBidi"/>
          <w:sz w:val="18"/>
          <w:szCs w:val="18"/>
        </w:rPr>
        <w:t>.</w:t>
      </w:r>
    </w:p>
  </w:footnote>
  <w:footnote w:id="17">
    <w:p w14:paraId="47D35AF0" w14:textId="77777777"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eastAsia="Times New Roman" w:hAnsiTheme="majorBidi" w:cstheme="majorBidi"/>
          <w:sz w:val="18"/>
          <w:szCs w:val="18"/>
        </w:rPr>
        <w:t>COM(2025) 870 final (21.10.2025), Annex I, No. 31.</w:t>
      </w:r>
    </w:p>
  </w:footnote>
  <w:footnote w:id="18">
    <w:p w14:paraId="69FA3020" w14:textId="4039CE2A" w:rsidR="00E11E9C" w:rsidRPr="000A4C6D" w:rsidRDefault="00E11E9C" w:rsidP="000A4C6D">
      <w:pPr>
        <w:pStyle w:val="FootnoteText"/>
        <w:spacing w:after="20"/>
        <w:rPr>
          <w:rFonts w:asciiTheme="majorBidi" w:hAnsiTheme="majorBidi" w:cstheme="majorBidi"/>
          <w:sz w:val="18"/>
          <w:szCs w:val="18"/>
        </w:rPr>
      </w:pPr>
      <w:r w:rsidRPr="000A4C6D">
        <w:rPr>
          <w:rStyle w:val="FootnoteReference"/>
          <w:sz w:val="18"/>
          <w:szCs w:val="18"/>
        </w:rPr>
        <w:footnoteRef/>
      </w:r>
      <w:r w:rsidRPr="000A4C6D">
        <w:rPr>
          <w:sz w:val="18"/>
          <w:szCs w:val="18"/>
        </w:rPr>
        <w:t xml:space="preserve"> </w:t>
      </w:r>
      <w:r w:rsidRPr="000D21FB">
        <w:rPr>
          <w:rFonts w:asciiTheme="majorBidi" w:hAnsiTheme="majorBidi" w:cstheme="majorBidi"/>
          <w:sz w:val="18"/>
          <w:szCs w:val="18"/>
        </w:rPr>
        <w:t>Eurojust Evaluation, p. 4</w:t>
      </w:r>
      <w:r w:rsidR="000D21FB" w:rsidRPr="000D21FB">
        <w:rPr>
          <w:rFonts w:asciiTheme="majorBidi" w:hAnsiTheme="majorBidi" w:cstheme="majorBidi"/>
          <w:sz w:val="18"/>
          <w:szCs w:val="18"/>
        </w:rPr>
        <w:t>3</w:t>
      </w:r>
      <w:r w:rsidRPr="000D21FB">
        <w:rPr>
          <w:rFonts w:asciiTheme="majorBidi" w:hAnsiTheme="majorBidi" w:cstheme="majorBidi"/>
          <w:sz w:val="18"/>
          <w:szCs w:val="18"/>
        </w:rPr>
        <w:t>.</w:t>
      </w:r>
    </w:p>
  </w:footnote>
  <w:footnote w:id="19">
    <w:p w14:paraId="43D69635" w14:textId="09C6819D"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192FDE" w:rsidRPr="00A628D0">
        <w:rPr>
          <w:rFonts w:asciiTheme="majorBidi" w:hAnsiTheme="majorBidi" w:cstheme="majorBidi"/>
          <w:sz w:val="18"/>
          <w:szCs w:val="18"/>
        </w:rPr>
        <w:t xml:space="preserve">Eurojust </w:t>
      </w:r>
      <w:r w:rsidRPr="00A628D0">
        <w:rPr>
          <w:rFonts w:asciiTheme="majorBidi" w:hAnsiTheme="majorBidi" w:cstheme="majorBidi"/>
          <w:sz w:val="18"/>
          <w:szCs w:val="18"/>
        </w:rPr>
        <w:t>Evaluation, p</w:t>
      </w:r>
      <w:r w:rsidR="00D9148D" w:rsidRPr="00A628D0">
        <w:rPr>
          <w:rFonts w:asciiTheme="majorBidi" w:hAnsiTheme="majorBidi" w:cstheme="majorBidi"/>
          <w:sz w:val="18"/>
          <w:szCs w:val="18"/>
        </w:rPr>
        <w:t>p</w:t>
      </w:r>
      <w:r w:rsidRPr="00A628D0">
        <w:rPr>
          <w:rFonts w:asciiTheme="majorBidi" w:hAnsiTheme="majorBidi" w:cstheme="majorBidi"/>
          <w:sz w:val="18"/>
          <w:szCs w:val="18"/>
        </w:rPr>
        <w:t>. 47-49.</w:t>
      </w:r>
    </w:p>
  </w:footnote>
  <w:footnote w:id="20">
    <w:p w14:paraId="6C540E49" w14:textId="17442E0A" w:rsidR="00113EE9" w:rsidRPr="000A4C6D" w:rsidRDefault="00113EE9">
      <w:pPr>
        <w:pStyle w:val="FootnoteText"/>
        <w:rPr>
          <w:sz w:val="18"/>
          <w:szCs w:val="18"/>
          <w:lang w:val="en-US"/>
        </w:rPr>
      </w:pPr>
      <w:r w:rsidRPr="000A4C6D">
        <w:rPr>
          <w:rStyle w:val="FootnoteReference"/>
          <w:sz w:val="18"/>
          <w:szCs w:val="18"/>
        </w:rPr>
        <w:footnoteRef/>
      </w:r>
      <w:r w:rsidRPr="000A4C6D">
        <w:rPr>
          <w:sz w:val="18"/>
          <w:szCs w:val="18"/>
        </w:rPr>
        <w:t xml:space="preserve"> </w:t>
      </w:r>
      <w:r w:rsidRPr="000A4C6D">
        <w:rPr>
          <w:sz w:val="18"/>
          <w:szCs w:val="18"/>
          <w:lang w:val="en-US"/>
        </w:rPr>
        <w:t xml:space="preserve">Changes to the EJR </w:t>
      </w:r>
      <w:r w:rsidR="009153D5" w:rsidRPr="000A4C6D">
        <w:rPr>
          <w:sz w:val="18"/>
          <w:szCs w:val="18"/>
          <w:lang w:val="en-US"/>
        </w:rPr>
        <w:t>since 2022 were targeted amendments (</w:t>
      </w:r>
      <w:r w:rsidR="009F7490" w:rsidRPr="000A4C6D">
        <w:rPr>
          <w:sz w:val="18"/>
          <w:szCs w:val="18"/>
          <w:lang w:val="en-US"/>
        </w:rPr>
        <w:t xml:space="preserve">Counter Terrorism Register, </w:t>
      </w:r>
      <w:r w:rsidR="001750CE">
        <w:rPr>
          <w:sz w:val="18"/>
          <w:szCs w:val="18"/>
          <w:lang w:val="en-US"/>
        </w:rPr>
        <w:t>CICED</w:t>
      </w:r>
      <w:r w:rsidR="009F7490" w:rsidRPr="000A4C6D">
        <w:rPr>
          <w:sz w:val="18"/>
          <w:szCs w:val="18"/>
          <w:lang w:val="en-US"/>
        </w:rPr>
        <w:t xml:space="preserve"> and new </w:t>
      </w:r>
      <w:r w:rsidR="001750CE">
        <w:rPr>
          <w:sz w:val="18"/>
          <w:szCs w:val="18"/>
          <w:lang w:val="en-US"/>
        </w:rPr>
        <w:t>CMS</w:t>
      </w:r>
      <w:r w:rsidR="009F7490" w:rsidRPr="000A4C6D">
        <w:rPr>
          <w:sz w:val="18"/>
          <w:szCs w:val="18"/>
          <w:lang w:val="en-US"/>
        </w:rPr>
        <w:t xml:space="preserve">) adding competences, in particular in reaction to crisis situations. These amendments did not constitute a comprehensive reform of the </w:t>
      </w:r>
      <w:r w:rsidR="001750CE">
        <w:rPr>
          <w:sz w:val="18"/>
          <w:szCs w:val="18"/>
          <w:lang w:val="en-US"/>
        </w:rPr>
        <w:t>A</w:t>
      </w:r>
      <w:r w:rsidR="009F7490" w:rsidRPr="000A4C6D">
        <w:rPr>
          <w:sz w:val="18"/>
          <w:szCs w:val="18"/>
          <w:lang w:val="en-US"/>
        </w:rPr>
        <w:t xml:space="preserve">gency </w:t>
      </w:r>
      <w:r w:rsidR="006D74F1">
        <w:rPr>
          <w:sz w:val="18"/>
          <w:szCs w:val="18"/>
          <w:lang w:val="en-US"/>
        </w:rPr>
        <w:t xml:space="preserve">that would </w:t>
      </w:r>
      <w:r w:rsidR="009F7490" w:rsidRPr="000A4C6D">
        <w:rPr>
          <w:sz w:val="18"/>
          <w:szCs w:val="18"/>
          <w:lang w:val="en-US"/>
        </w:rPr>
        <w:t>address broader structural deficiencies.</w:t>
      </w:r>
    </w:p>
  </w:footnote>
  <w:footnote w:id="21">
    <w:p w14:paraId="1A4D3863" w14:textId="687809BD" w:rsidR="005E7215" w:rsidRPr="00A628D0" w:rsidRDefault="005E721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192FDE" w:rsidRPr="00A628D0">
        <w:rPr>
          <w:rFonts w:asciiTheme="majorBidi" w:hAnsiTheme="majorBidi" w:cstheme="majorBidi"/>
          <w:sz w:val="18"/>
          <w:szCs w:val="18"/>
        </w:rPr>
        <w:t xml:space="preserve">Eurojust </w:t>
      </w:r>
      <w:r w:rsidRPr="00A628D0">
        <w:rPr>
          <w:rFonts w:asciiTheme="majorBidi" w:hAnsiTheme="majorBidi" w:cstheme="majorBidi"/>
          <w:sz w:val="18"/>
          <w:szCs w:val="18"/>
        </w:rPr>
        <w:t>Evaluation, p</w:t>
      </w:r>
      <w:r w:rsidR="00D9148D" w:rsidRPr="00A628D0">
        <w:rPr>
          <w:rFonts w:asciiTheme="majorBidi" w:hAnsiTheme="majorBidi" w:cstheme="majorBidi"/>
          <w:sz w:val="18"/>
          <w:szCs w:val="18"/>
        </w:rPr>
        <w:t>p</w:t>
      </w:r>
      <w:r w:rsidRPr="00A628D0">
        <w:rPr>
          <w:rFonts w:asciiTheme="majorBidi" w:hAnsiTheme="majorBidi" w:cstheme="majorBidi"/>
          <w:sz w:val="18"/>
          <w:szCs w:val="18"/>
        </w:rPr>
        <w:t>. 18, 33.</w:t>
      </w:r>
    </w:p>
  </w:footnote>
  <w:footnote w:id="22">
    <w:p w14:paraId="1F78EC3C" w14:textId="77777777" w:rsidR="005E7215" w:rsidRPr="00A628D0" w:rsidRDefault="005E7215"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hAnsiTheme="majorBidi" w:cstheme="majorBidi"/>
          <w:sz w:val="18"/>
          <w:szCs w:val="18"/>
          <w:lang w:val="en-IE"/>
        </w:rPr>
        <w:t>COM/2025/143 final.</w:t>
      </w:r>
    </w:p>
  </w:footnote>
  <w:footnote w:id="23">
    <w:p w14:paraId="3A15AFA1" w14:textId="5CBFDEE8"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1878206D"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25, 30-31</w:t>
      </w:r>
      <w:r w:rsidR="00113F5C" w:rsidRPr="00A628D0">
        <w:rPr>
          <w:rStyle w:val="Strong"/>
          <w:rFonts w:asciiTheme="majorBidi" w:hAnsiTheme="majorBidi" w:cstheme="majorBidi"/>
          <w:b w:val="0"/>
          <w:bCs w:val="0"/>
          <w:sz w:val="18"/>
          <w:szCs w:val="18"/>
        </w:rPr>
        <w:t>;</w:t>
      </w:r>
      <w:r w:rsidR="00F54E5F" w:rsidRPr="00A628D0">
        <w:rPr>
          <w:rStyle w:val="Strong"/>
          <w:rFonts w:asciiTheme="majorBidi" w:hAnsiTheme="majorBidi" w:cstheme="majorBidi"/>
          <w:b w:val="0"/>
          <w:bCs w:val="0"/>
          <w:sz w:val="18"/>
          <w:szCs w:val="18"/>
        </w:rPr>
        <w:t xml:space="preserve"> Support</w:t>
      </w:r>
      <w:r w:rsidRPr="00A628D0">
        <w:rPr>
          <w:rStyle w:val="Strong"/>
          <w:rFonts w:asciiTheme="majorBidi" w:hAnsiTheme="majorBidi" w:cstheme="majorBidi"/>
          <w:b w:val="0"/>
          <w:bCs w:val="0"/>
          <w:sz w:val="18"/>
          <w:szCs w:val="18"/>
        </w:rPr>
        <w:t xml:space="preserve"> study, p. 1</w:t>
      </w:r>
      <w:r w:rsidR="00651149">
        <w:rPr>
          <w:rStyle w:val="Strong"/>
          <w:rFonts w:asciiTheme="majorBidi" w:hAnsiTheme="majorBidi" w:cstheme="majorBidi"/>
          <w:b w:val="0"/>
          <w:bCs w:val="0"/>
          <w:sz w:val="18"/>
          <w:szCs w:val="18"/>
        </w:rPr>
        <w:t>8</w:t>
      </w:r>
      <w:r w:rsidRPr="00A628D0">
        <w:rPr>
          <w:rStyle w:val="Strong"/>
          <w:rFonts w:asciiTheme="majorBidi" w:hAnsiTheme="majorBidi" w:cstheme="majorBidi"/>
          <w:b w:val="0"/>
          <w:bCs w:val="0"/>
          <w:sz w:val="18"/>
          <w:szCs w:val="18"/>
        </w:rPr>
        <w:t>.</w:t>
      </w:r>
    </w:p>
  </w:footnote>
  <w:footnote w:id="24">
    <w:p w14:paraId="6CFF7C77" w14:textId="2C25DF5A"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The number of registered cases grew by 66% between 2019 and 2024, at an average growth rate of 11%. The projected annual growth in workload for the period 2026-2028 is 8%. </w:t>
      </w:r>
      <w:r w:rsidR="09057E56" w:rsidRPr="00A628D0">
        <w:rPr>
          <w:rStyle w:val="Strong"/>
          <w:rFonts w:asciiTheme="majorBidi" w:hAnsiTheme="majorBidi" w:cstheme="majorBidi"/>
          <w:b w:val="0"/>
          <w:bCs w:val="0"/>
          <w:sz w:val="18"/>
          <w:szCs w:val="18"/>
        </w:rPr>
        <w:t>Support</w:t>
      </w:r>
      <w:r w:rsidRPr="00A628D0">
        <w:rPr>
          <w:rStyle w:val="Strong"/>
          <w:rFonts w:asciiTheme="majorBidi" w:hAnsiTheme="majorBidi" w:cstheme="majorBidi"/>
          <w:b w:val="0"/>
          <w:bCs w:val="0"/>
          <w:sz w:val="18"/>
          <w:szCs w:val="18"/>
        </w:rPr>
        <w:t xml:space="preserve"> study, </w:t>
      </w:r>
      <w:r w:rsidR="7A9F3B89" w:rsidRPr="00A628D0">
        <w:rPr>
          <w:rStyle w:val="Strong"/>
          <w:rFonts w:asciiTheme="majorBidi" w:hAnsiTheme="majorBidi" w:cstheme="majorBidi"/>
          <w:b w:val="0"/>
          <w:bCs w:val="0"/>
          <w:sz w:val="18"/>
          <w:szCs w:val="18"/>
        </w:rPr>
        <w:t>p</w:t>
      </w:r>
      <w:r w:rsidR="00EE2B3A"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1</w:t>
      </w:r>
      <w:r w:rsidR="00651149">
        <w:rPr>
          <w:rStyle w:val="Strong"/>
          <w:rFonts w:asciiTheme="majorBidi" w:hAnsiTheme="majorBidi" w:cstheme="majorBidi"/>
          <w:b w:val="0"/>
          <w:bCs w:val="0"/>
          <w:sz w:val="18"/>
          <w:szCs w:val="18"/>
        </w:rPr>
        <w:t>8</w:t>
      </w:r>
      <w:r w:rsidRPr="00A628D0">
        <w:rPr>
          <w:rStyle w:val="Strong"/>
          <w:rFonts w:asciiTheme="majorBidi" w:hAnsiTheme="majorBidi" w:cstheme="majorBidi"/>
          <w:b w:val="0"/>
          <w:bCs w:val="0"/>
          <w:sz w:val="18"/>
          <w:szCs w:val="18"/>
        </w:rPr>
        <w:t>-1</w:t>
      </w:r>
      <w:r w:rsidR="00651149">
        <w:rPr>
          <w:rStyle w:val="Strong"/>
          <w:rFonts w:asciiTheme="majorBidi" w:hAnsiTheme="majorBidi" w:cstheme="majorBidi"/>
          <w:b w:val="0"/>
          <w:bCs w:val="0"/>
          <w:sz w:val="18"/>
          <w:szCs w:val="18"/>
        </w:rPr>
        <w:t>9</w:t>
      </w:r>
      <w:r w:rsidRPr="00A628D0">
        <w:rPr>
          <w:rStyle w:val="Strong"/>
          <w:rFonts w:asciiTheme="majorBidi" w:hAnsiTheme="majorBidi" w:cstheme="majorBidi"/>
          <w:b w:val="0"/>
          <w:bCs w:val="0"/>
          <w:sz w:val="18"/>
          <w:szCs w:val="18"/>
        </w:rPr>
        <w:t>.</w:t>
      </w:r>
    </w:p>
  </w:footnote>
  <w:footnote w:id="25">
    <w:p w14:paraId="78669D48" w14:textId="5113F8DE" w:rsidR="009E43F4" w:rsidRPr="000A4C6D" w:rsidRDefault="009E43F4">
      <w:pPr>
        <w:pStyle w:val="FootnoteText"/>
        <w:rPr>
          <w:sz w:val="18"/>
          <w:szCs w:val="18"/>
          <w:lang w:val="en-US"/>
        </w:rPr>
      </w:pPr>
      <w:r w:rsidRPr="000A4C6D">
        <w:rPr>
          <w:rStyle w:val="FootnoteReference"/>
          <w:sz w:val="18"/>
          <w:szCs w:val="18"/>
        </w:rPr>
        <w:footnoteRef/>
      </w:r>
      <w:r w:rsidRPr="000A4C6D">
        <w:rPr>
          <w:sz w:val="18"/>
          <w:szCs w:val="18"/>
        </w:rPr>
        <w:t xml:space="preserve"> </w:t>
      </w:r>
      <w:r w:rsidR="002D2C02" w:rsidRPr="000A4C6D">
        <w:rPr>
          <w:sz w:val="18"/>
          <w:szCs w:val="18"/>
          <w:lang w:val="en-US"/>
        </w:rPr>
        <w:t>C</w:t>
      </w:r>
      <w:r w:rsidR="002D2C02" w:rsidRPr="000A4C6D">
        <w:rPr>
          <w:rFonts w:eastAsia="Times New Roman"/>
          <w:sz w:val="18"/>
          <w:szCs w:val="18"/>
        </w:rPr>
        <w:t>ore characteristics of a complex case are for example:</w:t>
      </w:r>
      <w:r w:rsidR="002D2C02" w:rsidRPr="000A4C6D">
        <w:rPr>
          <w:sz w:val="18"/>
          <w:szCs w:val="18"/>
          <w:lang w:val="en-US"/>
        </w:rPr>
        <w:t xml:space="preserve"> multilateral investigations (several Member States and/or third countries) linked to organised crime, parallel proceedings and prosecutions with risks of jurisdictional conflicts, </w:t>
      </w:r>
      <w:r w:rsidR="002D2C02" w:rsidRPr="000A4C6D">
        <w:rPr>
          <w:rFonts w:eastAsia="Times New Roman"/>
          <w:sz w:val="18"/>
          <w:szCs w:val="18"/>
        </w:rPr>
        <w:t xml:space="preserve">several legal frameworks and judicial authorities involved, </w:t>
      </w:r>
      <w:r w:rsidR="002D2C02" w:rsidRPr="000A4C6D">
        <w:rPr>
          <w:sz w:val="18"/>
          <w:szCs w:val="18"/>
          <w:lang w:val="en-US"/>
        </w:rPr>
        <w:t>operations demanding coordination tools or synchroni</w:t>
      </w:r>
      <w:r w:rsidR="002D2C02">
        <w:rPr>
          <w:sz w:val="18"/>
          <w:szCs w:val="18"/>
          <w:lang w:val="en-US"/>
        </w:rPr>
        <w:t>s</w:t>
      </w:r>
      <w:r w:rsidR="002D2C02" w:rsidRPr="000A4C6D">
        <w:rPr>
          <w:sz w:val="18"/>
          <w:szCs w:val="18"/>
          <w:lang w:val="en-US"/>
        </w:rPr>
        <w:t xml:space="preserve">ed actions (e.g., JITs, simultaneous arrests, or searches), </w:t>
      </w:r>
      <w:r w:rsidR="002D2C02" w:rsidRPr="000A4C6D">
        <w:rPr>
          <w:rFonts w:eastAsia="Times New Roman"/>
          <w:sz w:val="18"/>
          <w:szCs w:val="18"/>
        </w:rPr>
        <w:t>operational urgency or strategic importance.</w:t>
      </w:r>
    </w:p>
  </w:footnote>
  <w:footnote w:id="26">
    <w:p w14:paraId="3F9A7681" w14:textId="156A056B"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6BCBED29" w:rsidRPr="00A628D0">
        <w:rPr>
          <w:rStyle w:val="Strong"/>
          <w:rFonts w:asciiTheme="majorBidi" w:hAnsiTheme="majorBidi" w:cstheme="majorBidi"/>
          <w:b w:val="0"/>
          <w:bCs w:val="0"/>
          <w:sz w:val="18"/>
          <w:szCs w:val="18"/>
        </w:rPr>
        <w:t>p</w:t>
      </w:r>
      <w:r w:rsidR="005725C7"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18-20, 25-27.</w:t>
      </w:r>
    </w:p>
  </w:footnote>
  <w:footnote w:id="27">
    <w:p w14:paraId="2ACBB88C" w14:textId="1FC75915" w:rsidR="00842F13" w:rsidRPr="000A4C6D" w:rsidRDefault="00842F13">
      <w:pPr>
        <w:pStyle w:val="FootnoteText"/>
        <w:rPr>
          <w:sz w:val="18"/>
          <w:szCs w:val="18"/>
        </w:rPr>
      </w:pPr>
      <w:r w:rsidRPr="000A4C6D">
        <w:rPr>
          <w:rStyle w:val="FootnoteReference"/>
          <w:sz w:val="18"/>
          <w:szCs w:val="18"/>
        </w:rPr>
        <w:footnoteRef/>
      </w:r>
      <w:r w:rsidR="00963977" w:rsidRPr="000A4C6D">
        <w:rPr>
          <w:sz w:val="18"/>
          <w:szCs w:val="18"/>
        </w:rPr>
        <w:t xml:space="preserve"> </w:t>
      </w:r>
      <w:hyperlink r:id="rId4" w:history="1">
        <w:r w:rsidR="00963977" w:rsidRPr="000A4C6D">
          <w:rPr>
            <w:rStyle w:val="Hyperlink"/>
            <w:sz w:val="18"/>
            <w:szCs w:val="18"/>
          </w:rPr>
          <w:t>https://www.eurojust.europa.eu/ar2020/7-casework-crime-type/72-encrochat-dismantling-encrypted-network-used-criminal-groups</w:t>
        </w:r>
      </w:hyperlink>
      <w:r w:rsidR="00963977" w:rsidRPr="000A4C6D">
        <w:rPr>
          <w:sz w:val="18"/>
          <w:szCs w:val="18"/>
        </w:rPr>
        <w:t xml:space="preserve">; </w:t>
      </w:r>
      <w:hyperlink r:id="rId5" w:history="1">
        <w:r w:rsidR="00D45B3E" w:rsidRPr="000A4C6D">
          <w:rPr>
            <w:rStyle w:val="Hyperlink"/>
            <w:sz w:val="18"/>
            <w:szCs w:val="18"/>
          </w:rPr>
          <w:t>https://www.eurojust.europa.eu/news/dismantling-encrypted-criminal-encrochat-communications-6-500-arrests-900-eur-seized</w:t>
        </w:r>
      </w:hyperlink>
      <w:r w:rsidR="00D45B3E" w:rsidRPr="000A4C6D">
        <w:rPr>
          <w:sz w:val="18"/>
          <w:szCs w:val="18"/>
        </w:rPr>
        <w:t xml:space="preserve">; </w:t>
      </w:r>
      <w:hyperlink r:id="rId6" w:history="1">
        <w:r w:rsidR="00E35ED9" w:rsidRPr="000A4C6D">
          <w:rPr>
            <w:rStyle w:val="Hyperlink"/>
            <w:sz w:val="18"/>
            <w:szCs w:val="18"/>
          </w:rPr>
          <w:t>https://www.eurojust.europa.eu/fr/document/encrochat-investigation-france</w:t>
        </w:r>
      </w:hyperlink>
      <w:r w:rsidR="00E35ED9" w:rsidRPr="000A4C6D">
        <w:rPr>
          <w:sz w:val="18"/>
          <w:szCs w:val="18"/>
        </w:rPr>
        <w:t xml:space="preserve">. </w:t>
      </w:r>
    </w:p>
  </w:footnote>
  <w:footnote w:id="28">
    <w:p w14:paraId="23C1007E" w14:textId="77777777" w:rsidR="003915D8" w:rsidRPr="00A628D0" w:rsidRDefault="003915D8"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Amending Regulations (EU) 2022/838 (establishing the Core International Crimes Evidence Database and supporting the International Centre for the Prosecution of the Crime of Aggression) and 2023/2131 (establishing the Counter Terrorism Register).</w:t>
      </w:r>
    </w:p>
  </w:footnote>
  <w:footnote w:id="29">
    <w:p w14:paraId="3E3C9C25" w14:textId="046FBF3C"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7093BE9C" w:rsidRPr="00A628D0">
        <w:rPr>
          <w:rStyle w:val="Strong"/>
          <w:rFonts w:asciiTheme="majorBidi" w:hAnsiTheme="majorBidi" w:cstheme="majorBidi"/>
          <w:b w:val="0"/>
          <w:bCs w:val="0"/>
          <w:sz w:val="18"/>
          <w:szCs w:val="18"/>
        </w:rPr>
        <w:t>p</w:t>
      </w:r>
      <w:r w:rsidR="007A5289"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23-24, 27-28.</w:t>
      </w:r>
    </w:p>
  </w:footnote>
  <w:footnote w:id="30">
    <w:p w14:paraId="363EFE06" w14:textId="43F6515E"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1603C94" w:rsidRPr="00A628D0">
        <w:rPr>
          <w:rStyle w:val="Strong"/>
          <w:rFonts w:asciiTheme="majorBidi" w:hAnsiTheme="majorBidi" w:cstheme="majorBidi"/>
          <w:b w:val="0"/>
          <w:bCs w:val="0"/>
          <w:sz w:val="18"/>
          <w:szCs w:val="18"/>
        </w:rPr>
        <w:t>Support</w:t>
      </w:r>
      <w:r w:rsidRPr="00A628D0">
        <w:rPr>
          <w:rStyle w:val="Strong"/>
          <w:rFonts w:asciiTheme="majorBidi" w:hAnsiTheme="majorBidi" w:cstheme="majorBidi"/>
          <w:b w:val="0"/>
          <w:bCs w:val="0"/>
          <w:sz w:val="18"/>
          <w:szCs w:val="18"/>
        </w:rPr>
        <w:t xml:space="preserve"> study, p. </w:t>
      </w:r>
      <w:r w:rsidR="00F20A05">
        <w:rPr>
          <w:rStyle w:val="Strong"/>
          <w:rFonts w:asciiTheme="majorBidi" w:hAnsiTheme="majorBidi" w:cstheme="majorBidi"/>
          <w:b w:val="0"/>
          <w:bCs w:val="0"/>
          <w:sz w:val="18"/>
          <w:szCs w:val="18"/>
        </w:rPr>
        <w:t>21</w:t>
      </w:r>
      <w:r w:rsidRPr="00A628D0">
        <w:rPr>
          <w:rStyle w:val="Strong"/>
          <w:rFonts w:asciiTheme="majorBidi" w:hAnsiTheme="majorBidi" w:cstheme="majorBidi"/>
          <w:b w:val="0"/>
          <w:bCs w:val="0"/>
          <w:sz w:val="18"/>
          <w:szCs w:val="18"/>
        </w:rPr>
        <w:t>.</w:t>
      </w:r>
    </w:p>
  </w:footnote>
  <w:footnote w:id="31">
    <w:p w14:paraId="29A40A11" w14:textId="5B9C5C89"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1603C94" w:rsidRPr="00A628D0">
        <w:rPr>
          <w:rStyle w:val="Strong"/>
          <w:rFonts w:asciiTheme="majorBidi" w:hAnsiTheme="majorBidi" w:cstheme="majorBidi"/>
          <w:b w:val="0"/>
          <w:bCs w:val="0"/>
          <w:sz w:val="18"/>
          <w:szCs w:val="18"/>
        </w:rPr>
        <w:t>Support</w:t>
      </w:r>
      <w:r w:rsidRPr="00A628D0">
        <w:rPr>
          <w:rStyle w:val="Strong"/>
          <w:rFonts w:asciiTheme="majorBidi" w:hAnsiTheme="majorBidi" w:cstheme="majorBidi"/>
          <w:b w:val="0"/>
          <w:bCs w:val="0"/>
          <w:sz w:val="18"/>
          <w:szCs w:val="18"/>
        </w:rPr>
        <w:t xml:space="preserve"> study, p. 2</w:t>
      </w:r>
      <w:r w:rsidR="00F20A05">
        <w:rPr>
          <w:rStyle w:val="Strong"/>
          <w:rFonts w:asciiTheme="majorBidi" w:hAnsiTheme="majorBidi" w:cstheme="majorBidi"/>
          <w:b w:val="0"/>
          <w:bCs w:val="0"/>
          <w:sz w:val="18"/>
          <w:szCs w:val="18"/>
        </w:rPr>
        <w:t>2</w:t>
      </w:r>
      <w:r w:rsidRPr="00A628D0">
        <w:rPr>
          <w:rStyle w:val="Strong"/>
          <w:rFonts w:asciiTheme="majorBidi" w:hAnsiTheme="majorBidi" w:cstheme="majorBidi"/>
          <w:b w:val="0"/>
          <w:bCs w:val="0"/>
          <w:sz w:val="18"/>
          <w:szCs w:val="18"/>
        </w:rPr>
        <w:t>.</w:t>
      </w:r>
    </w:p>
  </w:footnote>
  <w:footnote w:id="32">
    <w:p w14:paraId="1522F882" w14:textId="1896E85C"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p</w:t>
      </w:r>
      <w:r w:rsidR="00AA5238"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14, 37</w:t>
      </w:r>
      <w:r w:rsidR="00AA5238" w:rsidRPr="00A628D0">
        <w:rPr>
          <w:rStyle w:val="Strong"/>
          <w:rFonts w:asciiTheme="majorBidi" w:hAnsiTheme="majorBidi" w:cstheme="majorBidi"/>
          <w:b w:val="0"/>
          <w:bCs w:val="0"/>
          <w:sz w:val="18"/>
          <w:szCs w:val="18"/>
        </w:rPr>
        <w:t>;</w:t>
      </w:r>
      <w:r w:rsidRPr="00A628D0">
        <w:rPr>
          <w:rStyle w:val="Strong"/>
          <w:rFonts w:asciiTheme="majorBidi" w:hAnsiTheme="majorBidi" w:cstheme="majorBidi"/>
          <w:b w:val="0"/>
          <w:bCs w:val="0"/>
          <w:sz w:val="18"/>
          <w:szCs w:val="18"/>
        </w:rPr>
        <w:t xml:space="preserve"> </w:t>
      </w:r>
      <w:r w:rsidR="314F65FD" w:rsidRPr="00A628D0">
        <w:rPr>
          <w:rStyle w:val="Strong"/>
          <w:rFonts w:asciiTheme="majorBidi" w:hAnsiTheme="majorBidi" w:cstheme="majorBidi"/>
          <w:b w:val="0"/>
          <w:bCs w:val="0"/>
          <w:sz w:val="18"/>
          <w:szCs w:val="18"/>
        </w:rPr>
        <w:t>Support</w:t>
      </w:r>
      <w:r w:rsidRPr="00A628D0">
        <w:rPr>
          <w:rStyle w:val="Strong"/>
          <w:rFonts w:asciiTheme="majorBidi" w:hAnsiTheme="majorBidi" w:cstheme="majorBidi"/>
          <w:b w:val="0"/>
          <w:bCs w:val="0"/>
          <w:sz w:val="18"/>
          <w:szCs w:val="18"/>
        </w:rPr>
        <w:t xml:space="preserve"> study, p. </w:t>
      </w:r>
      <w:r w:rsidR="00F20A05">
        <w:rPr>
          <w:rStyle w:val="Strong"/>
          <w:rFonts w:asciiTheme="majorBidi" w:hAnsiTheme="majorBidi" w:cstheme="majorBidi"/>
          <w:b w:val="0"/>
          <w:bCs w:val="0"/>
          <w:sz w:val="18"/>
          <w:szCs w:val="18"/>
        </w:rPr>
        <w:t>21</w:t>
      </w:r>
      <w:r w:rsidRPr="00A628D0">
        <w:rPr>
          <w:rStyle w:val="Strong"/>
          <w:rFonts w:asciiTheme="majorBidi" w:hAnsiTheme="majorBidi" w:cstheme="majorBidi"/>
          <w:b w:val="0"/>
          <w:bCs w:val="0"/>
          <w:sz w:val="18"/>
          <w:szCs w:val="18"/>
        </w:rPr>
        <w:t>.</w:t>
      </w:r>
    </w:p>
  </w:footnote>
  <w:footnote w:id="33">
    <w:p w14:paraId="79A44DE4" w14:textId="5F32009F"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4D212C92" w:rsidRPr="008F111F">
        <w:rPr>
          <w:rFonts w:asciiTheme="majorBidi" w:hAnsiTheme="majorBidi" w:cstheme="majorBidi"/>
          <w:sz w:val="18"/>
          <w:szCs w:val="18"/>
        </w:rPr>
        <w:t>S</w:t>
      </w:r>
      <w:r w:rsidR="04F96FA3" w:rsidRPr="00A628D0">
        <w:rPr>
          <w:rStyle w:val="Strong"/>
          <w:rFonts w:asciiTheme="majorBidi" w:hAnsiTheme="majorBidi" w:cstheme="majorBidi"/>
          <w:b w:val="0"/>
          <w:bCs w:val="0"/>
          <w:sz w:val="18"/>
          <w:szCs w:val="18"/>
        </w:rPr>
        <w:t>upport</w:t>
      </w:r>
      <w:r w:rsidRPr="00A628D0">
        <w:rPr>
          <w:rStyle w:val="Strong"/>
          <w:rFonts w:asciiTheme="majorBidi" w:hAnsiTheme="majorBidi" w:cstheme="majorBidi"/>
          <w:b w:val="0"/>
          <w:bCs w:val="0"/>
          <w:sz w:val="18"/>
          <w:szCs w:val="18"/>
        </w:rPr>
        <w:t xml:space="preserve"> study, p</w:t>
      </w:r>
      <w:r w:rsidR="00E37AE9"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17-18.</w:t>
      </w:r>
    </w:p>
  </w:footnote>
  <w:footnote w:id="34">
    <w:p w14:paraId="2F4D2CA6" w14:textId="705CDD2C"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4D212C92"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upport study, p. 1</w:t>
      </w:r>
      <w:r w:rsidR="00633182">
        <w:rPr>
          <w:rStyle w:val="Strong"/>
          <w:rFonts w:asciiTheme="majorBidi" w:hAnsiTheme="majorBidi" w:cstheme="majorBidi"/>
          <w:b w:val="0"/>
          <w:bCs w:val="0"/>
          <w:sz w:val="18"/>
          <w:szCs w:val="18"/>
        </w:rPr>
        <w:t>9</w:t>
      </w:r>
      <w:r w:rsidRPr="00A628D0">
        <w:rPr>
          <w:rStyle w:val="Strong"/>
          <w:rFonts w:asciiTheme="majorBidi" w:hAnsiTheme="majorBidi" w:cstheme="majorBidi"/>
          <w:b w:val="0"/>
          <w:bCs w:val="0"/>
          <w:sz w:val="18"/>
          <w:szCs w:val="18"/>
        </w:rPr>
        <w:t>.</w:t>
      </w:r>
    </w:p>
  </w:footnote>
  <w:footnote w:id="35">
    <w:p w14:paraId="3EB6A9DB" w14:textId="359DD353"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7D7DDD64" w:rsidRPr="00612306">
        <w:rPr>
          <w:rFonts w:asciiTheme="majorBidi" w:hAnsiTheme="majorBidi" w:cstheme="majorBidi"/>
          <w:sz w:val="18"/>
          <w:szCs w:val="18"/>
        </w:rPr>
        <w:t>S</w:t>
      </w:r>
      <w:r w:rsidRPr="00A628D0">
        <w:rPr>
          <w:rStyle w:val="Strong"/>
          <w:rFonts w:asciiTheme="majorBidi" w:hAnsiTheme="majorBidi" w:cstheme="majorBidi"/>
          <w:b w:val="0"/>
          <w:bCs w:val="0"/>
          <w:sz w:val="18"/>
          <w:szCs w:val="18"/>
        </w:rPr>
        <w:t>upport study, p. 2</w:t>
      </w:r>
      <w:r w:rsidR="00633182">
        <w:rPr>
          <w:rStyle w:val="Strong"/>
          <w:rFonts w:asciiTheme="majorBidi" w:hAnsiTheme="majorBidi" w:cstheme="majorBidi"/>
          <w:b w:val="0"/>
          <w:bCs w:val="0"/>
          <w:sz w:val="18"/>
          <w:szCs w:val="18"/>
        </w:rPr>
        <w:t>0</w:t>
      </w:r>
      <w:r w:rsidRPr="00A628D0">
        <w:rPr>
          <w:rStyle w:val="Strong"/>
          <w:rFonts w:asciiTheme="majorBidi" w:hAnsiTheme="majorBidi" w:cstheme="majorBidi"/>
          <w:b w:val="0"/>
          <w:bCs w:val="0"/>
          <w:sz w:val="18"/>
          <w:szCs w:val="18"/>
        </w:rPr>
        <w:t>.</w:t>
      </w:r>
    </w:p>
  </w:footnote>
  <w:footnote w:id="36">
    <w:p w14:paraId="0DA75113" w14:textId="3FFE0588"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00E37AE9"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xml:space="preserve">p. 30-34. </w:t>
      </w:r>
      <w:r w:rsidR="2D752C87"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 xml:space="preserve">upport study, </w:t>
      </w:r>
      <w:r w:rsidR="76579C0F"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w:t>
      </w:r>
      <w:r w:rsidR="00F20A05">
        <w:rPr>
          <w:rStyle w:val="Strong"/>
          <w:rFonts w:asciiTheme="majorBidi" w:hAnsiTheme="majorBidi" w:cstheme="majorBidi"/>
          <w:b w:val="0"/>
          <w:bCs w:val="0"/>
          <w:sz w:val="18"/>
          <w:szCs w:val="18"/>
        </w:rPr>
        <w:t>2</w:t>
      </w:r>
      <w:r w:rsidRPr="00A628D0">
        <w:rPr>
          <w:rStyle w:val="Strong"/>
          <w:rFonts w:asciiTheme="majorBidi" w:hAnsiTheme="majorBidi" w:cstheme="majorBidi"/>
          <w:b w:val="0"/>
          <w:bCs w:val="0"/>
          <w:sz w:val="18"/>
          <w:szCs w:val="18"/>
        </w:rPr>
        <w:t>-2</w:t>
      </w:r>
      <w:r w:rsidR="00633182">
        <w:rPr>
          <w:rStyle w:val="Strong"/>
          <w:rFonts w:asciiTheme="majorBidi" w:hAnsiTheme="majorBidi" w:cstheme="majorBidi"/>
          <w:b w:val="0"/>
          <w:bCs w:val="0"/>
          <w:sz w:val="18"/>
          <w:szCs w:val="18"/>
        </w:rPr>
        <w:t>5</w:t>
      </w:r>
      <w:r w:rsidRPr="00A628D0">
        <w:rPr>
          <w:rStyle w:val="Strong"/>
          <w:rFonts w:asciiTheme="majorBidi" w:hAnsiTheme="majorBidi" w:cstheme="majorBidi"/>
          <w:b w:val="0"/>
          <w:bCs w:val="0"/>
          <w:sz w:val="18"/>
          <w:szCs w:val="18"/>
        </w:rPr>
        <w:t>.</w:t>
      </w:r>
    </w:p>
  </w:footnote>
  <w:footnote w:id="37">
    <w:p w14:paraId="427AF98F" w14:textId="66308B07"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p</w:t>
      </w:r>
      <w:r w:rsidR="00E37AE9"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18-20, 26-27</w:t>
      </w:r>
      <w:r w:rsidR="00AA334C" w:rsidRPr="00A628D0">
        <w:rPr>
          <w:rStyle w:val="Strong"/>
          <w:rFonts w:asciiTheme="majorBidi" w:hAnsiTheme="majorBidi" w:cstheme="majorBidi"/>
          <w:b w:val="0"/>
          <w:bCs w:val="0"/>
          <w:sz w:val="18"/>
          <w:szCs w:val="18"/>
        </w:rPr>
        <w:t>;</w:t>
      </w:r>
      <w:r w:rsidRPr="00A628D0">
        <w:rPr>
          <w:rStyle w:val="Strong"/>
          <w:rFonts w:asciiTheme="majorBidi" w:hAnsiTheme="majorBidi" w:cstheme="majorBidi"/>
          <w:b w:val="0"/>
          <w:bCs w:val="0"/>
          <w:sz w:val="18"/>
          <w:szCs w:val="18"/>
        </w:rPr>
        <w:t xml:space="preserve"> </w:t>
      </w:r>
      <w:r w:rsidR="27CBC28C"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upport study, p</w:t>
      </w:r>
      <w:r w:rsidR="0050362C"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1</w:t>
      </w:r>
      <w:r w:rsidR="00070BFF">
        <w:rPr>
          <w:rStyle w:val="Strong"/>
          <w:rFonts w:asciiTheme="majorBidi" w:hAnsiTheme="majorBidi" w:cstheme="majorBidi"/>
          <w:b w:val="0"/>
          <w:bCs w:val="0"/>
          <w:sz w:val="18"/>
          <w:szCs w:val="18"/>
        </w:rPr>
        <w:t>8</w:t>
      </w:r>
      <w:r w:rsidRPr="00A628D0">
        <w:rPr>
          <w:rStyle w:val="Strong"/>
          <w:rFonts w:asciiTheme="majorBidi" w:hAnsiTheme="majorBidi" w:cstheme="majorBidi"/>
          <w:b w:val="0"/>
          <w:bCs w:val="0"/>
          <w:sz w:val="18"/>
          <w:szCs w:val="18"/>
        </w:rPr>
        <w:t>, 2</w:t>
      </w:r>
      <w:r w:rsidR="00070BFF">
        <w:rPr>
          <w:rStyle w:val="Strong"/>
          <w:rFonts w:asciiTheme="majorBidi" w:hAnsiTheme="majorBidi" w:cstheme="majorBidi"/>
          <w:b w:val="0"/>
          <w:bCs w:val="0"/>
          <w:sz w:val="18"/>
          <w:szCs w:val="18"/>
        </w:rPr>
        <w:t>7</w:t>
      </w:r>
      <w:r w:rsidRPr="00A628D0">
        <w:rPr>
          <w:rStyle w:val="Strong"/>
          <w:rFonts w:asciiTheme="majorBidi" w:hAnsiTheme="majorBidi" w:cstheme="majorBidi"/>
          <w:b w:val="0"/>
          <w:bCs w:val="0"/>
          <w:sz w:val="18"/>
          <w:szCs w:val="18"/>
        </w:rPr>
        <w:t>.</w:t>
      </w:r>
    </w:p>
  </w:footnote>
  <w:footnote w:id="38">
    <w:p w14:paraId="5F7B6D52" w14:textId="41BDCC81" w:rsidR="00A55069" w:rsidRPr="00504DA1" w:rsidRDefault="00A55069">
      <w:pPr>
        <w:pStyle w:val="FootnoteText"/>
        <w:rPr>
          <w:sz w:val="18"/>
          <w:szCs w:val="18"/>
          <w:lang w:val="en-US"/>
        </w:rPr>
      </w:pPr>
      <w:r w:rsidRPr="00504DA1">
        <w:rPr>
          <w:rStyle w:val="FootnoteReference"/>
          <w:sz w:val="18"/>
          <w:szCs w:val="18"/>
        </w:rPr>
        <w:footnoteRef/>
      </w:r>
      <w:r w:rsidRPr="00504DA1">
        <w:rPr>
          <w:sz w:val="18"/>
          <w:szCs w:val="18"/>
        </w:rPr>
        <w:t xml:space="preserve"> </w:t>
      </w:r>
      <w:r w:rsidRPr="00504DA1">
        <w:rPr>
          <w:sz w:val="18"/>
          <w:szCs w:val="18"/>
          <w:lang w:val="en-US"/>
        </w:rPr>
        <w:t>Eurojust Evaluation, p</w:t>
      </w:r>
      <w:r w:rsidR="0051709C" w:rsidRPr="00504DA1">
        <w:rPr>
          <w:sz w:val="18"/>
          <w:szCs w:val="18"/>
          <w:lang w:val="en-US"/>
        </w:rPr>
        <w:t>p. 41-42</w:t>
      </w:r>
      <w:r w:rsidR="002375D5" w:rsidRPr="00504DA1">
        <w:rPr>
          <w:sz w:val="18"/>
          <w:szCs w:val="18"/>
          <w:lang w:val="en-US"/>
        </w:rPr>
        <w:t>.</w:t>
      </w:r>
    </w:p>
  </w:footnote>
  <w:footnote w:id="39">
    <w:p w14:paraId="5190F749" w14:textId="6F527BC8"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p</w:t>
      </w:r>
      <w:r w:rsidR="0045052F"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30-31, 36</w:t>
      </w:r>
      <w:r w:rsidRPr="00A628D0">
        <w:rPr>
          <w:rFonts w:asciiTheme="majorBidi" w:hAnsiTheme="majorBidi" w:cstheme="majorBidi"/>
          <w:sz w:val="18"/>
          <w:szCs w:val="18"/>
        </w:rPr>
        <w:t xml:space="preserve">. </w:t>
      </w:r>
      <w:r w:rsidR="450FC6CD" w:rsidRPr="00A628D0">
        <w:rPr>
          <w:rFonts w:asciiTheme="majorBidi" w:hAnsiTheme="majorBidi" w:cstheme="majorBidi"/>
          <w:sz w:val="18"/>
          <w:szCs w:val="18"/>
        </w:rPr>
        <w:t>S</w:t>
      </w:r>
      <w:r w:rsidR="7A871835" w:rsidRPr="00A628D0">
        <w:rPr>
          <w:rStyle w:val="Strong"/>
          <w:rFonts w:asciiTheme="majorBidi" w:hAnsiTheme="majorBidi" w:cstheme="majorBidi"/>
          <w:b w:val="0"/>
          <w:bCs w:val="0"/>
          <w:sz w:val="18"/>
          <w:szCs w:val="18"/>
        </w:rPr>
        <w:t xml:space="preserve">upport study, p. </w:t>
      </w:r>
      <w:r w:rsidRPr="00A628D0">
        <w:rPr>
          <w:rStyle w:val="Strong"/>
          <w:rFonts w:asciiTheme="majorBidi" w:hAnsiTheme="majorBidi" w:cstheme="majorBidi"/>
          <w:b w:val="0"/>
          <w:bCs w:val="0"/>
          <w:sz w:val="18"/>
          <w:szCs w:val="18"/>
        </w:rPr>
        <w:t>2</w:t>
      </w:r>
      <w:r w:rsidR="00070BFF">
        <w:rPr>
          <w:rStyle w:val="Strong"/>
          <w:rFonts w:asciiTheme="majorBidi" w:hAnsiTheme="majorBidi" w:cstheme="majorBidi"/>
          <w:b w:val="0"/>
          <w:bCs w:val="0"/>
          <w:sz w:val="18"/>
          <w:szCs w:val="18"/>
        </w:rPr>
        <w:t>7</w:t>
      </w:r>
      <w:r w:rsidRPr="00A628D0">
        <w:rPr>
          <w:rStyle w:val="Strong"/>
          <w:rFonts w:asciiTheme="majorBidi" w:hAnsiTheme="majorBidi" w:cstheme="majorBidi"/>
          <w:b w:val="0"/>
          <w:bCs w:val="0"/>
          <w:sz w:val="18"/>
          <w:szCs w:val="18"/>
        </w:rPr>
        <w:t>.</w:t>
      </w:r>
    </w:p>
  </w:footnote>
  <w:footnote w:id="40">
    <w:p w14:paraId="416B8D87" w14:textId="4A63AB9B" w:rsidR="003915D8" w:rsidRPr="00A628D0" w:rsidRDefault="003915D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4EDB8414" w:rsidRPr="00A628D0">
        <w:rPr>
          <w:rFonts w:asciiTheme="majorBidi" w:hAnsiTheme="majorBidi" w:cstheme="majorBidi"/>
          <w:sz w:val="18"/>
          <w:szCs w:val="18"/>
          <w:lang w:val="en-IE"/>
        </w:rPr>
        <w:t>Support study</w:t>
      </w:r>
      <w:r w:rsidRPr="00A628D0">
        <w:rPr>
          <w:rFonts w:asciiTheme="majorBidi" w:hAnsiTheme="majorBidi" w:cstheme="majorBidi"/>
          <w:sz w:val="18"/>
          <w:szCs w:val="18"/>
          <w:lang w:val="en-IE"/>
        </w:rPr>
        <w:t xml:space="preserve"> p. 1</w:t>
      </w:r>
      <w:r w:rsidR="00070BFF">
        <w:rPr>
          <w:rFonts w:asciiTheme="majorBidi" w:hAnsiTheme="majorBidi" w:cstheme="majorBidi"/>
          <w:sz w:val="18"/>
          <w:szCs w:val="18"/>
          <w:lang w:val="en-IE"/>
        </w:rPr>
        <w:t>8</w:t>
      </w:r>
      <w:r w:rsidRPr="00A628D0">
        <w:rPr>
          <w:rFonts w:asciiTheme="majorBidi" w:hAnsiTheme="majorBidi" w:cstheme="majorBidi"/>
          <w:sz w:val="18"/>
          <w:szCs w:val="18"/>
          <w:lang w:val="en-IE"/>
        </w:rPr>
        <w:t>.</w:t>
      </w:r>
    </w:p>
  </w:footnote>
  <w:footnote w:id="41">
    <w:p w14:paraId="56215500" w14:textId="6CBB2E33"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p</w:t>
      </w:r>
      <w:r w:rsidR="0050362C"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xml:space="preserve">. 33-35. </w:t>
      </w:r>
      <w:r w:rsidR="00A81408" w:rsidRPr="00A628D0">
        <w:rPr>
          <w:rStyle w:val="Strong"/>
          <w:rFonts w:asciiTheme="majorBidi" w:hAnsiTheme="majorBidi" w:cstheme="majorBidi"/>
          <w:b w:val="0"/>
          <w:bCs w:val="0"/>
          <w:sz w:val="18"/>
          <w:szCs w:val="18"/>
        </w:rPr>
        <w:t>T</w:t>
      </w:r>
      <w:r w:rsidRPr="00A628D0">
        <w:rPr>
          <w:rStyle w:val="Strong"/>
          <w:rFonts w:asciiTheme="majorBidi" w:hAnsiTheme="majorBidi" w:cstheme="majorBidi"/>
          <w:b w:val="0"/>
          <w:bCs w:val="0"/>
          <w:sz w:val="18"/>
          <w:szCs w:val="18"/>
        </w:rPr>
        <w:t>he support study suggests that by streamlining governance structures, Eurojust has the potential to deliver greater impact with the same or even reduced level of resources</w:t>
      </w:r>
      <w:r w:rsidR="00E34844" w:rsidRPr="00A628D0">
        <w:rPr>
          <w:rStyle w:val="Strong"/>
          <w:rFonts w:asciiTheme="majorBidi" w:hAnsiTheme="majorBidi" w:cstheme="majorBidi"/>
          <w:b w:val="0"/>
          <w:bCs w:val="0"/>
          <w:sz w:val="18"/>
          <w:szCs w:val="18"/>
        </w:rPr>
        <w:t>,</w:t>
      </w:r>
      <w:r w:rsidRPr="00A628D0">
        <w:rPr>
          <w:rStyle w:val="Strong"/>
          <w:rFonts w:asciiTheme="majorBidi" w:hAnsiTheme="majorBidi" w:cstheme="majorBidi"/>
          <w:b w:val="0"/>
          <w:bCs w:val="0"/>
          <w:sz w:val="18"/>
          <w:szCs w:val="18"/>
        </w:rPr>
        <w:t xml:space="preserve"> </w:t>
      </w:r>
      <w:r w:rsidR="1EEDEED7"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upport study, p. 2</w:t>
      </w:r>
      <w:r w:rsidR="00070BFF">
        <w:rPr>
          <w:rStyle w:val="Strong"/>
          <w:rFonts w:asciiTheme="majorBidi" w:hAnsiTheme="majorBidi" w:cstheme="majorBidi"/>
          <w:b w:val="0"/>
          <w:bCs w:val="0"/>
          <w:sz w:val="18"/>
          <w:szCs w:val="18"/>
        </w:rPr>
        <w:t>4</w:t>
      </w:r>
      <w:r w:rsidRPr="00A628D0">
        <w:rPr>
          <w:rStyle w:val="Strong"/>
          <w:rFonts w:asciiTheme="majorBidi" w:hAnsiTheme="majorBidi" w:cstheme="majorBidi"/>
          <w:b w:val="0"/>
          <w:bCs w:val="0"/>
          <w:sz w:val="18"/>
          <w:szCs w:val="18"/>
        </w:rPr>
        <w:t>.</w:t>
      </w:r>
    </w:p>
  </w:footnote>
  <w:footnote w:id="42">
    <w:p w14:paraId="57C6BC7C" w14:textId="62C576ED"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p</w:t>
      </w:r>
      <w:r w:rsidR="00E34844"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20, 27</w:t>
      </w:r>
      <w:r w:rsidR="00E34844" w:rsidRPr="00A628D0">
        <w:rPr>
          <w:rStyle w:val="Strong"/>
          <w:rFonts w:asciiTheme="majorBidi" w:hAnsiTheme="majorBidi" w:cstheme="majorBidi"/>
          <w:b w:val="0"/>
          <w:bCs w:val="0"/>
          <w:sz w:val="18"/>
          <w:szCs w:val="18"/>
        </w:rPr>
        <w:t xml:space="preserve">; </w:t>
      </w:r>
      <w:r w:rsidR="1E061CEF"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upport study, p</w:t>
      </w:r>
      <w:r w:rsidR="00E34844"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1</w:t>
      </w:r>
      <w:r w:rsidR="00070BFF">
        <w:rPr>
          <w:rStyle w:val="Strong"/>
          <w:rFonts w:asciiTheme="majorBidi" w:hAnsiTheme="majorBidi" w:cstheme="majorBidi"/>
          <w:b w:val="0"/>
          <w:bCs w:val="0"/>
          <w:sz w:val="18"/>
          <w:szCs w:val="18"/>
        </w:rPr>
        <w:t>9</w:t>
      </w:r>
      <w:r w:rsidRPr="00A628D0">
        <w:rPr>
          <w:rStyle w:val="Strong"/>
          <w:rFonts w:asciiTheme="majorBidi" w:hAnsiTheme="majorBidi" w:cstheme="majorBidi"/>
          <w:b w:val="0"/>
          <w:bCs w:val="0"/>
          <w:sz w:val="18"/>
          <w:szCs w:val="18"/>
        </w:rPr>
        <w:t>-</w:t>
      </w:r>
      <w:r w:rsidR="00070BFF">
        <w:rPr>
          <w:rStyle w:val="Strong"/>
          <w:rFonts w:asciiTheme="majorBidi" w:hAnsiTheme="majorBidi" w:cstheme="majorBidi"/>
          <w:b w:val="0"/>
          <w:bCs w:val="0"/>
          <w:sz w:val="18"/>
          <w:szCs w:val="18"/>
        </w:rPr>
        <w:t>20</w:t>
      </w:r>
      <w:r w:rsidR="00542849">
        <w:rPr>
          <w:rStyle w:val="Strong"/>
          <w:rFonts w:asciiTheme="majorBidi" w:hAnsiTheme="majorBidi" w:cstheme="majorBidi"/>
          <w:b w:val="0"/>
          <w:bCs w:val="0"/>
          <w:sz w:val="18"/>
          <w:szCs w:val="18"/>
        </w:rPr>
        <w:t>.</w:t>
      </w:r>
    </w:p>
  </w:footnote>
  <w:footnote w:id="43">
    <w:p w14:paraId="0C441448" w14:textId="1EA93B10"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5243C" w:rsidRPr="00A628D0">
        <w:rPr>
          <w:rFonts w:asciiTheme="majorBidi" w:hAnsiTheme="majorBidi" w:cstheme="majorBidi"/>
          <w:sz w:val="18"/>
          <w:szCs w:val="18"/>
        </w:rPr>
        <w:t>Interviews</w:t>
      </w:r>
      <w:r w:rsidR="003F3AD3" w:rsidRPr="00A628D0">
        <w:rPr>
          <w:rFonts w:asciiTheme="majorBidi" w:hAnsiTheme="majorBidi" w:cstheme="majorBidi"/>
          <w:sz w:val="18"/>
          <w:szCs w:val="18"/>
        </w:rPr>
        <w:t xml:space="preserve">. </w:t>
      </w:r>
      <w:r w:rsidR="00B312A7" w:rsidRPr="00A628D0">
        <w:rPr>
          <w:rFonts w:asciiTheme="majorBidi" w:hAnsiTheme="majorBidi" w:cstheme="majorBidi"/>
          <w:sz w:val="18"/>
          <w:szCs w:val="18"/>
        </w:rPr>
        <w:t xml:space="preserve">Practitioners </w:t>
      </w:r>
      <w:r w:rsidR="00A34F2A" w:rsidRPr="00A628D0">
        <w:rPr>
          <w:rFonts w:asciiTheme="majorBidi" w:hAnsiTheme="majorBidi" w:cstheme="majorBidi"/>
          <w:sz w:val="18"/>
          <w:szCs w:val="18"/>
        </w:rPr>
        <w:t xml:space="preserve">highlight </w:t>
      </w:r>
      <w:r w:rsidR="000C5B32" w:rsidRPr="00A628D0">
        <w:rPr>
          <w:rFonts w:asciiTheme="majorBidi" w:hAnsiTheme="majorBidi" w:cstheme="majorBidi"/>
          <w:sz w:val="18"/>
          <w:szCs w:val="18"/>
        </w:rPr>
        <w:t>how Eurojust c</w:t>
      </w:r>
      <w:r w:rsidR="00102830" w:rsidRPr="00A628D0">
        <w:rPr>
          <w:rFonts w:asciiTheme="majorBidi" w:hAnsiTheme="majorBidi" w:cstheme="majorBidi"/>
          <w:sz w:val="18"/>
          <w:szCs w:val="18"/>
        </w:rPr>
        <w:t>ould speed up asset freezing</w:t>
      </w:r>
      <w:r w:rsidR="000C5B32" w:rsidRPr="00A628D0">
        <w:rPr>
          <w:rFonts w:asciiTheme="majorBidi" w:hAnsiTheme="majorBidi" w:cstheme="majorBidi"/>
          <w:sz w:val="18"/>
          <w:szCs w:val="18"/>
        </w:rPr>
        <w:t>.</w:t>
      </w:r>
    </w:p>
  </w:footnote>
  <w:footnote w:id="44">
    <w:p w14:paraId="42428E0C" w14:textId="7B383EF7" w:rsidR="007E73E5" w:rsidRPr="00A628D0" w:rsidRDefault="007E73E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AB2980" w:rsidRPr="00A628D0">
        <w:rPr>
          <w:rFonts w:asciiTheme="majorBidi" w:hAnsiTheme="majorBidi" w:cstheme="majorBidi"/>
          <w:sz w:val="18"/>
          <w:szCs w:val="18"/>
        </w:rPr>
        <w:t>Interviews</w:t>
      </w:r>
      <w:r w:rsidR="006D2D9E" w:rsidRPr="00A628D0">
        <w:rPr>
          <w:rFonts w:asciiTheme="majorBidi" w:hAnsiTheme="majorBidi" w:cstheme="majorBidi"/>
          <w:sz w:val="18"/>
          <w:szCs w:val="18"/>
        </w:rPr>
        <w:t xml:space="preserve">. Practitioners using CICED </w:t>
      </w:r>
      <w:r w:rsidR="00304487" w:rsidRPr="00A628D0">
        <w:rPr>
          <w:rFonts w:asciiTheme="majorBidi" w:hAnsiTheme="majorBidi" w:cstheme="majorBidi"/>
          <w:sz w:val="18"/>
          <w:szCs w:val="18"/>
        </w:rPr>
        <w:t xml:space="preserve">value the </w:t>
      </w:r>
      <w:r w:rsidR="00D12198" w:rsidRPr="00A628D0">
        <w:rPr>
          <w:rFonts w:asciiTheme="majorBidi" w:hAnsiTheme="majorBidi" w:cstheme="majorBidi"/>
          <w:sz w:val="18"/>
          <w:szCs w:val="18"/>
        </w:rPr>
        <w:t xml:space="preserve">analytical reports prepared </w:t>
      </w:r>
      <w:r w:rsidR="00857A30" w:rsidRPr="00A628D0">
        <w:rPr>
          <w:rFonts w:asciiTheme="majorBidi" w:hAnsiTheme="majorBidi" w:cstheme="majorBidi"/>
          <w:sz w:val="18"/>
          <w:szCs w:val="18"/>
        </w:rPr>
        <w:t>by Eurojust at their request.</w:t>
      </w:r>
    </w:p>
  </w:footnote>
  <w:footnote w:id="45">
    <w:p w14:paraId="2ACABE56" w14:textId="325C3DDC" w:rsidR="003915D8" w:rsidRPr="00A628D0" w:rsidRDefault="003915D8"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244712" w:rsidRPr="00A628D0">
        <w:rPr>
          <w:rFonts w:asciiTheme="majorBidi" w:hAnsiTheme="majorBidi" w:cstheme="majorBidi"/>
          <w:sz w:val="18"/>
          <w:szCs w:val="18"/>
        </w:rPr>
        <w:t xml:space="preserve">HLF report, p. </w:t>
      </w:r>
      <w:r w:rsidR="00964FBF" w:rsidRPr="00A628D0">
        <w:rPr>
          <w:rFonts w:asciiTheme="majorBidi" w:hAnsiTheme="majorBidi" w:cstheme="majorBidi"/>
          <w:sz w:val="18"/>
          <w:szCs w:val="18"/>
        </w:rPr>
        <w:t>24</w:t>
      </w:r>
      <w:r w:rsidRPr="00A628D0">
        <w:rPr>
          <w:rFonts w:asciiTheme="majorBidi" w:hAnsiTheme="majorBidi" w:cstheme="majorBidi"/>
          <w:sz w:val="18"/>
          <w:szCs w:val="18"/>
        </w:rPr>
        <w:t>.</w:t>
      </w:r>
    </w:p>
  </w:footnote>
  <w:footnote w:id="46">
    <w:p w14:paraId="3EF4BB37" w14:textId="69E02F56"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76579C0F"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14, 37</w:t>
      </w:r>
      <w:r w:rsidR="00B96CA3" w:rsidRPr="00A628D0">
        <w:rPr>
          <w:rStyle w:val="Strong"/>
          <w:rFonts w:asciiTheme="majorBidi" w:hAnsiTheme="majorBidi" w:cstheme="majorBidi"/>
          <w:b w:val="0"/>
          <w:bCs w:val="0"/>
          <w:sz w:val="18"/>
          <w:szCs w:val="18"/>
        </w:rPr>
        <w:t xml:space="preserve">; </w:t>
      </w:r>
      <w:r w:rsidR="1187E4C3"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 xml:space="preserve">upport study, </w:t>
      </w:r>
      <w:r w:rsidR="76579C0F"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xml:space="preserve">. </w:t>
      </w:r>
      <w:r w:rsidR="00070BFF">
        <w:rPr>
          <w:rStyle w:val="Strong"/>
          <w:rFonts w:asciiTheme="majorBidi" w:hAnsiTheme="majorBidi" w:cstheme="majorBidi"/>
          <w:b w:val="0"/>
          <w:bCs w:val="0"/>
          <w:sz w:val="18"/>
          <w:szCs w:val="18"/>
        </w:rPr>
        <w:t>2</w:t>
      </w:r>
      <w:r w:rsidRPr="00A628D0">
        <w:rPr>
          <w:rStyle w:val="Strong"/>
          <w:rFonts w:asciiTheme="majorBidi" w:hAnsiTheme="majorBidi" w:cstheme="majorBidi"/>
          <w:b w:val="0"/>
          <w:bCs w:val="0"/>
          <w:sz w:val="18"/>
          <w:szCs w:val="18"/>
        </w:rPr>
        <w:t>1-2</w:t>
      </w:r>
      <w:r w:rsidR="00070BFF">
        <w:rPr>
          <w:rStyle w:val="Strong"/>
          <w:rFonts w:asciiTheme="majorBidi" w:hAnsiTheme="majorBidi" w:cstheme="majorBidi"/>
          <w:b w:val="0"/>
          <w:bCs w:val="0"/>
          <w:sz w:val="18"/>
          <w:szCs w:val="18"/>
        </w:rPr>
        <w:t>2</w:t>
      </w:r>
      <w:r w:rsidRPr="00A628D0">
        <w:rPr>
          <w:rStyle w:val="Strong"/>
          <w:rFonts w:asciiTheme="majorBidi" w:hAnsiTheme="majorBidi" w:cstheme="majorBidi"/>
          <w:b w:val="0"/>
          <w:bCs w:val="0"/>
          <w:sz w:val="18"/>
          <w:szCs w:val="18"/>
        </w:rPr>
        <w:t>.</w:t>
      </w:r>
    </w:p>
  </w:footnote>
  <w:footnote w:id="47">
    <w:p w14:paraId="4DBEFBE1" w14:textId="64FDBF79" w:rsidR="003915D8" w:rsidRPr="00A628D0" w:rsidRDefault="003915D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hAnsiTheme="majorBidi" w:cstheme="majorBidi"/>
          <w:sz w:val="18"/>
          <w:szCs w:val="18"/>
          <w:lang w:val="en-IE"/>
        </w:rPr>
        <w:t>Evaluation study, p. 85</w:t>
      </w:r>
      <w:r w:rsidR="00542849">
        <w:rPr>
          <w:rFonts w:asciiTheme="majorBidi" w:hAnsiTheme="majorBidi" w:cstheme="majorBidi"/>
          <w:sz w:val="18"/>
          <w:szCs w:val="18"/>
          <w:lang w:val="en-IE"/>
        </w:rPr>
        <w:t>.</w:t>
      </w:r>
    </w:p>
  </w:footnote>
  <w:footnote w:id="48">
    <w:p w14:paraId="32D1CAD8" w14:textId="5884D7F3"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lang w:val="en-IE"/>
        </w:rPr>
        <w:t xml:space="preserve"> </w:t>
      </w:r>
      <w:r w:rsidR="00702108" w:rsidRPr="00A628D0">
        <w:rPr>
          <w:rStyle w:val="Strong"/>
          <w:rFonts w:asciiTheme="majorBidi" w:hAnsiTheme="majorBidi" w:cstheme="majorBidi"/>
          <w:b w:val="0"/>
          <w:bCs w:val="0"/>
          <w:sz w:val="18"/>
          <w:szCs w:val="18"/>
          <w:lang w:val="en-IE"/>
        </w:rPr>
        <w:t>Eurojust Evaluation</w:t>
      </w:r>
      <w:r w:rsidRPr="00A628D0">
        <w:rPr>
          <w:rStyle w:val="Strong"/>
          <w:rFonts w:asciiTheme="majorBidi" w:hAnsiTheme="majorBidi" w:cstheme="majorBidi"/>
          <w:b w:val="0"/>
          <w:bCs w:val="0"/>
          <w:sz w:val="18"/>
          <w:szCs w:val="18"/>
          <w:lang w:val="en-IE"/>
        </w:rPr>
        <w:t>, p. 12</w:t>
      </w:r>
      <w:r w:rsidR="00B96CA3" w:rsidRPr="00A628D0">
        <w:rPr>
          <w:rStyle w:val="Strong"/>
          <w:rFonts w:asciiTheme="majorBidi" w:hAnsiTheme="majorBidi" w:cstheme="majorBidi"/>
          <w:b w:val="0"/>
          <w:bCs w:val="0"/>
          <w:sz w:val="18"/>
          <w:szCs w:val="18"/>
          <w:lang w:val="en-IE"/>
        </w:rPr>
        <w:t xml:space="preserve">; </w:t>
      </w:r>
      <w:r w:rsidR="1F8B796F" w:rsidRPr="00A628D0">
        <w:rPr>
          <w:rStyle w:val="Strong"/>
          <w:rFonts w:asciiTheme="majorBidi" w:hAnsiTheme="majorBidi" w:cstheme="majorBidi"/>
          <w:b w:val="0"/>
          <w:bCs w:val="0"/>
          <w:sz w:val="18"/>
          <w:szCs w:val="18"/>
          <w:lang w:val="en-IE"/>
        </w:rPr>
        <w:t>S</w:t>
      </w:r>
      <w:r w:rsidRPr="00A628D0">
        <w:rPr>
          <w:rStyle w:val="Strong"/>
          <w:rFonts w:asciiTheme="majorBidi" w:hAnsiTheme="majorBidi" w:cstheme="majorBidi"/>
          <w:b w:val="0"/>
          <w:bCs w:val="0"/>
          <w:sz w:val="18"/>
          <w:szCs w:val="18"/>
        </w:rPr>
        <w:t>upport study, p. 2</w:t>
      </w:r>
      <w:r w:rsidR="00DA560D">
        <w:rPr>
          <w:rStyle w:val="Strong"/>
          <w:rFonts w:asciiTheme="majorBidi" w:hAnsiTheme="majorBidi" w:cstheme="majorBidi"/>
          <w:b w:val="0"/>
          <w:bCs w:val="0"/>
          <w:sz w:val="18"/>
          <w:szCs w:val="18"/>
        </w:rPr>
        <w:t>6</w:t>
      </w:r>
      <w:r w:rsidRPr="00A628D0">
        <w:rPr>
          <w:rStyle w:val="Strong"/>
          <w:rFonts w:asciiTheme="majorBidi" w:hAnsiTheme="majorBidi" w:cstheme="majorBidi"/>
          <w:b w:val="0"/>
          <w:bCs w:val="0"/>
          <w:sz w:val="18"/>
          <w:szCs w:val="18"/>
        </w:rPr>
        <w:t>.</w:t>
      </w:r>
    </w:p>
  </w:footnote>
  <w:footnote w:id="49">
    <w:p w14:paraId="355F8DB9" w14:textId="5B8E7AE6" w:rsidR="003915D8" w:rsidRPr="00A628D0" w:rsidRDefault="003915D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Article 7(4) of the Eurojust Regulation. In some national systems, the appointed NM no longer retains judicial status and assumes a role comparable to a civil servant within the MoJ.</w:t>
      </w:r>
      <w:r w:rsidRPr="00A628D0">
        <w:rPr>
          <w:rFonts w:asciiTheme="majorBidi" w:hAnsiTheme="majorBidi" w:cstheme="majorBidi"/>
          <w:sz w:val="18"/>
          <w:szCs w:val="18"/>
          <w:lang w:val="en-IE"/>
        </w:rPr>
        <w:t xml:space="preserve"> </w:t>
      </w:r>
    </w:p>
  </w:footnote>
  <w:footnote w:id="50">
    <w:p w14:paraId="2DCCB019" w14:textId="4747DCE2"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13615ABA"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xml:space="preserve">. 32-33. This is exacerbated by the existing rotation system for National Members’ membership to the </w:t>
      </w:r>
      <w:r w:rsidR="002E643E">
        <w:rPr>
          <w:rStyle w:val="Strong"/>
          <w:rFonts w:asciiTheme="majorBidi" w:hAnsiTheme="majorBidi" w:cstheme="majorBidi"/>
          <w:b w:val="0"/>
          <w:bCs w:val="0"/>
          <w:sz w:val="18"/>
          <w:szCs w:val="18"/>
        </w:rPr>
        <w:t>EB</w:t>
      </w:r>
      <w:r w:rsidRPr="00A628D0">
        <w:rPr>
          <w:rStyle w:val="Strong"/>
          <w:rFonts w:asciiTheme="majorBidi" w:hAnsiTheme="majorBidi" w:cstheme="majorBidi"/>
          <w:b w:val="0"/>
          <w:bCs w:val="0"/>
          <w:sz w:val="18"/>
          <w:szCs w:val="18"/>
        </w:rPr>
        <w:t xml:space="preserve">, which fails to take into account the specific expertise, interest, capacity and availability of the National Members on duty. </w:t>
      </w:r>
      <w:r w:rsidR="46BC0904"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 xml:space="preserve">upport study, </w:t>
      </w:r>
      <w:r w:rsidR="13615ABA"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w:t>
      </w:r>
      <w:r w:rsidR="00DA560D">
        <w:rPr>
          <w:rStyle w:val="Strong"/>
          <w:rFonts w:asciiTheme="majorBidi" w:hAnsiTheme="majorBidi" w:cstheme="majorBidi"/>
          <w:b w:val="0"/>
          <w:bCs w:val="0"/>
          <w:sz w:val="18"/>
          <w:szCs w:val="18"/>
        </w:rPr>
        <w:t>3</w:t>
      </w:r>
      <w:r w:rsidRPr="00A628D0">
        <w:rPr>
          <w:rStyle w:val="Strong"/>
          <w:rFonts w:asciiTheme="majorBidi" w:hAnsiTheme="majorBidi" w:cstheme="majorBidi"/>
          <w:b w:val="0"/>
          <w:bCs w:val="0"/>
          <w:sz w:val="18"/>
          <w:szCs w:val="18"/>
        </w:rPr>
        <w:t>, 2</w:t>
      </w:r>
      <w:r w:rsidR="00DA560D">
        <w:rPr>
          <w:rStyle w:val="Strong"/>
          <w:rFonts w:asciiTheme="majorBidi" w:hAnsiTheme="majorBidi" w:cstheme="majorBidi"/>
          <w:b w:val="0"/>
          <w:bCs w:val="0"/>
          <w:sz w:val="18"/>
          <w:szCs w:val="18"/>
        </w:rPr>
        <w:t>6</w:t>
      </w:r>
      <w:r w:rsidRPr="00A628D0">
        <w:rPr>
          <w:rStyle w:val="Strong"/>
          <w:rFonts w:asciiTheme="majorBidi" w:hAnsiTheme="majorBidi" w:cstheme="majorBidi"/>
          <w:b w:val="0"/>
          <w:bCs w:val="0"/>
          <w:sz w:val="18"/>
          <w:szCs w:val="18"/>
        </w:rPr>
        <w:t>.</w:t>
      </w:r>
    </w:p>
  </w:footnote>
  <w:footnote w:id="51">
    <w:p w14:paraId="4AA15514" w14:textId="1198B855"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61D74879"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xml:space="preserve">. </w:t>
      </w:r>
      <w:r w:rsidR="000443B5" w:rsidRPr="00A628D0">
        <w:rPr>
          <w:rStyle w:val="Strong"/>
          <w:rFonts w:asciiTheme="majorBidi" w:hAnsiTheme="majorBidi" w:cstheme="majorBidi"/>
          <w:b w:val="0"/>
          <w:bCs w:val="0"/>
          <w:sz w:val="18"/>
          <w:szCs w:val="18"/>
        </w:rPr>
        <w:t xml:space="preserve">12, </w:t>
      </w:r>
      <w:r w:rsidRPr="00A628D0">
        <w:rPr>
          <w:rStyle w:val="Strong"/>
          <w:rFonts w:asciiTheme="majorBidi" w:hAnsiTheme="majorBidi" w:cstheme="majorBidi"/>
          <w:b w:val="0"/>
          <w:bCs w:val="0"/>
          <w:sz w:val="18"/>
          <w:szCs w:val="18"/>
        </w:rPr>
        <w:t>25-26</w:t>
      </w:r>
      <w:r w:rsidR="005F09C3" w:rsidRPr="00A628D0">
        <w:rPr>
          <w:rStyle w:val="Strong"/>
          <w:rFonts w:asciiTheme="majorBidi" w:hAnsiTheme="majorBidi" w:cstheme="majorBidi"/>
          <w:b w:val="0"/>
          <w:bCs w:val="0"/>
          <w:sz w:val="18"/>
          <w:szCs w:val="18"/>
        </w:rPr>
        <w:t xml:space="preserve">; </w:t>
      </w:r>
      <w:r w:rsidR="0AB8BE04"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 xml:space="preserve">upport study, </w:t>
      </w:r>
      <w:r w:rsidR="13615ABA"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w:t>
      </w:r>
      <w:r w:rsidR="00DA560D">
        <w:rPr>
          <w:rStyle w:val="Strong"/>
          <w:rFonts w:asciiTheme="majorBidi" w:hAnsiTheme="majorBidi" w:cstheme="majorBidi"/>
          <w:b w:val="0"/>
          <w:bCs w:val="0"/>
          <w:sz w:val="18"/>
          <w:szCs w:val="18"/>
        </w:rPr>
        <w:t>6</w:t>
      </w:r>
      <w:r w:rsidRPr="00A628D0">
        <w:rPr>
          <w:rStyle w:val="Strong"/>
          <w:rFonts w:asciiTheme="majorBidi" w:hAnsiTheme="majorBidi" w:cstheme="majorBidi"/>
          <w:b w:val="0"/>
          <w:bCs w:val="0"/>
          <w:sz w:val="18"/>
          <w:szCs w:val="18"/>
        </w:rPr>
        <w:t>-2</w:t>
      </w:r>
      <w:r w:rsidR="00DA560D">
        <w:rPr>
          <w:rStyle w:val="Strong"/>
          <w:rFonts w:asciiTheme="majorBidi" w:hAnsiTheme="majorBidi" w:cstheme="majorBidi"/>
          <w:b w:val="0"/>
          <w:bCs w:val="0"/>
          <w:sz w:val="18"/>
          <w:szCs w:val="18"/>
        </w:rPr>
        <w:t>7</w:t>
      </w:r>
      <w:r w:rsidRPr="00A628D0">
        <w:rPr>
          <w:rStyle w:val="Strong"/>
          <w:rFonts w:asciiTheme="majorBidi" w:hAnsiTheme="majorBidi" w:cstheme="majorBidi"/>
          <w:b w:val="0"/>
          <w:bCs w:val="0"/>
          <w:sz w:val="18"/>
          <w:szCs w:val="18"/>
        </w:rPr>
        <w:t>.</w:t>
      </w:r>
    </w:p>
  </w:footnote>
  <w:footnote w:id="52">
    <w:p w14:paraId="2A49BC34" w14:textId="037CAB0B"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p. 27.</w:t>
      </w:r>
    </w:p>
  </w:footnote>
  <w:footnote w:id="53">
    <w:p w14:paraId="69C5EBDB" w14:textId="2AE44968"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06F2099B"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25, 30-32, 38-39</w:t>
      </w:r>
      <w:r w:rsidR="00B96CA3" w:rsidRPr="00A628D0">
        <w:rPr>
          <w:rStyle w:val="Strong"/>
          <w:rFonts w:asciiTheme="majorBidi" w:hAnsiTheme="majorBidi" w:cstheme="majorBidi"/>
          <w:b w:val="0"/>
          <w:bCs w:val="0"/>
          <w:sz w:val="18"/>
          <w:szCs w:val="18"/>
        </w:rPr>
        <w:t xml:space="preserve">; </w:t>
      </w:r>
      <w:r w:rsidR="2240A182" w:rsidRPr="00A628D0">
        <w:rPr>
          <w:rStyle w:val="Strong"/>
          <w:rFonts w:asciiTheme="majorBidi" w:hAnsiTheme="majorBidi" w:cstheme="majorBidi"/>
          <w:b w:val="0"/>
          <w:bCs w:val="0"/>
          <w:sz w:val="18"/>
          <w:szCs w:val="18"/>
        </w:rPr>
        <w:t>Support</w:t>
      </w:r>
      <w:r w:rsidRPr="00A628D0">
        <w:rPr>
          <w:rStyle w:val="Strong"/>
          <w:rFonts w:asciiTheme="majorBidi" w:hAnsiTheme="majorBidi" w:cstheme="majorBidi"/>
          <w:b w:val="0"/>
          <w:bCs w:val="0"/>
          <w:sz w:val="18"/>
          <w:szCs w:val="18"/>
        </w:rPr>
        <w:t xml:space="preserve"> study, p. 2</w:t>
      </w:r>
      <w:r w:rsidR="00632803">
        <w:rPr>
          <w:rStyle w:val="Strong"/>
          <w:rFonts w:asciiTheme="majorBidi" w:hAnsiTheme="majorBidi" w:cstheme="majorBidi"/>
          <w:b w:val="0"/>
          <w:bCs w:val="0"/>
          <w:sz w:val="18"/>
          <w:szCs w:val="18"/>
        </w:rPr>
        <w:t>4</w:t>
      </w:r>
      <w:r w:rsidRPr="00A628D0">
        <w:rPr>
          <w:rStyle w:val="Strong"/>
          <w:rFonts w:asciiTheme="majorBidi" w:hAnsiTheme="majorBidi" w:cstheme="majorBidi"/>
          <w:b w:val="0"/>
          <w:bCs w:val="0"/>
          <w:sz w:val="18"/>
          <w:szCs w:val="18"/>
        </w:rPr>
        <w:t>.</w:t>
      </w:r>
    </w:p>
  </w:footnote>
  <w:footnote w:id="54">
    <w:p w14:paraId="68F63002" w14:textId="573B55CB"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3DCD458A" w:rsidRPr="00A628D0">
        <w:rPr>
          <w:rFonts w:asciiTheme="majorBidi" w:hAnsiTheme="majorBidi" w:cstheme="majorBidi"/>
          <w:sz w:val="18"/>
          <w:szCs w:val="18"/>
        </w:rPr>
        <w:t>S</w:t>
      </w:r>
      <w:r w:rsidRPr="00A628D0">
        <w:rPr>
          <w:rStyle w:val="Strong"/>
          <w:rFonts w:asciiTheme="majorBidi" w:hAnsiTheme="majorBidi" w:cstheme="majorBidi"/>
          <w:b w:val="0"/>
          <w:bCs w:val="0"/>
          <w:sz w:val="18"/>
          <w:szCs w:val="18"/>
        </w:rPr>
        <w:t xml:space="preserve">upport study, </w:t>
      </w:r>
      <w:r w:rsidR="46F1C056"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w:t>
      </w:r>
      <w:r w:rsidR="00632803">
        <w:rPr>
          <w:rStyle w:val="Strong"/>
          <w:rFonts w:asciiTheme="majorBidi" w:hAnsiTheme="majorBidi" w:cstheme="majorBidi"/>
          <w:b w:val="0"/>
          <w:bCs w:val="0"/>
          <w:sz w:val="18"/>
          <w:szCs w:val="18"/>
        </w:rPr>
        <w:t>3</w:t>
      </w:r>
      <w:r w:rsidRPr="00A628D0">
        <w:rPr>
          <w:rStyle w:val="Strong"/>
          <w:rFonts w:asciiTheme="majorBidi" w:hAnsiTheme="majorBidi" w:cstheme="majorBidi"/>
          <w:b w:val="0"/>
          <w:bCs w:val="0"/>
          <w:sz w:val="18"/>
          <w:szCs w:val="18"/>
        </w:rPr>
        <w:t>-2</w:t>
      </w:r>
      <w:r w:rsidR="00632803">
        <w:rPr>
          <w:rStyle w:val="Strong"/>
          <w:rFonts w:asciiTheme="majorBidi" w:hAnsiTheme="majorBidi" w:cstheme="majorBidi"/>
          <w:b w:val="0"/>
          <w:bCs w:val="0"/>
          <w:sz w:val="18"/>
          <w:szCs w:val="18"/>
        </w:rPr>
        <w:t>4</w:t>
      </w:r>
      <w:r w:rsidRPr="00A628D0">
        <w:rPr>
          <w:rStyle w:val="Strong"/>
          <w:rFonts w:asciiTheme="majorBidi" w:hAnsiTheme="majorBidi" w:cstheme="majorBidi"/>
          <w:b w:val="0"/>
          <w:bCs w:val="0"/>
          <w:sz w:val="18"/>
          <w:szCs w:val="18"/>
        </w:rPr>
        <w:t>.</w:t>
      </w:r>
    </w:p>
  </w:footnote>
  <w:footnote w:id="55">
    <w:p w14:paraId="479CBBCE" w14:textId="1A572038"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p. 30; </w:t>
      </w:r>
      <w:r w:rsidR="461D704C"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upport study, p. 2</w:t>
      </w:r>
      <w:r w:rsidR="00632803">
        <w:rPr>
          <w:rStyle w:val="Strong"/>
          <w:rFonts w:asciiTheme="majorBidi" w:hAnsiTheme="majorBidi" w:cstheme="majorBidi"/>
          <w:b w:val="0"/>
          <w:bCs w:val="0"/>
          <w:sz w:val="18"/>
          <w:szCs w:val="18"/>
        </w:rPr>
        <w:t>6</w:t>
      </w:r>
      <w:r w:rsidRPr="00A628D0">
        <w:rPr>
          <w:rStyle w:val="Strong"/>
          <w:rFonts w:asciiTheme="majorBidi" w:hAnsiTheme="majorBidi" w:cstheme="majorBidi"/>
          <w:b w:val="0"/>
          <w:bCs w:val="0"/>
          <w:sz w:val="18"/>
          <w:szCs w:val="18"/>
        </w:rPr>
        <w:t>.</w:t>
      </w:r>
    </w:p>
  </w:footnote>
  <w:footnote w:id="56">
    <w:p w14:paraId="62DDAA12" w14:textId="1B7BC529"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354639E1"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xml:space="preserve">. 30-33. </w:t>
      </w:r>
      <w:r w:rsidR="1C757EE0"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upport study, p. 2</w:t>
      </w:r>
      <w:r w:rsidR="00632803">
        <w:rPr>
          <w:rStyle w:val="Strong"/>
          <w:rFonts w:asciiTheme="majorBidi" w:hAnsiTheme="majorBidi" w:cstheme="majorBidi"/>
          <w:b w:val="0"/>
          <w:bCs w:val="0"/>
          <w:sz w:val="18"/>
          <w:szCs w:val="18"/>
        </w:rPr>
        <w:t>3</w:t>
      </w:r>
      <w:r w:rsidRPr="00A628D0">
        <w:rPr>
          <w:rStyle w:val="Strong"/>
          <w:rFonts w:asciiTheme="majorBidi" w:hAnsiTheme="majorBidi" w:cstheme="majorBidi"/>
          <w:b w:val="0"/>
          <w:bCs w:val="0"/>
          <w:sz w:val="18"/>
          <w:szCs w:val="18"/>
        </w:rPr>
        <w:t>.</w:t>
      </w:r>
    </w:p>
  </w:footnote>
  <w:footnote w:id="57">
    <w:p w14:paraId="6CD26561" w14:textId="76476DF0"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354639E1"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xml:space="preserve">. 11-12, 30-33, 36. </w:t>
      </w:r>
      <w:r w:rsidR="37DA7ADE"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upport study, p. 2</w:t>
      </w:r>
      <w:r w:rsidR="00632803">
        <w:rPr>
          <w:rStyle w:val="Strong"/>
          <w:rFonts w:asciiTheme="majorBidi" w:hAnsiTheme="majorBidi" w:cstheme="majorBidi"/>
          <w:b w:val="0"/>
          <w:bCs w:val="0"/>
          <w:sz w:val="18"/>
          <w:szCs w:val="18"/>
        </w:rPr>
        <w:t>3</w:t>
      </w:r>
      <w:r w:rsidRPr="00A628D0">
        <w:rPr>
          <w:rStyle w:val="Strong"/>
          <w:rFonts w:asciiTheme="majorBidi" w:hAnsiTheme="majorBidi" w:cstheme="majorBidi"/>
          <w:b w:val="0"/>
          <w:bCs w:val="0"/>
          <w:sz w:val="18"/>
          <w:szCs w:val="18"/>
        </w:rPr>
        <w:t>.</w:t>
      </w:r>
    </w:p>
  </w:footnote>
  <w:footnote w:id="58">
    <w:p w14:paraId="5E882935" w14:textId="760506C7"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2808F7" w:rsidRPr="00A628D0">
        <w:rPr>
          <w:rFonts w:asciiTheme="majorBidi" w:hAnsiTheme="majorBidi" w:cstheme="majorBidi"/>
          <w:sz w:val="18"/>
          <w:szCs w:val="18"/>
        </w:rPr>
        <w:t xml:space="preserve">In the context of </w:t>
      </w:r>
      <w:r w:rsidR="002E643E">
        <w:rPr>
          <w:rFonts w:asciiTheme="majorBidi" w:hAnsiTheme="majorBidi" w:cstheme="majorBidi"/>
          <w:sz w:val="18"/>
          <w:szCs w:val="18"/>
        </w:rPr>
        <w:t>EB</w:t>
      </w:r>
      <w:r w:rsidR="002808F7" w:rsidRPr="00A628D0">
        <w:rPr>
          <w:rFonts w:asciiTheme="majorBidi" w:hAnsiTheme="majorBidi" w:cstheme="majorBidi"/>
          <w:sz w:val="18"/>
          <w:szCs w:val="18"/>
        </w:rPr>
        <w:t xml:space="preserve"> meetings, the Commission representative </w:t>
      </w:r>
      <w:r w:rsidR="00A41150" w:rsidRPr="00A628D0">
        <w:rPr>
          <w:rFonts w:asciiTheme="majorBidi" w:hAnsiTheme="majorBidi" w:cstheme="majorBidi"/>
          <w:sz w:val="18"/>
          <w:szCs w:val="18"/>
        </w:rPr>
        <w:t>consistently</w:t>
      </w:r>
      <w:r w:rsidR="002808F7" w:rsidRPr="00A628D0">
        <w:rPr>
          <w:rFonts w:asciiTheme="majorBidi" w:hAnsiTheme="majorBidi" w:cstheme="majorBidi"/>
          <w:sz w:val="18"/>
          <w:szCs w:val="18"/>
        </w:rPr>
        <w:t xml:space="preserve"> pointed to agenda items which should not have been brought before the EB, as well as others that should have been decided by the EB rather than being referred to the College</w:t>
      </w:r>
      <w:r w:rsidRPr="00A628D0">
        <w:rPr>
          <w:rStyle w:val="Strong"/>
          <w:rFonts w:asciiTheme="majorBidi" w:hAnsiTheme="majorBidi" w:cstheme="majorBidi"/>
          <w:b w:val="0"/>
          <w:bCs w:val="0"/>
          <w:sz w:val="18"/>
          <w:szCs w:val="18"/>
        </w:rPr>
        <w:t>.</w:t>
      </w:r>
    </w:p>
  </w:footnote>
  <w:footnote w:id="59">
    <w:p w14:paraId="5DFE999D" w14:textId="75A770A0" w:rsidR="003915D8" w:rsidRPr="00A628D0" w:rsidRDefault="003915D8" w:rsidP="00A628D0">
      <w:pPr>
        <w:pStyle w:val="FootnoteText"/>
        <w:spacing w:after="20"/>
        <w:rPr>
          <w:rFonts w:asciiTheme="majorBidi" w:hAnsiTheme="majorBidi" w:cstheme="majorBidi"/>
          <w:b/>
          <w:bCs/>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b/>
          <w:bCs/>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5E19B440"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30-33</w:t>
      </w:r>
      <w:r w:rsidR="0023019F" w:rsidRPr="00A628D0">
        <w:rPr>
          <w:rStyle w:val="Strong"/>
          <w:rFonts w:asciiTheme="majorBidi" w:hAnsiTheme="majorBidi" w:cstheme="majorBidi"/>
          <w:b w:val="0"/>
          <w:bCs w:val="0"/>
          <w:sz w:val="18"/>
          <w:szCs w:val="18"/>
        </w:rPr>
        <w:t>, 36</w:t>
      </w:r>
      <w:r w:rsidR="00542849">
        <w:rPr>
          <w:rStyle w:val="Strong"/>
          <w:rFonts w:asciiTheme="majorBidi" w:hAnsiTheme="majorBidi" w:cstheme="majorBidi"/>
          <w:b w:val="0"/>
          <w:bCs w:val="0"/>
          <w:sz w:val="18"/>
          <w:szCs w:val="18"/>
        </w:rPr>
        <w:t>.</w:t>
      </w:r>
    </w:p>
  </w:footnote>
  <w:footnote w:id="60">
    <w:p w14:paraId="6790E5C9" w14:textId="400AB741" w:rsidR="00287E78" w:rsidRPr="00A628D0" w:rsidRDefault="00287E7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5E19B440"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25, 28-29</w:t>
      </w:r>
      <w:r w:rsidRPr="00A628D0">
        <w:rPr>
          <w:rFonts w:asciiTheme="majorBidi" w:hAnsiTheme="majorBidi" w:cstheme="majorBidi"/>
          <w:sz w:val="18"/>
          <w:szCs w:val="18"/>
        </w:rPr>
        <w:t>.</w:t>
      </w:r>
    </w:p>
  </w:footnote>
  <w:footnote w:id="61">
    <w:p w14:paraId="4C1FFF06" w14:textId="5F1B7F06" w:rsidR="009C7E4E" w:rsidRPr="00A628D0" w:rsidRDefault="009C7E4E" w:rsidP="00A628D0">
      <w:pPr>
        <w:pStyle w:val="FootnoteText"/>
        <w:spacing w:after="20"/>
        <w:rPr>
          <w:rFonts w:asciiTheme="majorBidi" w:hAnsiTheme="majorBidi" w:cstheme="majorBidi"/>
          <w:sz w:val="18"/>
          <w:szCs w:val="18"/>
          <w:lang w:val="en-US"/>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124C6D" w:rsidRPr="00A628D0">
        <w:rPr>
          <w:rFonts w:asciiTheme="majorBidi" w:hAnsiTheme="majorBidi" w:cstheme="majorBidi"/>
          <w:sz w:val="18"/>
          <w:szCs w:val="18"/>
        </w:rPr>
        <w:t>HLF report</w:t>
      </w:r>
      <w:r w:rsidR="00763183" w:rsidRPr="00A628D0">
        <w:rPr>
          <w:rFonts w:asciiTheme="majorBidi" w:hAnsiTheme="majorBidi" w:cstheme="majorBidi"/>
          <w:sz w:val="18"/>
          <w:szCs w:val="18"/>
          <w:lang w:val="en-US"/>
        </w:rPr>
        <w:t>, p. 10.</w:t>
      </w:r>
    </w:p>
  </w:footnote>
  <w:footnote w:id="62">
    <w:p w14:paraId="49AC50CE" w14:textId="03E1C2A8" w:rsidR="002625AF" w:rsidRPr="00A628D0" w:rsidRDefault="002625AF"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5E19B440"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28-29.</w:t>
      </w:r>
    </w:p>
  </w:footnote>
  <w:footnote w:id="63">
    <w:p w14:paraId="1B5A5FC3" w14:textId="628CD5E2" w:rsidR="008C3117" w:rsidRPr="00A628D0" w:rsidRDefault="008C3117"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5E19B440"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29-30.</w:t>
      </w:r>
    </w:p>
  </w:footnote>
  <w:footnote w:id="64">
    <w:p w14:paraId="3A7557B4" w14:textId="5E2EC1DE" w:rsidR="002D3B44" w:rsidRPr="00A628D0" w:rsidRDefault="002D3B44"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2C3274" w:rsidRPr="00A628D0">
        <w:rPr>
          <w:rFonts w:asciiTheme="majorBidi" w:hAnsiTheme="majorBidi" w:cstheme="majorBidi"/>
          <w:sz w:val="18"/>
          <w:szCs w:val="18"/>
        </w:rPr>
        <w:t xml:space="preserve">Interviews, Annex </w:t>
      </w:r>
      <w:r w:rsidR="00026DBC" w:rsidRPr="00A628D0">
        <w:rPr>
          <w:rFonts w:asciiTheme="majorBidi" w:hAnsiTheme="majorBidi" w:cstheme="majorBidi"/>
          <w:sz w:val="18"/>
          <w:szCs w:val="18"/>
        </w:rPr>
        <w:t>II</w:t>
      </w:r>
      <w:r w:rsidRPr="00A628D0">
        <w:rPr>
          <w:rFonts w:asciiTheme="majorBidi" w:hAnsiTheme="majorBidi" w:cstheme="majorBidi"/>
          <w:sz w:val="18"/>
          <w:szCs w:val="18"/>
        </w:rPr>
        <w:t>.</w:t>
      </w:r>
    </w:p>
  </w:footnote>
  <w:footnote w:id="65">
    <w:p w14:paraId="1C771996" w14:textId="5E4AAFAE" w:rsidR="007F7CC8" w:rsidRPr="00A628D0" w:rsidRDefault="007F7CC8"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820BCF" w:rsidRPr="00A628D0">
        <w:rPr>
          <w:rFonts w:asciiTheme="majorBidi" w:hAnsiTheme="majorBidi" w:cstheme="majorBidi"/>
          <w:sz w:val="18"/>
          <w:szCs w:val="18"/>
        </w:rPr>
        <w:t>Agreements have been concluded</w:t>
      </w:r>
      <w:r w:rsidRPr="00A628D0">
        <w:rPr>
          <w:rFonts w:asciiTheme="majorBidi" w:hAnsiTheme="majorBidi" w:cstheme="majorBidi"/>
          <w:sz w:val="18"/>
          <w:szCs w:val="18"/>
        </w:rPr>
        <w:t xml:space="preserve"> </w:t>
      </w:r>
      <w:r w:rsidR="003306ED" w:rsidRPr="00A628D0">
        <w:rPr>
          <w:rFonts w:asciiTheme="majorBidi" w:hAnsiTheme="majorBidi" w:cstheme="majorBidi"/>
          <w:sz w:val="18"/>
          <w:szCs w:val="18"/>
        </w:rPr>
        <w:t>w</w:t>
      </w:r>
      <w:r w:rsidRPr="00A628D0">
        <w:rPr>
          <w:rFonts w:asciiTheme="majorBidi" w:hAnsiTheme="majorBidi" w:cstheme="majorBidi"/>
          <w:sz w:val="18"/>
          <w:szCs w:val="18"/>
        </w:rPr>
        <w:t xml:space="preserve">ith </w:t>
      </w:r>
      <w:hyperlink r:id="rId7">
        <w:r w:rsidR="09B308B6" w:rsidRPr="00A628D0">
          <w:rPr>
            <w:rStyle w:val="Hyperlink"/>
            <w:rFonts w:asciiTheme="majorBidi" w:hAnsiTheme="majorBidi" w:cstheme="majorBidi"/>
            <w:sz w:val="18"/>
            <w:szCs w:val="18"/>
          </w:rPr>
          <w:t>Armenia</w:t>
        </w:r>
      </w:hyperlink>
      <w:r w:rsidR="00AA1624" w:rsidRPr="00A628D0">
        <w:rPr>
          <w:rFonts w:asciiTheme="majorBidi" w:hAnsiTheme="majorBidi" w:cstheme="majorBidi"/>
          <w:sz w:val="18"/>
          <w:szCs w:val="18"/>
        </w:rPr>
        <w:t xml:space="preserve"> </w:t>
      </w:r>
      <w:r w:rsidR="003B2C00" w:rsidRPr="00A628D0">
        <w:rPr>
          <w:rFonts w:asciiTheme="majorBidi" w:hAnsiTheme="majorBidi" w:cstheme="majorBidi"/>
          <w:sz w:val="18"/>
          <w:szCs w:val="18"/>
        </w:rPr>
        <w:t xml:space="preserve">and </w:t>
      </w:r>
      <w:hyperlink r:id="rId8">
        <w:r w:rsidR="09B308B6" w:rsidRPr="00A628D0">
          <w:rPr>
            <w:rStyle w:val="Hyperlink"/>
            <w:rFonts w:asciiTheme="majorBidi" w:hAnsiTheme="majorBidi" w:cstheme="majorBidi"/>
            <w:sz w:val="18"/>
            <w:szCs w:val="18"/>
          </w:rPr>
          <w:t>Bosnia and Herzegovina</w:t>
        </w:r>
      </w:hyperlink>
      <w:r w:rsidR="00820BCF" w:rsidRPr="00A628D0">
        <w:rPr>
          <w:rFonts w:asciiTheme="majorBidi" w:hAnsiTheme="majorBidi" w:cstheme="majorBidi"/>
          <w:sz w:val="18"/>
          <w:szCs w:val="18"/>
          <w:lang w:val="en-US"/>
        </w:rPr>
        <w:t xml:space="preserve">; </w:t>
      </w:r>
      <w:r w:rsidR="00B26A3E" w:rsidRPr="00A628D0">
        <w:rPr>
          <w:rFonts w:asciiTheme="majorBidi" w:hAnsiTheme="majorBidi" w:cstheme="majorBidi"/>
          <w:sz w:val="18"/>
          <w:szCs w:val="18"/>
        </w:rPr>
        <w:t>a</w:t>
      </w:r>
      <w:r w:rsidR="00820BCF" w:rsidRPr="00A628D0">
        <w:rPr>
          <w:rFonts w:asciiTheme="majorBidi" w:hAnsiTheme="majorBidi" w:cstheme="majorBidi"/>
          <w:sz w:val="18"/>
          <w:szCs w:val="18"/>
        </w:rPr>
        <w:t>greements with Lebanon and Algeria are in the interinstitutional process</w:t>
      </w:r>
      <w:r w:rsidR="00B26A3E" w:rsidRPr="00A628D0">
        <w:rPr>
          <w:rFonts w:asciiTheme="majorBidi" w:hAnsiTheme="majorBidi" w:cstheme="majorBidi"/>
          <w:sz w:val="18"/>
          <w:szCs w:val="18"/>
        </w:rPr>
        <w:t>;</w:t>
      </w:r>
      <w:r w:rsidR="00820BCF" w:rsidRPr="00A628D0">
        <w:rPr>
          <w:rFonts w:asciiTheme="majorBidi" w:hAnsiTheme="majorBidi" w:cstheme="majorBidi"/>
          <w:sz w:val="18"/>
          <w:szCs w:val="18"/>
        </w:rPr>
        <w:t xml:space="preserve"> </w:t>
      </w:r>
      <w:r w:rsidR="00B26A3E" w:rsidRPr="00A628D0">
        <w:rPr>
          <w:rFonts w:asciiTheme="majorBidi" w:hAnsiTheme="majorBidi" w:cstheme="majorBidi"/>
          <w:sz w:val="18"/>
          <w:szCs w:val="18"/>
        </w:rPr>
        <w:t>o</w:t>
      </w:r>
      <w:r w:rsidR="00820BCF" w:rsidRPr="00A628D0">
        <w:rPr>
          <w:rFonts w:asciiTheme="majorBidi" w:hAnsiTheme="majorBidi" w:cstheme="majorBidi"/>
          <w:sz w:val="18"/>
          <w:szCs w:val="18"/>
        </w:rPr>
        <w:t>thers are being negotiated</w:t>
      </w:r>
      <w:r w:rsidR="00B26A3E" w:rsidRPr="00A628D0">
        <w:rPr>
          <w:rFonts w:asciiTheme="majorBidi" w:hAnsiTheme="majorBidi" w:cstheme="majorBidi"/>
          <w:sz w:val="18"/>
          <w:szCs w:val="18"/>
        </w:rPr>
        <w:t>.</w:t>
      </w:r>
    </w:p>
  </w:footnote>
  <w:footnote w:id="66">
    <w:p w14:paraId="1BCC95D7" w14:textId="31684E40" w:rsidR="00B71D68" w:rsidRPr="00A628D0" w:rsidRDefault="00B71D6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5E19B440"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23, 30</w:t>
      </w:r>
      <w:r w:rsidRPr="00A628D0">
        <w:rPr>
          <w:rFonts w:asciiTheme="majorBidi" w:hAnsiTheme="majorBidi" w:cstheme="majorBidi"/>
          <w:sz w:val="18"/>
          <w:szCs w:val="18"/>
        </w:rPr>
        <w:t>.</w:t>
      </w:r>
    </w:p>
  </w:footnote>
  <w:footnote w:id="67">
    <w:p w14:paraId="7A522641" w14:textId="63BA9A00" w:rsidR="008E10F8" w:rsidRPr="00A628D0" w:rsidRDefault="008E10F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1353C82F"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17-18, 28-29.</w:t>
      </w:r>
    </w:p>
  </w:footnote>
  <w:footnote w:id="68">
    <w:p w14:paraId="3C927D48" w14:textId="1A86E1C4" w:rsidR="008E10F8" w:rsidRPr="00A628D0" w:rsidRDefault="008E10F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1353C82F"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28-29.</w:t>
      </w:r>
    </w:p>
  </w:footnote>
  <w:footnote w:id="69">
    <w:p w14:paraId="5ADCFBC3" w14:textId="2C59A6DF" w:rsidR="008E10F8" w:rsidRPr="00A628D0" w:rsidRDefault="008E10F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5923481C"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xml:space="preserve">. 18, 30; </w:t>
      </w:r>
      <w:r w:rsidR="4B194F04"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 xml:space="preserve">upport study p. </w:t>
      </w:r>
      <w:r w:rsidR="00B02D2F">
        <w:rPr>
          <w:rStyle w:val="Strong"/>
          <w:rFonts w:asciiTheme="majorBidi" w:hAnsiTheme="majorBidi" w:cstheme="majorBidi"/>
          <w:b w:val="0"/>
          <w:bCs w:val="0"/>
          <w:sz w:val="18"/>
          <w:szCs w:val="18"/>
        </w:rPr>
        <w:t>32</w:t>
      </w:r>
      <w:r w:rsidRPr="00A628D0">
        <w:rPr>
          <w:rStyle w:val="Strong"/>
          <w:rFonts w:asciiTheme="majorBidi" w:hAnsiTheme="majorBidi" w:cstheme="majorBidi"/>
          <w:b w:val="0"/>
          <w:bCs w:val="0"/>
          <w:sz w:val="18"/>
          <w:szCs w:val="18"/>
        </w:rPr>
        <w:t>.</w:t>
      </w:r>
    </w:p>
  </w:footnote>
  <w:footnote w:id="70">
    <w:p w14:paraId="6AB3420D" w14:textId="6D6D2824" w:rsidR="008E10F8" w:rsidRPr="00A628D0" w:rsidRDefault="008E10F8"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6E6896" w:rsidRPr="00A628D0">
        <w:rPr>
          <w:rFonts w:asciiTheme="majorBidi" w:hAnsiTheme="majorBidi" w:cstheme="majorBidi"/>
          <w:sz w:val="18"/>
          <w:szCs w:val="18"/>
        </w:rPr>
        <w:t xml:space="preserve">In the absence of adequacy decisions, </w:t>
      </w:r>
      <w:r w:rsidR="003D7552" w:rsidRPr="00A628D0">
        <w:rPr>
          <w:rFonts w:asciiTheme="majorBidi" w:hAnsiTheme="majorBidi" w:cstheme="majorBidi"/>
          <w:sz w:val="18"/>
          <w:szCs w:val="18"/>
        </w:rPr>
        <w:t>data transfers must rely on these alternative legal bases.</w:t>
      </w:r>
    </w:p>
  </w:footnote>
  <w:footnote w:id="71">
    <w:p w14:paraId="32AAD6A6" w14:textId="320049A8" w:rsidR="00A63B53" w:rsidRPr="00A628D0" w:rsidRDefault="00A63B53"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48301818" w:rsidRPr="00A628D0">
        <w:rPr>
          <w:rFonts w:asciiTheme="majorBidi" w:hAnsiTheme="majorBidi" w:cstheme="majorBidi"/>
          <w:sz w:val="18"/>
          <w:szCs w:val="18"/>
        </w:rPr>
        <w:t>S</w:t>
      </w:r>
      <w:r w:rsidRPr="00A628D0">
        <w:rPr>
          <w:rStyle w:val="Strong"/>
          <w:rFonts w:asciiTheme="majorBidi" w:hAnsiTheme="majorBidi" w:cstheme="majorBidi"/>
          <w:b w:val="0"/>
          <w:bCs w:val="0"/>
          <w:sz w:val="18"/>
          <w:szCs w:val="18"/>
        </w:rPr>
        <w:t xml:space="preserve">upport study, </w:t>
      </w:r>
      <w:r w:rsidR="21FF945C"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xml:space="preserve">. </w:t>
      </w:r>
      <w:r w:rsidR="00B02D2F">
        <w:rPr>
          <w:rStyle w:val="Strong"/>
          <w:rFonts w:asciiTheme="majorBidi" w:hAnsiTheme="majorBidi" w:cstheme="majorBidi"/>
          <w:b w:val="0"/>
          <w:bCs w:val="0"/>
          <w:sz w:val="18"/>
          <w:szCs w:val="18"/>
        </w:rPr>
        <w:t>30</w:t>
      </w:r>
      <w:r w:rsidRPr="00A628D0">
        <w:rPr>
          <w:rStyle w:val="Strong"/>
          <w:rFonts w:asciiTheme="majorBidi" w:hAnsiTheme="majorBidi" w:cstheme="majorBidi"/>
          <w:b w:val="0"/>
          <w:bCs w:val="0"/>
          <w:sz w:val="18"/>
          <w:szCs w:val="18"/>
        </w:rPr>
        <w:t>-</w:t>
      </w:r>
      <w:r w:rsidR="00B02D2F">
        <w:rPr>
          <w:rStyle w:val="Strong"/>
          <w:rFonts w:asciiTheme="majorBidi" w:hAnsiTheme="majorBidi" w:cstheme="majorBidi"/>
          <w:b w:val="0"/>
          <w:bCs w:val="0"/>
          <w:sz w:val="18"/>
          <w:szCs w:val="18"/>
        </w:rPr>
        <w:t>3</w:t>
      </w:r>
      <w:r w:rsidRPr="00A628D0">
        <w:rPr>
          <w:rStyle w:val="Strong"/>
          <w:rFonts w:asciiTheme="majorBidi" w:hAnsiTheme="majorBidi" w:cstheme="majorBidi"/>
          <w:b w:val="0"/>
          <w:bCs w:val="0"/>
          <w:sz w:val="18"/>
          <w:szCs w:val="18"/>
        </w:rPr>
        <w:t>2.</w:t>
      </w:r>
    </w:p>
  </w:footnote>
  <w:footnote w:id="72">
    <w:p w14:paraId="5EF96A21" w14:textId="4B4C31C4" w:rsidR="00A63B53" w:rsidRPr="00A628D0" w:rsidRDefault="00A63B53"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21FF945C"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29-30</w:t>
      </w:r>
      <w:r w:rsidRPr="00A628D0">
        <w:rPr>
          <w:rFonts w:asciiTheme="majorBidi" w:hAnsiTheme="majorBidi" w:cstheme="majorBidi"/>
          <w:sz w:val="18"/>
          <w:szCs w:val="18"/>
        </w:rPr>
        <w:t>.</w:t>
      </w:r>
    </w:p>
  </w:footnote>
  <w:footnote w:id="73">
    <w:p w14:paraId="4ED7298C" w14:textId="16BED1BB" w:rsidR="00FA129F" w:rsidRPr="00A628D0" w:rsidRDefault="00FA129F"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B73833" w:rsidRPr="00A628D0">
        <w:rPr>
          <w:rFonts w:asciiTheme="majorBidi" w:hAnsiTheme="majorBidi" w:cstheme="majorBidi"/>
          <w:sz w:val="18"/>
          <w:szCs w:val="18"/>
        </w:rPr>
        <w:t>Articles 49-51 EJR.</w:t>
      </w:r>
    </w:p>
  </w:footnote>
  <w:footnote w:id="74">
    <w:p w14:paraId="3EB633E7" w14:textId="11E98A57" w:rsidR="0048224B" w:rsidRPr="006477B3" w:rsidRDefault="0048224B">
      <w:pPr>
        <w:pStyle w:val="FootnoteText"/>
        <w:rPr>
          <w:lang w:val="en-IE"/>
        </w:rPr>
      </w:pPr>
      <w:r>
        <w:rPr>
          <w:rStyle w:val="FootnoteReference"/>
        </w:rPr>
        <w:footnoteRef/>
      </w:r>
      <w:r>
        <w:t xml:space="preserve"> </w:t>
      </w:r>
      <w:r w:rsidRPr="006477B3">
        <w:rPr>
          <w:rFonts w:asciiTheme="majorBidi" w:hAnsiTheme="majorBidi" w:cstheme="majorBidi"/>
          <w:sz w:val="18"/>
          <w:szCs w:val="18"/>
        </w:rPr>
        <w:t>One actor must submit a request to another regarding a case or suspect; the receiving party then manually verifies whether relevant information is held in its database and communicates a “hit” or “no hit”. In the event of a hit, a further request is required for disclosure, followed by additional manual follow-up.</w:t>
      </w:r>
    </w:p>
  </w:footnote>
  <w:footnote w:id="75">
    <w:p w14:paraId="6B79D99D" w14:textId="7E1AB2FD" w:rsidR="00801458" w:rsidRPr="00A628D0" w:rsidRDefault="0080145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68B18CD1" w:rsidRPr="00A628D0">
        <w:rPr>
          <w:rFonts w:asciiTheme="majorBidi" w:hAnsiTheme="majorBidi" w:cstheme="majorBidi"/>
          <w:sz w:val="18"/>
          <w:szCs w:val="18"/>
        </w:rPr>
        <w:t>S</w:t>
      </w:r>
      <w:r w:rsidRPr="00A628D0">
        <w:rPr>
          <w:rStyle w:val="Strong"/>
          <w:rFonts w:asciiTheme="majorBidi" w:hAnsiTheme="majorBidi" w:cstheme="majorBidi"/>
          <w:b w:val="0"/>
          <w:bCs w:val="0"/>
          <w:sz w:val="18"/>
          <w:szCs w:val="18"/>
        </w:rPr>
        <w:t xml:space="preserve">upport study, </w:t>
      </w:r>
      <w:r w:rsidR="342E523F" w:rsidRPr="00A628D0">
        <w:rPr>
          <w:rStyle w:val="Strong"/>
          <w:rFonts w:asciiTheme="majorBidi" w:hAnsiTheme="majorBidi" w:cstheme="majorBidi"/>
          <w:b w:val="0"/>
          <w:bCs w:val="0"/>
          <w:sz w:val="18"/>
          <w:szCs w:val="18"/>
        </w:rPr>
        <w:t>p</w:t>
      </w:r>
      <w:r w:rsidRPr="00A628D0">
        <w:rPr>
          <w:rStyle w:val="Strong"/>
          <w:rFonts w:asciiTheme="majorBidi" w:hAnsiTheme="majorBidi" w:cstheme="majorBidi"/>
          <w:b w:val="0"/>
          <w:bCs w:val="0"/>
          <w:sz w:val="18"/>
          <w:szCs w:val="18"/>
        </w:rPr>
        <w:t xml:space="preserve">. </w:t>
      </w:r>
      <w:r w:rsidR="00B02D2F">
        <w:rPr>
          <w:rStyle w:val="Strong"/>
          <w:rFonts w:asciiTheme="majorBidi" w:hAnsiTheme="majorBidi" w:cstheme="majorBidi"/>
          <w:b w:val="0"/>
          <w:bCs w:val="0"/>
          <w:sz w:val="18"/>
          <w:szCs w:val="18"/>
        </w:rPr>
        <w:t>33</w:t>
      </w:r>
      <w:r w:rsidRPr="00A628D0">
        <w:rPr>
          <w:rStyle w:val="Strong"/>
          <w:rFonts w:asciiTheme="majorBidi" w:hAnsiTheme="majorBidi" w:cstheme="majorBidi"/>
          <w:b w:val="0"/>
          <w:bCs w:val="0"/>
          <w:sz w:val="18"/>
          <w:szCs w:val="18"/>
        </w:rPr>
        <w:t>.</w:t>
      </w:r>
    </w:p>
  </w:footnote>
  <w:footnote w:id="76">
    <w:p w14:paraId="78922800" w14:textId="11F3CAFA" w:rsidR="00AD112C" w:rsidRPr="00A628D0" w:rsidRDefault="00AD112C"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68B18CD1" w:rsidRPr="00A628D0">
        <w:rPr>
          <w:rFonts w:asciiTheme="majorBidi" w:hAnsiTheme="majorBidi" w:cstheme="majorBidi"/>
          <w:sz w:val="18"/>
          <w:szCs w:val="18"/>
        </w:rPr>
        <w:t>S</w:t>
      </w:r>
      <w:r w:rsidRPr="00A628D0">
        <w:rPr>
          <w:rStyle w:val="Strong"/>
          <w:rFonts w:asciiTheme="majorBidi" w:hAnsiTheme="majorBidi" w:cstheme="majorBidi"/>
          <w:b w:val="0"/>
          <w:bCs w:val="0"/>
          <w:sz w:val="18"/>
          <w:szCs w:val="18"/>
        </w:rPr>
        <w:t xml:space="preserve">upport study, </w:t>
      </w:r>
      <w:r w:rsidR="342E523F"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w:t>
      </w:r>
      <w:r w:rsidR="008D6C72">
        <w:rPr>
          <w:rStyle w:val="Strong"/>
          <w:rFonts w:asciiTheme="majorBidi" w:hAnsiTheme="majorBidi" w:cstheme="majorBidi"/>
          <w:b w:val="0"/>
          <w:bCs w:val="0"/>
          <w:sz w:val="18"/>
          <w:szCs w:val="18"/>
        </w:rPr>
        <w:t>9</w:t>
      </w:r>
      <w:r w:rsidRPr="00A628D0">
        <w:rPr>
          <w:rStyle w:val="Strong"/>
          <w:rFonts w:asciiTheme="majorBidi" w:hAnsiTheme="majorBidi" w:cstheme="majorBidi"/>
          <w:b w:val="0"/>
          <w:bCs w:val="0"/>
          <w:sz w:val="18"/>
          <w:szCs w:val="18"/>
        </w:rPr>
        <w:t>-</w:t>
      </w:r>
      <w:r w:rsidR="008D6C72">
        <w:rPr>
          <w:rStyle w:val="Strong"/>
          <w:rFonts w:asciiTheme="majorBidi" w:hAnsiTheme="majorBidi" w:cstheme="majorBidi"/>
          <w:b w:val="0"/>
          <w:bCs w:val="0"/>
          <w:sz w:val="18"/>
          <w:szCs w:val="18"/>
        </w:rPr>
        <w:t>30</w:t>
      </w:r>
      <w:r w:rsidRPr="00A628D0">
        <w:rPr>
          <w:rStyle w:val="Strong"/>
          <w:rFonts w:asciiTheme="majorBidi" w:hAnsiTheme="majorBidi" w:cstheme="majorBidi"/>
          <w:b w:val="0"/>
          <w:bCs w:val="0"/>
          <w:sz w:val="18"/>
          <w:szCs w:val="18"/>
        </w:rPr>
        <w:t>.</w:t>
      </w:r>
    </w:p>
  </w:footnote>
  <w:footnote w:id="77">
    <w:p w14:paraId="21696D4D" w14:textId="795EBE3B" w:rsidR="00A63B53" w:rsidRPr="00A628D0" w:rsidRDefault="00A63B53"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211998" w:rsidRPr="00A628D0">
        <w:rPr>
          <w:rFonts w:asciiTheme="majorBidi" w:hAnsiTheme="majorBidi" w:cstheme="majorBidi"/>
          <w:sz w:val="18"/>
          <w:szCs w:val="18"/>
        </w:rPr>
        <w:t xml:space="preserve">Renewing </w:t>
      </w:r>
      <w:r w:rsidR="009313B6" w:rsidRPr="00A628D0">
        <w:rPr>
          <w:rFonts w:asciiTheme="majorBidi" w:hAnsiTheme="majorBidi" w:cstheme="majorBidi"/>
          <w:sz w:val="18"/>
          <w:szCs w:val="18"/>
        </w:rPr>
        <w:t>cooperation</w:t>
      </w:r>
      <w:r w:rsidR="00211998" w:rsidRPr="00A628D0">
        <w:rPr>
          <w:rFonts w:asciiTheme="majorBidi" w:hAnsiTheme="majorBidi" w:cstheme="majorBidi"/>
          <w:sz w:val="18"/>
          <w:szCs w:val="18"/>
        </w:rPr>
        <w:t xml:space="preserve"> arrangements is a lengthy process that may face challenges. For instance, discussions between Eurojust and Frontex on a new working arrangement were halted in 2022 due to data protection concerns raised by the EDPS.</w:t>
      </w:r>
      <w:r w:rsidR="00211998" w:rsidRPr="00A628D0">
        <w:rPr>
          <w:rStyle w:val="Strong"/>
          <w:rFonts w:asciiTheme="majorBidi" w:hAnsiTheme="majorBidi" w:cstheme="majorBidi"/>
          <w:b w:val="0"/>
          <w:bCs w:val="0"/>
          <w:sz w:val="18"/>
          <w:szCs w:val="18"/>
        </w:rPr>
        <w:t xml:space="preserve"> </w:t>
      </w:r>
    </w:p>
  </w:footnote>
  <w:footnote w:id="78">
    <w:p w14:paraId="30BD7C69" w14:textId="565AED99" w:rsidR="00B538BE" w:rsidRPr="00A628D0" w:rsidRDefault="00B538BE"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3C54A2" w:rsidRPr="00A628D0">
        <w:rPr>
          <w:rFonts w:asciiTheme="majorBidi" w:hAnsiTheme="majorBidi" w:cstheme="majorBidi"/>
          <w:sz w:val="18"/>
          <w:szCs w:val="18"/>
        </w:rPr>
        <w:t xml:space="preserve">Eurojust Evaluation, pp. </w:t>
      </w:r>
      <w:r w:rsidR="008D6C72">
        <w:rPr>
          <w:rFonts w:asciiTheme="majorBidi" w:hAnsiTheme="majorBidi" w:cstheme="majorBidi"/>
          <w:sz w:val="18"/>
          <w:szCs w:val="18"/>
        </w:rPr>
        <w:t>31</w:t>
      </w:r>
      <w:r w:rsidR="003C54A2" w:rsidRPr="00A628D0">
        <w:rPr>
          <w:rFonts w:asciiTheme="majorBidi" w:hAnsiTheme="majorBidi" w:cstheme="majorBidi"/>
          <w:sz w:val="18"/>
          <w:szCs w:val="18"/>
        </w:rPr>
        <w:t>-</w:t>
      </w:r>
      <w:r w:rsidR="008D6C72">
        <w:rPr>
          <w:rFonts w:asciiTheme="majorBidi" w:hAnsiTheme="majorBidi" w:cstheme="majorBidi"/>
          <w:sz w:val="18"/>
          <w:szCs w:val="18"/>
        </w:rPr>
        <w:t>3</w:t>
      </w:r>
      <w:r w:rsidR="003C54A2" w:rsidRPr="00A628D0">
        <w:rPr>
          <w:rFonts w:asciiTheme="majorBidi" w:hAnsiTheme="majorBidi" w:cstheme="majorBidi"/>
          <w:sz w:val="18"/>
          <w:szCs w:val="18"/>
        </w:rPr>
        <w:t>2.</w:t>
      </w:r>
    </w:p>
  </w:footnote>
  <w:footnote w:id="79">
    <w:p w14:paraId="62D47043" w14:textId="77777777" w:rsidR="008C62F3" w:rsidRPr="00A628D0" w:rsidRDefault="008C62F3"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Improvements in the operation cooperation between Europol and Eurojust are also addressed in the context of the ongoing revision of Regulation (EU) 2016/794 on the European Union Agency for Law Enforcement Cooperation (Europol)</w:t>
      </w:r>
      <w:r w:rsidRPr="00A628D0">
        <w:rPr>
          <w:rFonts w:asciiTheme="majorBidi" w:hAnsiTheme="majorBidi" w:cstheme="majorBidi"/>
          <w:sz w:val="18"/>
          <w:szCs w:val="18"/>
          <w:lang w:val="en-IE"/>
        </w:rPr>
        <w:t>.</w:t>
      </w:r>
    </w:p>
  </w:footnote>
  <w:footnote w:id="80">
    <w:p w14:paraId="705A988A" w14:textId="7959E883" w:rsidR="00340150" w:rsidRPr="00A628D0" w:rsidRDefault="00340150"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B30C26" w:rsidRPr="00A628D0">
        <w:rPr>
          <w:rFonts w:asciiTheme="majorBidi" w:hAnsiTheme="majorBidi" w:cstheme="majorBidi"/>
          <w:sz w:val="18"/>
          <w:szCs w:val="18"/>
        </w:rPr>
        <w:t>Support study, p. 2</w:t>
      </w:r>
      <w:r w:rsidR="005028B8">
        <w:rPr>
          <w:rFonts w:asciiTheme="majorBidi" w:hAnsiTheme="majorBidi" w:cstheme="majorBidi"/>
          <w:sz w:val="18"/>
          <w:szCs w:val="18"/>
        </w:rPr>
        <w:t>7</w:t>
      </w:r>
      <w:r w:rsidR="00003EFA" w:rsidRPr="00A628D0">
        <w:rPr>
          <w:rFonts w:asciiTheme="majorBidi" w:hAnsiTheme="majorBidi" w:cstheme="majorBidi"/>
          <w:sz w:val="18"/>
          <w:szCs w:val="18"/>
        </w:rPr>
        <w:t>.</w:t>
      </w:r>
    </w:p>
  </w:footnote>
  <w:footnote w:id="81">
    <w:p w14:paraId="1A4FAF81" w14:textId="0939D2F1" w:rsidR="00A63B53" w:rsidRPr="00A628D0" w:rsidRDefault="00A63B53"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Style w:val="Strong"/>
          <w:rFonts w:asciiTheme="majorBidi" w:hAnsiTheme="majorBidi" w:cstheme="majorBidi"/>
          <w:b w:val="0"/>
          <w:bCs w:val="0"/>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5B1E9BD3"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28-29</w:t>
      </w:r>
      <w:r w:rsidR="00AC0C28" w:rsidRPr="00A628D0">
        <w:rPr>
          <w:rStyle w:val="Strong"/>
          <w:rFonts w:asciiTheme="majorBidi" w:hAnsiTheme="majorBidi" w:cstheme="majorBidi"/>
          <w:b w:val="0"/>
          <w:bCs w:val="0"/>
          <w:sz w:val="18"/>
          <w:szCs w:val="18"/>
        </w:rPr>
        <w:t>, 41</w:t>
      </w:r>
      <w:r w:rsidRPr="00A628D0">
        <w:rPr>
          <w:rStyle w:val="Strong"/>
          <w:rFonts w:asciiTheme="majorBidi" w:hAnsiTheme="majorBidi" w:cstheme="majorBidi"/>
          <w:b w:val="0"/>
          <w:bCs w:val="0"/>
          <w:sz w:val="18"/>
          <w:szCs w:val="18"/>
        </w:rPr>
        <w:t xml:space="preserve">; </w:t>
      </w:r>
      <w:r w:rsidR="12116C88"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upport study, p. 2</w:t>
      </w:r>
      <w:r w:rsidR="005028B8">
        <w:rPr>
          <w:rStyle w:val="Strong"/>
          <w:rFonts w:asciiTheme="majorBidi" w:hAnsiTheme="majorBidi" w:cstheme="majorBidi"/>
          <w:b w:val="0"/>
          <w:bCs w:val="0"/>
          <w:sz w:val="18"/>
          <w:szCs w:val="18"/>
        </w:rPr>
        <w:t>8</w:t>
      </w:r>
      <w:r w:rsidRPr="00A628D0">
        <w:rPr>
          <w:rStyle w:val="Strong"/>
          <w:rFonts w:asciiTheme="majorBidi" w:hAnsiTheme="majorBidi" w:cstheme="majorBidi"/>
          <w:b w:val="0"/>
          <w:bCs w:val="0"/>
          <w:sz w:val="18"/>
          <w:szCs w:val="18"/>
        </w:rPr>
        <w:t>.</w:t>
      </w:r>
    </w:p>
  </w:footnote>
  <w:footnote w:id="82">
    <w:p w14:paraId="4476ACDD" w14:textId="4C09A98E" w:rsidR="00A63B53" w:rsidRPr="00A628D0" w:rsidRDefault="00A63B53"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B0D8D" w:rsidRPr="00A628D0">
        <w:rPr>
          <w:rStyle w:val="Strong"/>
          <w:rFonts w:asciiTheme="majorBidi" w:hAnsiTheme="majorBidi" w:cstheme="majorBidi"/>
          <w:b w:val="0"/>
          <w:bCs w:val="0"/>
          <w:sz w:val="18"/>
          <w:szCs w:val="18"/>
        </w:rPr>
        <w:t>When the EPPO started its operations (1 June 2021), 22 Member States participated in the enhanced cooperation on the establishment of the EPPO. Two more Member States joined the enhanced cooperation in 2024 and another one is expected to join it in 2027.</w:t>
      </w:r>
      <w:r w:rsidR="00475169" w:rsidRPr="00A628D0">
        <w:rPr>
          <w:rStyle w:val="Strong"/>
          <w:rFonts w:asciiTheme="majorBidi" w:hAnsiTheme="majorBidi" w:cstheme="majorBidi"/>
          <w:b w:val="0"/>
          <w:bCs w:val="0"/>
          <w:sz w:val="18"/>
          <w:szCs w:val="18"/>
        </w:rPr>
        <w:t xml:space="preserve"> </w:t>
      </w:r>
      <w:r w:rsidR="00702108" w:rsidRPr="00A628D0">
        <w:rPr>
          <w:rStyle w:val="Strong"/>
          <w:rFonts w:asciiTheme="majorBidi" w:hAnsiTheme="majorBidi" w:cstheme="majorBidi"/>
          <w:b w:val="0"/>
          <w:bCs w:val="0"/>
          <w:sz w:val="18"/>
          <w:szCs w:val="18"/>
        </w:rPr>
        <w:t>Eurojust Evaluation</w:t>
      </w:r>
      <w:r w:rsidR="00475169" w:rsidRPr="00A628D0">
        <w:rPr>
          <w:rStyle w:val="Strong"/>
          <w:rFonts w:asciiTheme="majorBidi" w:hAnsiTheme="majorBidi" w:cstheme="majorBidi"/>
          <w:b w:val="0"/>
          <w:bCs w:val="0"/>
          <w:sz w:val="18"/>
          <w:szCs w:val="18"/>
        </w:rPr>
        <w:t>, p. 29</w:t>
      </w:r>
      <w:r w:rsidR="0028199C" w:rsidRPr="00A628D0">
        <w:rPr>
          <w:rStyle w:val="Strong"/>
          <w:rFonts w:asciiTheme="majorBidi" w:hAnsiTheme="majorBidi" w:cstheme="majorBidi"/>
          <w:b w:val="0"/>
          <w:bCs w:val="0"/>
          <w:sz w:val="18"/>
          <w:szCs w:val="18"/>
        </w:rPr>
        <w:t>.</w:t>
      </w:r>
    </w:p>
  </w:footnote>
  <w:footnote w:id="83">
    <w:p w14:paraId="008CB7FD" w14:textId="0A5E2A04" w:rsidR="00A63B53" w:rsidRPr="00A628D0" w:rsidRDefault="00A63B53"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Fonts w:asciiTheme="majorBidi" w:hAnsiTheme="majorBidi" w:cstheme="majorBidi"/>
          <w:sz w:val="18"/>
          <w:szCs w:val="18"/>
        </w:rPr>
        <w:t xml:space="preserve"> support </w:t>
      </w:r>
      <w:r w:rsidR="008D037E" w:rsidRPr="00A628D0">
        <w:rPr>
          <w:rFonts w:asciiTheme="majorBidi" w:hAnsiTheme="majorBidi" w:cstheme="majorBidi"/>
          <w:sz w:val="18"/>
          <w:szCs w:val="18"/>
        </w:rPr>
        <w:t>s</w:t>
      </w:r>
      <w:r w:rsidRPr="00A628D0">
        <w:rPr>
          <w:rFonts w:asciiTheme="majorBidi" w:hAnsiTheme="majorBidi" w:cstheme="majorBidi"/>
          <w:sz w:val="18"/>
          <w:szCs w:val="18"/>
        </w:rPr>
        <w:t>tudy, p.</w:t>
      </w:r>
      <w:r w:rsidR="008D037E" w:rsidRPr="00A628D0">
        <w:rPr>
          <w:rFonts w:asciiTheme="majorBidi" w:hAnsiTheme="majorBidi" w:cstheme="majorBidi"/>
          <w:sz w:val="18"/>
          <w:szCs w:val="18"/>
        </w:rPr>
        <w:t xml:space="preserve"> </w:t>
      </w:r>
      <w:r w:rsidRPr="00A628D0">
        <w:rPr>
          <w:rFonts w:asciiTheme="majorBidi" w:hAnsiTheme="majorBidi" w:cstheme="majorBidi"/>
          <w:sz w:val="18"/>
          <w:szCs w:val="18"/>
        </w:rPr>
        <w:t>92;</w:t>
      </w:r>
      <w:r w:rsidRPr="00A628D0">
        <w:rPr>
          <w:rStyle w:val="Strong"/>
          <w:rFonts w:asciiTheme="majorBidi" w:hAnsiTheme="majorBidi" w:cstheme="majorBidi"/>
          <w:b w:val="0"/>
          <w:bCs w:val="0"/>
          <w:sz w:val="18"/>
          <w:szCs w:val="18"/>
        </w:rPr>
        <w:t xml:space="preserve"> </w:t>
      </w:r>
      <w:r w:rsidR="4BBA0D21"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upport study, p. 2</w:t>
      </w:r>
      <w:r w:rsidR="005028B8">
        <w:rPr>
          <w:rStyle w:val="Strong"/>
          <w:rFonts w:asciiTheme="majorBidi" w:hAnsiTheme="majorBidi" w:cstheme="majorBidi"/>
          <w:b w:val="0"/>
          <w:bCs w:val="0"/>
          <w:sz w:val="18"/>
          <w:szCs w:val="18"/>
        </w:rPr>
        <w:t>9</w:t>
      </w:r>
      <w:r w:rsidRPr="00A628D0">
        <w:rPr>
          <w:rStyle w:val="Strong"/>
          <w:rFonts w:asciiTheme="majorBidi" w:hAnsiTheme="majorBidi" w:cstheme="majorBidi"/>
          <w:b w:val="0"/>
          <w:bCs w:val="0"/>
          <w:sz w:val="18"/>
          <w:szCs w:val="18"/>
        </w:rPr>
        <w:t>.</w:t>
      </w:r>
    </w:p>
  </w:footnote>
  <w:footnote w:id="84">
    <w:p w14:paraId="5161043D" w14:textId="2C5E38EA" w:rsidR="00CE4492" w:rsidRPr="00A628D0" w:rsidRDefault="00CE4492"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D00F05" w:rsidRPr="00A628D0">
        <w:rPr>
          <w:rFonts w:asciiTheme="majorBidi" w:hAnsiTheme="majorBidi" w:cstheme="majorBidi"/>
          <w:sz w:val="18"/>
          <w:szCs w:val="18"/>
          <w:lang w:val="en-IE"/>
        </w:rPr>
        <w:t>Eurojust Evaluation, p. 46</w:t>
      </w:r>
      <w:r w:rsidRPr="00A628D0">
        <w:rPr>
          <w:rFonts w:asciiTheme="majorBidi" w:hAnsiTheme="majorBidi" w:cstheme="majorBidi"/>
          <w:sz w:val="18"/>
          <w:szCs w:val="18"/>
          <w:lang w:val="en-IE"/>
        </w:rPr>
        <w:t>.</w:t>
      </w:r>
    </w:p>
  </w:footnote>
  <w:footnote w:id="85">
    <w:p w14:paraId="52FBDFD8" w14:textId="2569228E" w:rsidR="001617D1" w:rsidRPr="001617D1" w:rsidRDefault="001617D1">
      <w:pPr>
        <w:pStyle w:val="FootnoteText"/>
      </w:pPr>
      <w:r>
        <w:rPr>
          <w:rStyle w:val="FootnoteReference"/>
        </w:rPr>
        <w:footnoteRef/>
      </w:r>
      <w:r>
        <w:t xml:space="preserve"> </w:t>
      </w:r>
      <w:r w:rsidRPr="00A628D0">
        <w:rPr>
          <w:rFonts w:asciiTheme="majorBidi" w:hAnsiTheme="majorBidi" w:cstheme="majorBidi"/>
          <w:sz w:val="18"/>
          <w:szCs w:val="18"/>
        </w:rPr>
        <w:t xml:space="preserve">EB discussions on the establishment of a UAE Resident Contact Point; Eurojust </w:t>
      </w:r>
      <w:hyperlink r:id="rId9" w:history="1">
        <w:r w:rsidRPr="00A628D0">
          <w:rPr>
            <w:rStyle w:val="Hyperlink"/>
            <w:rFonts w:asciiTheme="majorBidi" w:hAnsiTheme="majorBidi" w:cstheme="majorBidi"/>
            <w:sz w:val="18"/>
            <w:szCs w:val="18"/>
          </w:rPr>
          <w:t>Annual Report 2024</w:t>
        </w:r>
      </w:hyperlink>
      <w:r w:rsidRPr="00A628D0">
        <w:rPr>
          <w:rFonts w:asciiTheme="majorBidi" w:hAnsiTheme="majorBidi" w:cstheme="majorBidi"/>
          <w:sz w:val="18"/>
          <w:szCs w:val="18"/>
        </w:rPr>
        <w:t>.</w:t>
      </w:r>
    </w:p>
  </w:footnote>
  <w:footnote w:id="86">
    <w:p w14:paraId="53555DAE" w14:textId="597E9359" w:rsidR="00A3339F" w:rsidRPr="00A628D0" w:rsidRDefault="00A3339F"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30F4DF88"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xml:space="preserve">. 23, 30; </w:t>
      </w:r>
      <w:r w:rsidR="37E54757"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 xml:space="preserve">upport study, p. </w:t>
      </w:r>
      <w:r w:rsidR="005028B8">
        <w:rPr>
          <w:rStyle w:val="Strong"/>
          <w:rFonts w:asciiTheme="majorBidi" w:hAnsiTheme="majorBidi" w:cstheme="majorBidi"/>
          <w:b w:val="0"/>
          <w:bCs w:val="0"/>
          <w:sz w:val="18"/>
          <w:szCs w:val="18"/>
        </w:rPr>
        <w:t>30</w:t>
      </w:r>
      <w:r w:rsidRPr="00A628D0">
        <w:rPr>
          <w:rStyle w:val="Strong"/>
          <w:rFonts w:asciiTheme="majorBidi" w:hAnsiTheme="majorBidi" w:cstheme="majorBidi"/>
          <w:b w:val="0"/>
          <w:bCs w:val="0"/>
          <w:sz w:val="18"/>
          <w:szCs w:val="18"/>
        </w:rPr>
        <w:t>8.</w:t>
      </w:r>
    </w:p>
  </w:footnote>
  <w:footnote w:id="87">
    <w:p w14:paraId="7D7B9557" w14:textId="3F9FCEF4" w:rsidR="004177DE" w:rsidRPr="00A628D0" w:rsidRDefault="004177DE"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hAnsiTheme="majorBidi" w:cstheme="majorBidi"/>
          <w:sz w:val="18"/>
          <w:szCs w:val="18"/>
          <w:lang w:val="en-IE"/>
        </w:rPr>
        <w:t xml:space="preserve">Article </w:t>
      </w:r>
      <w:r w:rsidR="00010CF1" w:rsidRPr="00A628D0">
        <w:rPr>
          <w:rFonts w:asciiTheme="majorBidi" w:hAnsiTheme="majorBidi" w:cstheme="majorBidi"/>
          <w:sz w:val="18"/>
          <w:szCs w:val="18"/>
          <w:lang w:val="en-IE"/>
        </w:rPr>
        <w:t>47 EJR.</w:t>
      </w:r>
    </w:p>
  </w:footnote>
  <w:footnote w:id="88">
    <w:p w14:paraId="2AC78694" w14:textId="563E79B4" w:rsidR="00DD65BB" w:rsidRPr="00A628D0" w:rsidRDefault="00DD65BB"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w:t>
      </w:r>
      <w:r w:rsidR="6A7994EE" w:rsidRPr="00A628D0">
        <w:rPr>
          <w:rStyle w:val="Strong"/>
          <w:rFonts w:asciiTheme="majorBidi" w:hAnsiTheme="majorBidi" w:cstheme="majorBidi"/>
          <w:b w:val="0"/>
          <w:bCs w:val="0"/>
          <w:sz w:val="18"/>
          <w:szCs w:val="18"/>
        </w:rPr>
        <w:t>pp</w:t>
      </w:r>
      <w:r w:rsidRPr="00A628D0">
        <w:rPr>
          <w:rStyle w:val="Strong"/>
          <w:rFonts w:asciiTheme="majorBidi" w:hAnsiTheme="majorBidi" w:cstheme="majorBidi"/>
          <w:b w:val="0"/>
          <w:bCs w:val="0"/>
          <w:sz w:val="18"/>
          <w:szCs w:val="18"/>
        </w:rPr>
        <w:t>. 221, 315.</w:t>
      </w:r>
    </w:p>
  </w:footnote>
  <w:footnote w:id="89">
    <w:p w14:paraId="7DD78290" w14:textId="4802CA3B" w:rsidR="00A63B53" w:rsidRPr="00A628D0" w:rsidRDefault="00A63B53"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hAnsiTheme="majorBidi" w:cstheme="majorBidi"/>
          <w:sz w:val="18"/>
          <w:szCs w:val="18"/>
          <w:lang w:val="en-IE"/>
        </w:rPr>
        <w:t xml:space="preserve">The </w:t>
      </w:r>
      <w:r w:rsidR="00EC282B" w:rsidRPr="00A628D0">
        <w:rPr>
          <w:rFonts w:asciiTheme="majorBidi" w:hAnsiTheme="majorBidi" w:cstheme="majorBidi"/>
          <w:sz w:val="18"/>
          <w:szCs w:val="18"/>
          <w:lang w:val="en-IE"/>
        </w:rPr>
        <w:t>A</w:t>
      </w:r>
      <w:r w:rsidRPr="00A628D0">
        <w:rPr>
          <w:rFonts w:asciiTheme="majorBidi" w:hAnsiTheme="majorBidi" w:cstheme="majorBidi"/>
          <w:sz w:val="18"/>
          <w:szCs w:val="18"/>
          <w:lang w:val="en-IE"/>
        </w:rPr>
        <w:t xml:space="preserve">ction </w:t>
      </w:r>
      <w:r w:rsidR="006E08C3" w:rsidRPr="00A628D0">
        <w:rPr>
          <w:rFonts w:asciiTheme="majorBidi" w:hAnsiTheme="majorBidi" w:cstheme="majorBidi"/>
          <w:sz w:val="18"/>
          <w:szCs w:val="18"/>
          <w:lang w:val="en-IE"/>
        </w:rPr>
        <w:t>P</w:t>
      </w:r>
      <w:r w:rsidRPr="00A628D0">
        <w:rPr>
          <w:rFonts w:asciiTheme="majorBidi" w:hAnsiTheme="majorBidi" w:cstheme="majorBidi"/>
          <w:sz w:val="18"/>
          <w:szCs w:val="18"/>
          <w:lang w:val="en-IE"/>
        </w:rPr>
        <w:t>lan is a Eurojust internal document that was also shared with the Commission.</w:t>
      </w:r>
    </w:p>
  </w:footnote>
  <w:footnote w:id="90">
    <w:p w14:paraId="6B0918A7" w14:textId="048CC80E" w:rsidR="001071F7" w:rsidRPr="0016776D" w:rsidRDefault="001071F7" w:rsidP="0016776D">
      <w:pPr>
        <w:pStyle w:val="FootnoteText"/>
        <w:spacing w:after="20"/>
        <w:rPr>
          <w:rFonts w:asciiTheme="majorBidi" w:hAnsiTheme="majorBidi" w:cstheme="majorBidi"/>
          <w:sz w:val="18"/>
          <w:szCs w:val="18"/>
        </w:rPr>
      </w:pPr>
      <w:r w:rsidRPr="0016776D">
        <w:rPr>
          <w:rStyle w:val="FootnoteReference"/>
          <w:rFonts w:asciiTheme="majorBidi" w:hAnsiTheme="majorBidi" w:cstheme="majorBidi"/>
          <w:sz w:val="18"/>
          <w:szCs w:val="18"/>
        </w:rPr>
        <w:footnoteRef/>
      </w:r>
      <w:r w:rsidRPr="0016776D">
        <w:rPr>
          <w:rFonts w:asciiTheme="majorBidi" w:hAnsiTheme="majorBidi" w:cstheme="majorBidi"/>
          <w:sz w:val="18"/>
          <w:szCs w:val="18"/>
        </w:rPr>
        <w:t xml:space="preserve"> Evaluation study, page 30</w:t>
      </w:r>
      <w:r w:rsidR="00974A85" w:rsidRPr="0016776D">
        <w:rPr>
          <w:rFonts w:asciiTheme="majorBidi" w:hAnsiTheme="majorBidi" w:cstheme="majorBidi"/>
          <w:sz w:val="18"/>
          <w:szCs w:val="18"/>
        </w:rPr>
        <w:t>.</w:t>
      </w:r>
    </w:p>
  </w:footnote>
  <w:footnote w:id="91">
    <w:p w14:paraId="1113305D" w14:textId="4781ECB7" w:rsidR="00E74AA8" w:rsidRPr="00A628D0" w:rsidRDefault="00E74AA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hAnsiTheme="majorBidi" w:cstheme="majorBidi"/>
          <w:sz w:val="18"/>
          <w:szCs w:val="18"/>
          <w:lang w:val="en-IE"/>
        </w:rPr>
        <w:t>I.a., by delegating certain decisions to the EB or AD, and revising working practices in the College</w:t>
      </w:r>
      <w:r w:rsidR="0015185C" w:rsidRPr="00A628D0">
        <w:rPr>
          <w:rFonts w:asciiTheme="majorBidi" w:hAnsiTheme="majorBidi" w:cstheme="majorBidi"/>
          <w:sz w:val="18"/>
          <w:szCs w:val="18"/>
          <w:lang w:val="en-IE"/>
        </w:rPr>
        <w:t>; and implementing training program</w:t>
      </w:r>
      <w:r w:rsidR="008F192C" w:rsidRPr="00A628D0">
        <w:rPr>
          <w:rFonts w:asciiTheme="majorBidi" w:hAnsiTheme="majorBidi" w:cstheme="majorBidi"/>
          <w:sz w:val="18"/>
          <w:szCs w:val="18"/>
          <w:lang w:val="en-IE"/>
        </w:rPr>
        <w:t>me</w:t>
      </w:r>
      <w:r w:rsidR="0015185C" w:rsidRPr="00A628D0">
        <w:rPr>
          <w:rFonts w:asciiTheme="majorBidi" w:hAnsiTheme="majorBidi" w:cstheme="majorBidi"/>
          <w:sz w:val="18"/>
          <w:szCs w:val="18"/>
          <w:lang w:val="en-IE"/>
        </w:rPr>
        <w:t>s.</w:t>
      </w:r>
    </w:p>
  </w:footnote>
  <w:footnote w:id="92">
    <w:p w14:paraId="30C78D70" w14:textId="78280768" w:rsidR="00A63B53" w:rsidRPr="00CC4DE0" w:rsidRDefault="00A63B53"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00B02325" w:rsidRPr="00CC4DE0">
        <w:rPr>
          <w:rFonts w:asciiTheme="majorBidi" w:hAnsiTheme="majorBidi" w:cstheme="majorBidi"/>
          <w:sz w:val="18"/>
          <w:szCs w:val="18"/>
        </w:rPr>
        <w:t xml:space="preserve"> </w:t>
      </w:r>
      <w:r w:rsidRPr="00CC4DE0">
        <w:rPr>
          <w:rFonts w:asciiTheme="majorBidi" w:hAnsiTheme="majorBidi" w:cstheme="majorBidi"/>
          <w:sz w:val="18"/>
          <w:szCs w:val="18"/>
        </w:rPr>
        <w:t>Article 5(1) EJR.</w:t>
      </w:r>
    </w:p>
  </w:footnote>
  <w:footnote w:id="93">
    <w:p w14:paraId="7289D4A1" w14:textId="77777777" w:rsidR="00A63B53" w:rsidRPr="009D1F57" w:rsidRDefault="00A63B53"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9D1F57">
        <w:rPr>
          <w:rFonts w:asciiTheme="majorBidi" w:hAnsiTheme="majorBidi" w:cstheme="majorBidi"/>
          <w:sz w:val="18"/>
          <w:szCs w:val="18"/>
        </w:rPr>
        <w:t xml:space="preserve"> </w:t>
      </w:r>
      <w:r w:rsidRPr="009D1F57">
        <w:rPr>
          <w:rFonts w:asciiTheme="majorBidi" w:eastAsia="Times New Roman" w:hAnsiTheme="majorBidi" w:cstheme="majorBidi"/>
          <w:sz w:val="18"/>
          <w:szCs w:val="18"/>
        </w:rPr>
        <w:t>Article 67(1) TFEU.</w:t>
      </w:r>
    </w:p>
  </w:footnote>
  <w:footnote w:id="94">
    <w:p w14:paraId="5AB76650" w14:textId="39E1ED17" w:rsidR="00C61DD0" w:rsidRPr="00C61DD0" w:rsidRDefault="00C61DD0" w:rsidP="001617D1">
      <w:pPr>
        <w:spacing w:after="0"/>
      </w:pPr>
      <w:r w:rsidRPr="001462DF">
        <w:rPr>
          <w:rStyle w:val="FootnoteReference"/>
          <w:rFonts w:asciiTheme="majorBidi" w:hAnsiTheme="majorBidi" w:cstheme="majorBidi"/>
          <w:sz w:val="18"/>
          <w:szCs w:val="18"/>
        </w:rPr>
        <w:footnoteRef/>
      </w:r>
      <w:r>
        <w:t xml:space="preserve"> </w:t>
      </w:r>
      <w:r w:rsidRPr="009D1F57">
        <w:rPr>
          <w:rFonts w:asciiTheme="majorBidi" w:eastAsia="Times New Roman" w:hAnsiTheme="majorBidi" w:cstheme="majorBidi"/>
          <w:sz w:val="18"/>
          <w:szCs w:val="18"/>
        </w:rPr>
        <w:t>Eurojust plays a notable role in the following actions: the loss of “safe havens” for criminals, the building of confidence for individuals and businesses to operate across borders, the improvement of judicial cooperation for crimes affecting EU financial interests or cross-border economic crime, the facilitation of movement and social/economic integration.</w:t>
      </w:r>
    </w:p>
  </w:footnote>
  <w:footnote w:id="95">
    <w:p w14:paraId="06E4F8F5" w14:textId="77777777" w:rsidR="001E4846" w:rsidRPr="009D1F57" w:rsidRDefault="001E4846" w:rsidP="001617D1">
      <w:pPr>
        <w:pStyle w:val="FootnoteText"/>
        <w:rPr>
          <w:rFonts w:asciiTheme="majorBidi" w:hAnsiTheme="majorBidi" w:cstheme="majorBidi"/>
          <w:sz w:val="18"/>
          <w:szCs w:val="18"/>
        </w:rPr>
      </w:pPr>
      <w:r>
        <w:rPr>
          <w:rStyle w:val="FootnoteReference"/>
          <w:rFonts w:asciiTheme="majorBidi" w:hAnsiTheme="majorBidi" w:cstheme="majorBidi"/>
          <w:sz w:val="18"/>
          <w:szCs w:val="18"/>
        </w:rPr>
        <w:footnoteRef/>
      </w:r>
      <w:r w:rsidRPr="009D1F57">
        <w:rPr>
          <w:rFonts w:asciiTheme="majorBidi" w:hAnsiTheme="majorBidi" w:cstheme="majorBidi"/>
          <w:sz w:val="18"/>
          <w:szCs w:val="18"/>
        </w:rPr>
        <w:t xml:space="preserve"> </w:t>
      </w:r>
      <w:r w:rsidRPr="009D1F57">
        <w:rPr>
          <w:rFonts w:asciiTheme="majorBidi" w:eastAsia="Times New Roman" w:hAnsiTheme="majorBidi" w:cstheme="majorBidi"/>
          <w:sz w:val="18"/>
          <w:szCs w:val="18"/>
        </w:rPr>
        <w:t>Article 85(1) TFEU.</w:t>
      </w:r>
    </w:p>
  </w:footnote>
  <w:footnote w:id="96">
    <w:p w14:paraId="192F7332" w14:textId="77777777" w:rsidR="001E4846" w:rsidRPr="001E4846" w:rsidRDefault="001E4846" w:rsidP="001617D1">
      <w:pPr>
        <w:pStyle w:val="FootnoteText"/>
        <w:rPr>
          <w:rFonts w:asciiTheme="majorBidi" w:eastAsiaTheme="minorHAnsi" w:hAnsiTheme="majorBidi" w:cstheme="majorBidi"/>
          <w:sz w:val="18"/>
          <w:szCs w:val="18"/>
          <w:lang w:val="en-IE"/>
        </w:rPr>
      </w:pPr>
      <w:r>
        <w:rPr>
          <w:rStyle w:val="FootnoteReference"/>
          <w:rFonts w:asciiTheme="majorBidi" w:hAnsiTheme="majorBidi" w:cstheme="majorBidi"/>
          <w:sz w:val="18"/>
          <w:szCs w:val="18"/>
        </w:rPr>
        <w:footnoteRef/>
      </w:r>
      <w:r w:rsidRPr="001E4846">
        <w:rPr>
          <w:rFonts w:asciiTheme="majorBidi" w:hAnsiTheme="majorBidi" w:cstheme="majorBidi"/>
          <w:sz w:val="18"/>
          <w:szCs w:val="18"/>
          <w:lang w:val="en-IE"/>
        </w:rPr>
        <w:t xml:space="preserve"> </w:t>
      </w:r>
      <w:r w:rsidRPr="001E4846">
        <w:rPr>
          <w:rFonts w:asciiTheme="majorBidi" w:eastAsia="Times New Roman" w:hAnsiTheme="majorBidi" w:cstheme="majorBidi"/>
          <w:sz w:val="18"/>
          <w:szCs w:val="18"/>
          <w:lang w:val="en-IE"/>
        </w:rPr>
        <w:t>Article 67(3) TFEU.</w:t>
      </w:r>
    </w:p>
  </w:footnote>
  <w:footnote w:id="97">
    <w:p w14:paraId="1405B7CE" w14:textId="1DC3FD37" w:rsidR="00B032C0" w:rsidRPr="00A628D0" w:rsidRDefault="00B032C0"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6774FB" w:rsidRPr="00504DA1">
        <w:rPr>
          <w:rFonts w:asciiTheme="majorBidi" w:eastAsia="Times New Roman" w:hAnsiTheme="majorBidi" w:cstheme="majorBidi"/>
          <w:sz w:val="18"/>
          <w:szCs w:val="18"/>
        </w:rPr>
        <w:t>The Agency has already recognised this imbalance in its programming documents, where it has consistently requested additional resources, and discussed ways of improving efficiency in two</w:t>
      </w:r>
      <w:r w:rsidR="006774FB" w:rsidRPr="00504DA1" w:rsidDel="00400DFC">
        <w:rPr>
          <w:rFonts w:asciiTheme="majorBidi" w:eastAsia="Times New Roman" w:hAnsiTheme="majorBidi" w:cstheme="majorBidi"/>
          <w:sz w:val="18"/>
          <w:szCs w:val="18"/>
          <w:lang w:val="en-US"/>
        </w:rPr>
        <w:t xml:space="preserve"> </w:t>
      </w:r>
      <w:r w:rsidR="006774FB" w:rsidRPr="00504DA1">
        <w:rPr>
          <w:rFonts w:asciiTheme="majorBidi" w:eastAsia="Times New Roman" w:hAnsiTheme="majorBidi" w:cstheme="majorBidi"/>
          <w:sz w:val="18"/>
          <w:szCs w:val="18"/>
          <w:lang w:val="en-US"/>
        </w:rPr>
        <w:t>“Eurojust 2035”</w:t>
      </w:r>
      <w:r w:rsidR="006774FB" w:rsidRPr="00504DA1" w:rsidDel="00400DFC">
        <w:rPr>
          <w:rFonts w:asciiTheme="majorBidi" w:eastAsia="Times New Roman" w:hAnsiTheme="majorBidi" w:cstheme="majorBidi"/>
          <w:sz w:val="18"/>
          <w:szCs w:val="18"/>
          <w:lang w:val="en-US"/>
        </w:rPr>
        <w:t xml:space="preserve"> </w:t>
      </w:r>
      <w:r w:rsidR="006774FB" w:rsidRPr="00504DA1">
        <w:rPr>
          <w:rFonts w:asciiTheme="majorBidi" w:eastAsia="Times New Roman" w:hAnsiTheme="majorBidi" w:cstheme="majorBidi"/>
          <w:sz w:val="18"/>
          <w:szCs w:val="18"/>
          <w:lang w:val="en-US"/>
        </w:rPr>
        <w:t>workshops, held in Autumn 2025, for internal reflection</w:t>
      </w:r>
      <w:r w:rsidR="0048224B" w:rsidRPr="00504DA1">
        <w:rPr>
          <w:rFonts w:asciiTheme="majorBidi" w:eastAsia="Times New Roman" w:hAnsiTheme="majorBidi" w:cstheme="majorBidi"/>
          <w:sz w:val="18"/>
          <w:szCs w:val="18"/>
          <w:lang w:val="en-US"/>
        </w:rPr>
        <w:t>.</w:t>
      </w:r>
      <w:r w:rsidR="0048224B">
        <w:rPr>
          <w:rFonts w:asciiTheme="majorBidi" w:eastAsia="Times New Roman" w:hAnsiTheme="majorBidi" w:cstheme="majorBidi"/>
          <w:lang w:val="en-US"/>
        </w:rPr>
        <w:t xml:space="preserve"> </w:t>
      </w:r>
      <w:r w:rsidR="000C27F9" w:rsidRPr="00A628D0">
        <w:rPr>
          <w:rFonts w:asciiTheme="majorBidi" w:hAnsiTheme="majorBidi" w:cstheme="majorBidi"/>
          <w:sz w:val="18"/>
          <w:szCs w:val="18"/>
          <w:lang w:val="en-IE"/>
        </w:rPr>
        <w:t xml:space="preserve">The </w:t>
      </w:r>
      <w:r w:rsidR="00F451A8" w:rsidRPr="00A628D0">
        <w:rPr>
          <w:rFonts w:asciiTheme="majorBidi" w:hAnsiTheme="majorBidi" w:cstheme="majorBidi"/>
          <w:sz w:val="18"/>
          <w:szCs w:val="18"/>
          <w:lang w:val="en-IE"/>
        </w:rPr>
        <w:t xml:space="preserve">Eurojust Vision 2035 was </w:t>
      </w:r>
      <w:r w:rsidR="003F1B5A" w:rsidRPr="00A628D0">
        <w:rPr>
          <w:rFonts w:asciiTheme="majorBidi" w:hAnsiTheme="majorBidi" w:cstheme="majorBidi"/>
          <w:sz w:val="18"/>
          <w:szCs w:val="18"/>
          <w:lang w:val="en-IE"/>
        </w:rPr>
        <w:t xml:space="preserve">also discussed at the </w:t>
      </w:r>
      <w:hyperlink r:id="rId10" w:history="1">
        <w:r w:rsidR="003F1B5A" w:rsidRPr="00A628D0">
          <w:rPr>
            <w:rStyle w:val="Hyperlink"/>
            <w:rFonts w:asciiTheme="majorBidi" w:hAnsiTheme="majorBidi" w:cstheme="majorBidi"/>
            <w:sz w:val="18"/>
            <w:szCs w:val="18"/>
            <w:lang w:val="en-IE"/>
          </w:rPr>
          <w:t>20</w:t>
        </w:r>
        <w:r w:rsidR="003F1B5A" w:rsidRPr="00A628D0">
          <w:rPr>
            <w:rStyle w:val="Hyperlink"/>
            <w:rFonts w:asciiTheme="majorBidi" w:hAnsiTheme="majorBidi" w:cstheme="majorBidi"/>
            <w:sz w:val="18"/>
            <w:szCs w:val="18"/>
            <w:vertAlign w:val="superscript"/>
            <w:lang w:val="en-IE"/>
          </w:rPr>
          <w:t>th</w:t>
        </w:r>
        <w:r w:rsidR="003F1B5A" w:rsidRPr="00A628D0">
          <w:rPr>
            <w:rStyle w:val="Hyperlink"/>
            <w:rFonts w:asciiTheme="majorBidi" w:hAnsiTheme="majorBidi" w:cstheme="majorBidi"/>
            <w:sz w:val="18"/>
            <w:szCs w:val="18"/>
            <w:lang w:val="en-IE"/>
          </w:rPr>
          <w:t xml:space="preserve"> CF</w:t>
        </w:r>
      </w:hyperlink>
      <w:r w:rsidR="003F1B5A" w:rsidRPr="00A628D0">
        <w:rPr>
          <w:rFonts w:asciiTheme="majorBidi" w:hAnsiTheme="majorBidi" w:cstheme="majorBidi"/>
          <w:sz w:val="18"/>
          <w:szCs w:val="18"/>
          <w:lang w:val="en-IE"/>
        </w:rPr>
        <w:t>, and will be included in the next MAS.</w:t>
      </w:r>
    </w:p>
  </w:footnote>
  <w:footnote w:id="98">
    <w:p w14:paraId="5C73263E" w14:textId="571E015E" w:rsidR="00FE7323" w:rsidRPr="0016776D" w:rsidRDefault="00FE7323" w:rsidP="0016776D">
      <w:pPr>
        <w:pStyle w:val="FootnoteText"/>
        <w:spacing w:after="20"/>
        <w:rPr>
          <w:rFonts w:asciiTheme="majorBidi" w:hAnsiTheme="majorBidi" w:cstheme="majorBidi"/>
          <w:sz w:val="18"/>
          <w:szCs w:val="18"/>
        </w:rPr>
      </w:pPr>
      <w:r w:rsidRPr="0016776D">
        <w:rPr>
          <w:rStyle w:val="FootnoteReference"/>
          <w:rFonts w:asciiTheme="majorBidi" w:hAnsiTheme="majorBidi" w:cstheme="majorBidi"/>
          <w:sz w:val="18"/>
          <w:szCs w:val="18"/>
        </w:rPr>
        <w:footnoteRef/>
      </w:r>
      <w:r w:rsidRPr="0016776D">
        <w:rPr>
          <w:rFonts w:asciiTheme="majorBidi" w:hAnsiTheme="majorBidi" w:cstheme="majorBidi"/>
          <w:sz w:val="18"/>
          <w:szCs w:val="18"/>
        </w:rPr>
        <w:t xml:space="preserve"> </w:t>
      </w:r>
      <w:r w:rsidR="000B3BE8" w:rsidRPr="00A628D0">
        <w:rPr>
          <w:rFonts w:asciiTheme="majorBidi" w:hAnsiTheme="majorBidi" w:cstheme="majorBidi"/>
          <w:sz w:val="18"/>
          <w:szCs w:val="18"/>
        </w:rPr>
        <w:t>Global Organized Crime Index 2025</w:t>
      </w:r>
      <w:r w:rsidR="00CD610F" w:rsidRPr="00A628D0">
        <w:rPr>
          <w:rFonts w:asciiTheme="majorBidi" w:hAnsiTheme="majorBidi" w:cstheme="majorBidi"/>
          <w:sz w:val="18"/>
          <w:szCs w:val="18"/>
        </w:rPr>
        <w:t>, Crime at a crossroads, Europe</w:t>
      </w:r>
      <w:r w:rsidR="008E1701" w:rsidRPr="00A628D0">
        <w:rPr>
          <w:rFonts w:asciiTheme="majorBidi" w:hAnsiTheme="majorBidi" w:cstheme="majorBidi"/>
          <w:sz w:val="18"/>
          <w:szCs w:val="18"/>
        </w:rPr>
        <w:t>,</w:t>
      </w:r>
      <w:r w:rsidR="00CD610F" w:rsidRPr="0016776D">
        <w:rPr>
          <w:rFonts w:asciiTheme="majorBidi" w:hAnsiTheme="majorBidi" w:cstheme="majorBidi"/>
          <w:sz w:val="18"/>
          <w:szCs w:val="18"/>
          <w:lang w:val="en-IE"/>
        </w:rPr>
        <w:t xml:space="preserve"> </w:t>
      </w:r>
      <w:r w:rsidR="008E1701" w:rsidRPr="0016776D">
        <w:rPr>
          <w:rFonts w:asciiTheme="majorBidi" w:hAnsiTheme="majorBidi" w:cstheme="majorBidi"/>
          <w:sz w:val="18"/>
          <w:szCs w:val="18"/>
          <w:lang w:val="en-IE"/>
        </w:rPr>
        <w:t>p</w:t>
      </w:r>
      <w:r w:rsidRPr="0016776D">
        <w:rPr>
          <w:rFonts w:asciiTheme="majorBidi" w:hAnsiTheme="majorBidi" w:cstheme="majorBidi"/>
          <w:sz w:val="18"/>
          <w:szCs w:val="18"/>
          <w:lang w:val="en-IE"/>
        </w:rPr>
        <w:t xml:space="preserve">p. </w:t>
      </w:r>
      <w:r w:rsidR="006F349A" w:rsidRPr="0016776D">
        <w:rPr>
          <w:rFonts w:asciiTheme="majorBidi" w:hAnsiTheme="majorBidi" w:cstheme="majorBidi"/>
          <w:sz w:val="18"/>
          <w:szCs w:val="18"/>
          <w:lang w:val="en-IE"/>
        </w:rPr>
        <w:t>1-4, 7.</w:t>
      </w:r>
    </w:p>
  </w:footnote>
  <w:footnote w:id="99">
    <w:p w14:paraId="7B430AB5" w14:textId="67E7AA80" w:rsidR="007E4A1D" w:rsidRPr="0016776D" w:rsidRDefault="007E4A1D" w:rsidP="0016776D">
      <w:pPr>
        <w:pStyle w:val="FootnoteText"/>
        <w:spacing w:after="20"/>
        <w:rPr>
          <w:rFonts w:asciiTheme="majorBidi" w:hAnsiTheme="majorBidi" w:cstheme="majorBidi"/>
          <w:sz w:val="18"/>
          <w:szCs w:val="18"/>
          <w:lang w:val="en-IE"/>
        </w:rPr>
      </w:pPr>
      <w:r w:rsidRPr="0016776D">
        <w:rPr>
          <w:rStyle w:val="FootnoteReference"/>
          <w:rFonts w:asciiTheme="majorBidi" w:hAnsiTheme="majorBidi" w:cstheme="majorBidi"/>
          <w:sz w:val="18"/>
          <w:szCs w:val="18"/>
        </w:rPr>
        <w:footnoteRef/>
      </w:r>
      <w:r w:rsidRPr="0016776D">
        <w:rPr>
          <w:rFonts w:asciiTheme="majorBidi" w:hAnsiTheme="majorBidi" w:cstheme="majorBidi"/>
          <w:sz w:val="18"/>
          <w:szCs w:val="18"/>
        </w:rPr>
        <w:t xml:space="preserve"> </w:t>
      </w:r>
      <w:r w:rsidR="00EA77E0" w:rsidRPr="0016776D">
        <w:rPr>
          <w:rFonts w:asciiTheme="majorBidi" w:hAnsiTheme="majorBidi" w:cstheme="majorBidi"/>
          <w:sz w:val="18"/>
          <w:szCs w:val="18"/>
        </w:rPr>
        <w:t xml:space="preserve">Support study, p. </w:t>
      </w:r>
      <w:r w:rsidR="009A71E2">
        <w:rPr>
          <w:rFonts w:asciiTheme="majorBidi" w:hAnsiTheme="majorBidi" w:cstheme="majorBidi"/>
          <w:sz w:val="18"/>
          <w:szCs w:val="18"/>
        </w:rPr>
        <w:t>39</w:t>
      </w:r>
      <w:r w:rsidR="00EA77E0" w:rsidRPr="0016776D">
        <w:rPr>
          <w:rFonts w:asciiTheme="majorBidi" w:hAnsiTheme="majorBidi" w:cstheme="majorBidi"/>
          <w:sz w:val="18"/>
          <w:szCs w:val="18"/>
        </w:rPr>
        <w:t xml:space="preserve">, </w:t>
      </w:r>
      <w:r w:rsidR="002D0229" w:rsidRPr="0016776D">
        <w:rPr>
          <w:rFonts w:asciiTheme="majorBidi" w:hAnsiTheme="majorBidi" w:cstheme="majorBidi"/>
          <w:sz w:val="18"/>
          <w:szCs w:val="18"/>
        </w:rPr>
        <w:t xml:space="preserve">based on </w:t>
      </w:r>
      <w:r w:rsidR="00ED1001" w:rsidRPr="0016776D">
        <w:rPr>
          <w:rFonts w:asciiTheme="majorBidi" w:hAnsiTheme="majorBidi" w:cstheme="majorBidi"/>
          <w:sz w:val="18"/>
          <w:szCs w:val="18"/>
        </w:rPr>
        <w:t>EU reports.</w:t>
      </w:r>
    </w:p>
  </w:footnote>
  <w:footnote w:id="100">
    <w:p w14:paraId="2807C3E5" w14:textId="3D84E34A" w:rsidR="00907617" w:rsidRPr="0016776D" w:rsidRDefault="00907617" w:rsidP="0016776D">
      <w:pPr>
        <w:pStyle w:val="FootnoteText"/>
        <w:spacing w:after="20"/>
        <w:rPr>
          <w:rFonts w:asciiTheme="majorBidi" w:hAnsiTheme="majorBidi" w:cstheme="majorBidi"/>
          <w:sz w:val="18"/>
          <w:szCs w:val="18"/>
          <w:lang w:val="en-IE"/>
        </w:rPr>
      </w:pPr>
      <w:r w:rsidRPr="0016776D">
        <w:rPr>
          <w:rStyle w:val="FootnoteReference"/>
          <w:rFonts w:asciiTheme="majorBidi" w:hAnsiTheme="majorBidi" w:cstheme="majorBidi"/>
          <w:sz w:val="18"/>
          <w:szCs w:val="18"/>
        </w:rPr>
        <w:footnoteRef/>
      </w:r>
      <w:r w:rsidRPr="0016776D">
        <w:rPr>
          <w:rFonts w:asciiTheme="majorBidi" w:hAnsiTheme="majorBidi" w:cstheme="majorBidi"/>
          <w:sz w:val="18"/>
          <w:szCs w:val="18"/>
        </w:rPr>
        <w:t xml:space="preserve"> </w:t>
      </w:r>
      <w:r w:rsidR="00726081" w:rsidRPr="0016776D">
        <w:rPr>
          <w:rFonts w:asciiTheme="majorBidi" w:hAnsiTheme="majorBidi" w:cstheme="majorBidi"/>
          <w:sz w:val="18"/>
          <w:szCs w:val="18"/>
          <w:lang w:val="en-IE"/>
        </w:rPr>
        <w:t>Support study, p</w:t>
      </w:r>
      <w:r w:rsidR="00DA4A2C" w:rsidRPr="0016776D">
        <w:rPr>
          <w:rFonts w:asciiTheme="majorBidi" w:hAnsiTheme="majorBidi" w:cstheme="majorBidi"/>
          <w:sz w:val="18"/>
          <w:szCs w:val="18"/>
          <w:lang w:val="en-IE"/>
        </w:rPr>
        <w:t>p</w:t>
      </w:r>
      <w:r w:rsidR="00726081" w:rsidRPr="0016776D">
        <w:rPr>
          <w:rFonts w:asciiTheme="majorBidi" w:hAnsiTheme="majorBidi" w:cstheme="majorBidi"/>
          <w:sz w:val="18"/>
          <w:szCs w:val="18"/>
          <w:lang w:val="en-IE"/>
        </w:rPr>
        <w:t>. 46.</w:t>
      </w:r>
    </w:p>
  </w:footnote>
  <w:footnote w:id="101">
    <w:p w14:paraId="254E5E57" w14:textId="2E107237" w:rsidR="00541A2A" w:rsidRPr="00A628D0" w:rsidRDefault="00541A2A" w:rsidP="00A628D0">
      <w:pPr>
        <w:pStyle w:val="FootnoteText"/>
        <w:spacing w:after="20"/>
        <w:rPr>
          <w:rFonts w:asciiTheme="majorBidi" w:hAnsiTheme="majorBidi" w:cstheme="majorBidi"/>
          <w:sz w:val="18"/>
          <w:szCs w:val="18"/>
          <w:lang w:val="en-US"/>
        </w:rPr>
      </w:pPr>
      <w:r w:rsidRPr="00A628D0">
        <w:rPr>
          <w:rStyle w:val="FootnoteReference"/>
          <w:rFonts w:asciiTheme="majorBidi" w:hAnsiTheme="majorBidi" w:cstheme="majorBidi"/>
          <w:sz w:val="18"/>
          <w:szCs w:val="18"/>
        </w:rPr>
        <w:footnoteRef/>
      </w:r>
      <w:r w:rsidR="000131D7" w:rsidRPr="00A628D0">
        <w:rPr>
          <w:rFonts w:asciiTheme="majorBidi" w:hAnsiTheme="majorBidi" w:cstheme="majorBidi"/>
          <w:sz w:val="18"/>
          <w:szCs w:val="18"/>
        </w:rPr>
        <w:t xml:space="preserve"> </w:t>
      </w:r>
      <w:r w:rsidR="000131D7" w:rsidRPr="00A628D0">
        <w:rPr>
          <w:rFonts w:asciiTheme="majorBidi" w:hAnsiTheme="majorBidi" w:cstheme="majorBidi"/>
          <w:sz w:val="18"/>
          <w:szCs w:val="18"/>
          <w:lang w:val="en-US"/>
        </w:rPr>
        <w:t>Support Study, p. 4</w:t>
      </w:r>
      <w:r w:rsidR="009A71E2">
        <w:rPr>
          <w:rFonts w:asciiTheme="majorBidi" w:hAnsiTheme="majorBidi" w:cstheme="majorBidi"/>
          <w:sz w:val="18"/>
          <w:szCs w:val="18"/>
          <w:lang w:val="en-US"/>
        </w:rPr>
        <w:t>4</w:t>
      </w:r>
      <w:r w:rsidR="000131D7" w:rsidRPr="00A628D0">
        <w:rPr>
          <w:rFonts w:asciiTheme="majorBidi" w:hAnsiTheme="majorBidi" w:cstheme="majorBidi"/>
          <w:sz w:val="18"/>
          <w:szCs w:val="18"/>
          <w:lang w:val="en-US"/>
        </w:rPr>
        <w:t>.</w:t>
      </w:r>
    </w:p>
  </w:footnote>
  <w:footnote w:id="102">
    <w:p w14:paraId="5B3DEA53" w14:textId="1D9B0771" w:rsidR="00A63B53" w:rsidRPr="00A628D0" w:rsidRDefault="00A63B53" w:rsidP="00A628D0">
      <w:pPr>
        <w:spacing w:after="20"/>
        <w:rPr>
          <w:rFonts w:asciiTheme="majorBidi" w:eastAsia="Times New Roman" w:hAnsiTheme="majorBidi" w:cstheme="majorBidi"/>
          <w:sz w:val="18"/>
          <w:szCs w:val="18"/>
          <w:lang w:val="en-US"/>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eastAsia="Times New Roman" w:hAnsiTheme="majorBidi" w:cstheme="majorBidi"/>
          <w:sz w:val="18"/>
          <w:szCs w:val="18"/>
          <w:lang w:val="en-US"/>
        </w:rPr>
        <w:t xml:space="preserve">Accordingly, in line with </w:t>
      </w:r>
      <w:r w:rsidRPr="00A628D0">
        <w:rPr>
          <w:rFonts w:asciiTheme="majorBidi" w:eastAsia="Times New Roman" w:hAnsiTheme="majorBidi" w:cstheme="majorBidi"/>
          <w:b/>
          <w:bCs/>
          <w:sz w:val="18"/>
          <w:szCs w:val="18"/>
          <w:lang w:val="en-US"/>
        </w:rPr>
        <w:t>Regulation (EU) 2023/969 on the JITs Collaboration Platform</w:t>
      </w:r>
      <w:r w:rsidRPr="00A628D0">
        <w:rPr>
          <w:rFonts w:asciiTheme="majorBidi" w:eastAsia="Times New Roman" w:hAnsiTheme="majorBidi" w:cstheme="majorBidi"/>
          <w:sz w:val="18"/>
          <w:szCs w:val="18"/>
          <w:lang w:val="en-US"/>
        </w:rPr>
        <w:t xml:space="preserve"> (particular</w:t>
      </w:r>
      <w:r w:rsidR="00B66E15" w:rsidRPr="00A628D0">
        <w:rPr>
          <w:rFonts w:asciiTheme="majorBidi" w:eastAsia="Times New Roman" w:hAnsiTheme="majorBidi" w:cstheme="majorBidi"/>
          <w:sz w:val="18"/>
          <w:szCs w:val="18"/>
          <w:lang w:val="en-US"/>
        </w:rPr>
        <w:t>ly</w:t>
      </w:r>
      <w:r w:rsidRPr="00A628D0">
        <w:rPr>
          <w:rFonts w:asciiTheme="majorBidi" w:eastAsia="Times New Roman" w:hAnsiTheme="majorBidi" w:cstheme="majorBidi"/>
          <w:sz w:val="18"/>
          <w:szCs w:val="18"/>
          <w:lang w:val="en-US"/>
        </w:rPr>
        <w:t xml:space="preserve"> Article 9), Eurojust is entrusted with ensur</w:t>
      </w:r>
      <w:r w:rsidR="00344205" w:rsidRPr="00A628D0">
        <w:rPr>
          <w:rFonts w:asciiTheme="majorBidi" w:eastAsia="Times New Roman" w:hAnsiTheme="majorBidi" w:cstheme="majorBidi"/>
          <w:sz w:val="18"/>
          <w:szCs w:val="18"/>
          <w:lang w:val="en-US"/>
        </w:rPr>
        <w:t>ing</w:t>
      </w:r>
      <w:r w:rsidRPr="00A628D0">
        <w:rPr>
          <w:rFonts w:asciiTheme="majorBidi" w:eastAsia="Times New Roman" w:hAnsiTheme="majorBidi" w:cstheme="majorBidi"/>
          <w:sz w:val="18"/>
          <w:szCs w:val="18"/>
          <w:lang w:val="en-US"/>
        </w:rPr>
        <w:t xml:space="preserve"> platform connectivity and support</w:t>
      </w:r>
      <w:r w:rsidR="00F970BB" w:rsidRPr="00A628D0">
        <w:rPr>
          <w:rFonts w:asciiTheme="majorBidi" w:eastAsia="Times New Roman" w:hAnsiTheme="majorBidi" w:cstheme="majorBidi"/>
          <w:sz w:val="18"/>
          <w:szCs w:val="18"/>
          <w:lang w:val="en-US"/>
        </w:rPr>
        <w:t>ing</w:t>
      </w:r>
      <w:r w:rsidRPr="00A628D0">
        <w:rPr>
          <w:rFonts w:asciiTheme="majorBidi" w:eastAsia="Times New Roman" w:hAnsiTheme="majorBidi" w:cstheme="majorBidi"/>
          <w:sz w:val="18"/>
          <w:szCs w:val="18"/>
          <w:lang w:val="en-US"/>
        </w:rPr>
        <w:t xml:space="preserve"> practitioners. </w:t>
      </w:r>
      <w:r w:rsidR="00FD0567" w:rsidRPr="00A628D0">
        <w:rPr>
          <w:rFonts w:asciiTheme="majorBidi" w:eastAsia="Times New Roman" w:hAnsiTheme="majorBidi" w:cstheme="majorBidi"/>
          <w:sz w:val="18"/>
          <w:szCs w:val="18"/>
          <w:lang w:val="en-US"/>
        </w:rPr>
        <w:t xml:space="preserve">Its mandate must therefore duly reflect </w:t>
      </w:r>
      <w:r w:rsidR="006E2255" w:rsidRPr="00A628D0">
        <w:rPr>
          <w:rFonts w:asciiTheme="majorBidi" w:eastAsia="Times New Roman" w:hAnsiTheme="majorBidi" w:cstheme="majorBidi"/>
          <w:sz w:val="18"/>
          <w:szCs w:val="18"/>
          <w:lang w:val="en-US"/>
        </w:rPr>
        <w:t xml:space="preserve">this role in </w:t>
      </w:r>
      <w:r w:rsidRPr="00A628D0">
        <w:rPr>
          <w:rFonts w:asciiTheme="majorBidi" w:eastAsia="Times New Roman" w:hAnsiTheme="majorBidi" w:cstheme="majorBidi"/>
          <w:sz w:val="18"/>
          <w:szCs w:val="18"/>
          <w:lang w:val="en-US"/>
        </w:rPr>
        <w:t>facilitating secure</w:t>
      </w:r>
      <w:r w:rsidR="006B20EF" w:rsidRPr="00A628D0">
        <w:rPr>
          <w:rFonts w:asciiTheme="majorBidi" w:eastAsia="Times New Roman" w:hAnsiTheme="majorBidi" w:cstheme="majorBidi"/>
          <w:sz w:val="18"/>
          <w:szCs w:val="18"/>
          <w:lang w:val="en-US"/>
        </w:rPr>
        <w:t xml:space="preserve">, </w:t>
      </w:r>
      <w:r w:rsidRPr="00A628D0">
        <w:rPr>
          <w:rFonts w:asciiTheme="majorBidi" w:eastAsia="Times New Roman" w:hAnsiTheme="majorBidi" w:cstheme="majorBidi"/>
          <w:sz w:val="18"/>
          <w:szCs w:val="18"/>
          <w:lang w:val="en-US"/>
        </w:rPr>
        <w:t xml:space="preserve">structured </w:t>
      </w:r>
      <w:r w:rsidR="006B20EF" w:rsidRPr="00A628D0">
        <w:rPr>
          <w:rFonts w:asciiTheme="majorBidi" w:eastAsia="Times New Roman" w:hAnsiTheme="majorBidi" w:cstheme="majorBidi"/>
          <w:sz w:val="18"/>
          <w:szCs w:val="18"/>
          <w:lang w:val="en-US"/>
        </w:rPr>
        <w:t xml:space="preserve">data </w:t>
      </w:r>
      <w:r w:rsidRPr="00A628D0">
        <w:rPr>
          <w:rFonts w:asciiTheme="majorBidi" w:eastAsia="Times New Roman" w:hAnsiTheme="majorBidi" w:cstheme="majorBidi"/>
          <w:sz w:val="18"/>
          <w:szCs w:val="18"/>
          <w:lang w:val="en-US"/>
        </w:rPr>
        <w:t xml:space="preserve">exchange and communication with JIT members and participants. </w:t>
      </w:r>
      <w:r w:rsidR="00BB11D9" w:rsidRPr="00A628D0">
        <w:rPr>
          <w:rFonts w:asciiTheme="majorBidi" w:eastAsia="Times New Roman" w:hAnsiTheme="majorBidi" w:cstheme="majorBidi"/>
          <w:sz w:val="18"/>
          <w:szCs w:val="18"/>
          <w:lang w:val="en-US"/>
        </w:rPr>
        <w:t xml:space="preserve">The Regulation </w:t>
      </w:r>
      <w:r w:rsidR="00B803E1" w:rsidRPr="00A628D0">
        <w:rPr>
          <w:rFonts w:asciiTheme="majorBidi" w:eastAsia="Times New Roman" w:hAnsiTheme="majorBidi" w:cstheme="majorBidi"/>
          <w:sz w:val="18"/>
          <w:szCs w:val="18"/>
          <w:lang w:val="en-US"/>
        </w:rPr>
        <w:t>may</w:t>
      </w:r>
      <w:r w:rsidR="00BB11D9" w:rsidRPr="00A628D0">
        <w:rPr>
          <w:rFonts w:asciiTheme="majorBidi" w:eastAsia="Times New Roman" w:hAnsiTheme="majorBidi" w:cstheme="majorBidi"/>
          <w:sz w:val="18"/>
          <w:szCs w:val="18"/>
          <w:lang w:val="en-US"/>
        </w:rPr>
        <w:t xml:space="preserve"> also: </w:t>
      </w:r>
      <w:r w:rsidR="001E37BA" w:rsidRPr="00A628D0">
        <w:rPr>
          <w:rFonts w:asciiTheme="majorBidi" w:eastAsia="Times New Roman" w:hAnsiTheme="majorBidi" w:cstheme="majorBidi"/>
          <w:sz w:val="18"/>
          <w:szCs w:val="18"/>
          <w:lang w:val="en-US"/>
        </w:rPr>
        <w:t>Amend p</w:t>
      </w:r>
      <w:r w:rsidRPr="00A628D0">
        <w:rPr>
          <w:rFonts w:asciiTheme="majorBidi" w:eastAsia="Times New Roman" w:hAnsiTheme="majorBidi" w:cstheme="majorBidi"/>
          <w:sz w:val="18"/>
          <w:szCs w:val="18"/>
          <w:lang w:val="en-US"/>
        </w:rPr>
        <w:t>rovisions relating to the new</w:t>
      </w:r>
      <w:r w:rsidR="00D438A4" w:rsidRPr="00A628D0">
        <w:rPr>
          <w:rFonts w:asciiTheme="majorBidi" w:eastAsia="Times New Roman" w:hAnsiTheme="majorBidi" w:cstheme="majorBidi"/>
          <w:sz w:val="18"/>
          <w:szCs w:val="18"/>
          <w:lang w:val="en-US"/>
        </w:rPr>
        <w:t xml:space="preserve"> </w:t>
      </w:r>
      <w:r w:rsidRPr="00A628D0">
        <w:rPr>
          <w:rFonts w:asciiTheme="majorBidi" w:eastAsia="Times New Roman" w:hAnsiTheme="majorBidi" w:cstheme="majorBidi"/>
          <w:sz w:val="18"/>
          <w:szCs w:val="18"/>
          <w:lang w:val="en-US"/>
        </w:rPr>
        <w:t xml:space="preserve">CMS, </w:t>
      </w:r>
      <w:r w:rsidR="00D75589" w:rsidRPr="00A628D0">
        <w:rPr>
          <w:rFonts w:asciiTheme="majorBidi" w:eastAsia="Times New Roman" w:hAnsiTheme="majorBidi" w:cstheme="majorBidi"/>
          <w:sz w:val="18"/>
          <w:szCs w:val="18"/>
          <w:lang w:val="en-US"/>
        </w:rPr>
        <w:t xml:space="preserve">in </w:t>
      </w:r>
      <w:r w:rsidRPr="00A628D0">
        <w:rPr>
          <w:rFonts w:asciiTheme="majorBidi" w:eastAsia="Times New Roman" w:hAnsiTheme="majorBidi" w:cstheme="majorBidi"/>
          <w:sz w:val="18"/>
          <w:szCs w:val="18"/>
          <w:lang w:val="en-US"/>
        </w:rPr>
        <w:t>alignment with CICED</w:t>
      </w:r>
      <w:r w:rsidR="00A2365F" w:rsidRPr="00A628D0">
        <w:rPr>
          <w:rFonts w:asciiTheme="majorBidi" w:eastAsia="Times New Roman" w:hAnsiTheme="majorBidi" w:cstheme="majorBidi"/>
          <w:sz w:val="18"/>
          <w:szCs w:val="18"/>
          <w:lang w:val="en-US"/>
        </w:rPr>
        <w:t>;</w:t>
      </w:r>
      <w:r w:rsidR="001E37BA" w:rsidRPr="00A628D0">
        <w:rPr>
          <w:rFonts w:asciiTheme="majorBidi" w:eastAsia="Times New Roman" w:hAnsiTheme="majorBidi" w:cstheme="majorBidi"/>
          <w:sz w:val="18"/>
          <w:szCs w:val="18"/>
          <w:lang w:val="en-US"/>
        </w:rPr>
        <w:t xml:space="preserve"> </w:t>
      </w:r>
      <w:r w:rsidRPr="00A628D0">
        <w:rPr>
          <w:rFonts w:asciiTheme="majorBidi" w:eastAsia="Times New Roman" w:hAnsiTheme="majorBidi" w:cstheme="majorBidi"/>
          <w:sz w:val="18"/>
          <w:szCs w:val="18"/>
          <w:lang w:val="en-US"/>
        </w:rPr>
        <w:t xml:space="preserve">cover </w:t>
      </w:r>
      <w:r w:rsidR="001E37BA" w:rsidRPr="00A628D0">
        <w:rPr>
          <w:rFonts w:asciiTheme="majorBidi" w:eastAsia="Times New Roman" w:hAnsiTheme="majorBidi" w:cstheme="majorBidi"/>
          <w:sz w:val="18"/>
          <w:szCs w:val="18"/>
          <w:lang w:val="en-US"/>
        </w:rPr>
        <w:t>Eurojust’s</w:t>
      </w:r>
      <w:r w:rsidRPr="00A628D0">
        <w:rPr>
          <w:rFonts w:asciiTheme="majorBidi" w:eastAsia="Times New Roman" w:hAnsiTheme="majorBidi" w:cstheme="majorBidi"/>
          <w:sz w:val="18"/>
          <w:szCs w:val="18"/>
          <w:lang w:val="en-US"/>
        </w:rPr>
        <w:t xml:space="preserve"> role in the context of </w:t>
      </w:r>
      <w:r w:rsidRPr="00A628D0">
        <w:rPr>
          <w:rFonts w:asciiTheme="majorBidi" w:eastAsia="Times New Roman" w:hAnsiTheme="majorBidi" w:cstheme="majorBidi"/>
          <w:b/>
          <w:bCs/>
          <w:sz w:val="18"/>
          <w:szCs w:val="18"/>
          <w:lang w:val="en-US"/>
        </w:rPr>
        <w:t>JUDEX, the J</w:t>
      </w:r>
      <w:r w:rsidR="006F1BD9" w:rsidRPr="00A628D0">
        <w:rPr>
          <w:rFonts w:asciiTheme="majorBidi" w:eastAsia="Times New Roman" w:hAnsiTheme="majorBidi" w:cstheme="majorBidi"/>
          <w:b/>
          <w:bCs/>
          <w:sz w:val="18"/>
          <w:szCs w:val="18"/>
          <w:lang w:val="en-US"/>
        </w:rPr>
        <w:t>U</w:t>
      </w:r>
      <w:r w:rsidRPr="00A628D0">
        <w:rPr>
          <w:rFonts w:asciiTheme="majorBidi" w:eastAsia="Times New Roman" w:hAnsiTheme="majorBidi" w:cstheme="majorBidi"/>
          <w:b/>
          <w:bCs/>
          <w:sz w:val="18"/>
          <w:szCs w:val="18"/>
          <w:lang w:val="en-US"/>
        </w:rPr>
        <w:t>stice Digital E</w:t>
      </w:r>
      <w:r w:rsidR="006F1BD9" w:rsidRPr="00A628D0">
        <w:rPr>
          <w:rFonts w:asciiTheme="majorBidi" w:eastAsia="Times New Roman" w:hAnsiTheme="majorBidi" w:cstheme="majorBidi"/>
          <w:b/>
          <w:bCs/>
          <w:sz w:val="18"/>
          <w:szCs w:val="18"/>
          <w:lang w:val="en-US"/>
        </w:rPr>
        <w:t>X</w:t>
      </w:r>
      <w:r w:rsidRPr="00A628D0">
        <w:rPr>
          <w:rFonts w:asciiTheme="majorBidi" w:eastAsia="Times New Roman" w:hAnsiTheme="majorBidi" w:cstheme="majorBidi"/>
          <w:b/>
          <w:bCs/>
          <w:sz w:val="18"/>
          <w:szCs w:val="18"/>
          <w:lang w:val="en-US"/>
        </w:rPr>
        <w:t xml:space="preserve">change System, </w:t>
      </w:r>
      <w:r w:rsidR="00185807" w:rsidRPr="00A628D0">
        <w:rPr>
          <w:rFonts w:asciiTheme="majorBidi" w:eastAsia="Times New Roman" w:hAnsiTheme="majorBidi" w:cstheme="majorBidi"/>
          <w:bCs/>
          <w:sz w:val="18"/>
          <w:szCs w:val="18"/>
          <w:lang w:val="en-US"/>
        </w:rPr>
        <w:t xml:space="preserve">which </w:t>
      </w:r>
      <w:r w:rsidRPr="00A628D0">
        <w:rPr>
          <w:rFonts w:asciiTheme="majorBidi" w:eastAsia="Times New Roman" w:hAnsiTheme="majorBidi" w:cstheme="majorBidi"/>
          <w:sz w:val="18"/>
          <w:szCs w:val="18"/>
          <w:lang w:val="en-US"/>
        </w:rPr>
        <w:t>connect</w:t>
      </w:r>
      <w:r w:rsidR="00185807" w:rsidRPr="00A628D0">
        <w:rPr>
          <w:rFonts w:asciiTheme="majorBidi" w:eastAsia="Times New Roman" w:hAnsiTheme="majorBidi" w:cstheme="majorBidi"/>
          <w:sz w:val="18"/>
          <w:szCs w:val="18"/>
          <w:lang w:val="en-US"/>
        </w:rPr>
        <w:t>s</w:t>
      </w:r>
      <w:r w:rsidRPr="00A628D0">
        <w:rPr>
          <w:rFonts w:asciiTheme="majorBidi" w:eastAsia="Times New Roman" w:hAnsiTheme="majorBidi" w:cstheme="majorBidi"/>
          <w:sz w:val="18"/>
          <w:szCs w:val="18"/>
          <w:lang w:val="en-US"/>
        </w:rPr>
        <w:t xml:space="preserve"> national authorities </w:t>
      </w:r>
      <w:r w:rsidR="00C4111E" w:rsidRPr="00A628D0">
        <w:rPr>
          <w:rFonts w:asciiTheme="majorBidi" w:eastAsia="Times New Roman" w:hAnsiTheme="majorBidi" w:cstheme="majorBidi"/>
          <w:sz w:val="18"/>
          <w:szCs w:val="18"/>
          <w:lang w:val="en-US"/>
        </w:rPr>
        <w:t>for</w:t>
      </w:r>
      <w:r w:rsidRPr="00A628D0">
        <w:rPr>
          <w:rFonts w:asciiTheme="majorBidi" w:eastAsia="Times New Roman" w:hAnsiTheme="majorBidi" w:cstheme="majorBidi"/>
          <w:sz w:val="18"/>
          <w:szCs w:val="18"/>
          <w:lang w:val="en-US"/>
        </w:rPr>
        <w:t xml:space="preserve"> secure operational data </w:t>
      </w:r>
      <w:r w:rsidR="00C4111E" w:rsidRPr="00A628D0">
        <w:rPr>
          <w:rFonts w:asciiTheme="majorBidi" w:eastAsia="Times New Roman" w:hAnsiTheme="majorBidi" w:cstheme="majorBidi"/>
          <w:sz w:val="18"/>
          <w:szCs w:val="18"/>
          <w:lang w:val="en-US"/>
        </w:rPr>
        <w:t xml:space="preserve">exchange </w:t>
      </w:r>
      <w:r w:rsidR="386554D5" w:rsidRPr="00A628D0">
        <w:rPr>
          <w:rFonts w:asciiTheme="majorBidi" w:eastAsia="Times New Roman" w:hAnsiTheme="majorBidi" w:cstheme="majorBidi"/>
          <w:sz w:val="18"/>
          <w:szCs w:val="18"/>
          <w:lang w:val="en-US"/>
        </w:rPr>
        <w:t xml:space="preserve">(cf Regulation </w:t>
      </w:r>
      <w:r w:rsidR="75A38A92" w:rsidRPr="00A628D0">
        <w:rPr>
          <w:rFonts w:asciiTheme="majorBidi" w:eastAsia="Times New Roman" w:hAnsiTheme="majorBidi" w:cstheme="majorBidi"/>
          <w:sz w:val="18"/>
          <w:szCs w:val="18"/>
          <w:lang w:val="en-US"/>
        </w:rPr>
        <w:t>2023/</w:t>
      </w:r>
      <w:r w:rsidR="18D7CB9E" w:rsidRPr="00A628D0">
        <w:rPr>
          <w:rFonts w:asciiTheme="majorBidi" w:eastAsia="Times New Roman" w:hAnsiTheme="majorBidi" w:cstheme="majorBidi"/>
          <w:sz w:val="18"/>
          <w:szCs w:val="18"/>
          <w:lang w:val="en-US"/>
        </w:rPr>
        <w:t>2844/EU)</w:t>
      </w:r>
      <w:r w:rsidR="00A2365F" w:rsidRPr="00A628D0">
        <w:rPr>
          <w:rFonts w:asciiTheme="majorBidi" w:eastAsia="Times New Roman" w:hAnsiTheme="majorBidi" w:cstheme="majorBidi"/>
          <w:sz w:val="18"/>
          <w:szCs w:val="18"/>
          <w:lang w:val="en-US"/>
        </w:rPr>
        <w:t xml:space="preserve">; designate Eurojust as the </w:t>
      </w:r>
      <w:r w:rsidR="00E0368F" w:rsidRPr="00A628D0">
        <w:rPr>
          <w:rFonts w:asciiTheme="majorBidi" w:eastAsia="Times New Roman" w:hAnsiTheme="majorBidi" w:cstheme="majorBidi"/>
          <w:sz w:val="18"/>
          <w:szCs w:val="18"/>
          <w:lang w:val="en-US"/>
        </w:rPr>
        <w:t xml:space="preserve">ECRIS-TCN </w:t>
      </w:r>
      <w:r w:rsidR="009511BB" w:rsidRPr="00A628D0">
        <w:rPr>
          <w:rFonts w:asciiTheme="majorBidi" w:eastAsia="Times New Roman" w:hAnsiTheme="majorBidi" w:cstheme="majorBidi"/>
          <w:sz w:val="18"/>
          <w:szCs w:val="18"/>
          <w:lang w:val="en-US"/>
        </w:rPr>
        <w:t>“contact point”</w:t>
      </w:r>
      <w:r w:rsidR="009F26A1" w:rsidRPr="00A628D0">
        <w:rPr>
          <w:rFonts w:asciiTheme="majorBidi" w:eastAsia="Times New Roman" w:hAnsiTheme="majorBidi" w:cstheme="majorBidi"/>
          <w:sz w:val="18"/>
          <w:szCs w:val="18"/>
          <w:lang w:val="en-US"/>
        </w:rPr>
        <w:t xml:space="preserve"> for third countries and international organisations</w:t>
      </w:r>
      <w:r w:rsidR="005E2CCF" w:rsidRPr="00A628D0">
        <w:rPr>
          <w:rFonts w:asciiTheme="majorBidi" w:eastAsia="Times New Roman" w:hAnsiTheme="majorBidi" w:cstheme="majorBidi"/>
          <w:sz w:val="18"/>
          <w:szCs w:val="18"/>
          <w:lang w:val="en-US"/>
        </w:rPr>
        <w:t xml:space="preserve"> (</w:t>
      </w:r>
      <w:r w:rsidR="002E325D" w:rsidRPr="00A628D0">
        <w:rPr>
          <w:rFonts w:asciiTheme="majorBidi" w:eastAsia="Times New Roman" w:hAnsiTheme="majorBidi" w:cstheme="majorBidi"/>
          <w:sz w:val="18"/>
          <w:szCs w:val="18"/>
          <w:lang w:val="en-US"/>
        </w:rPr>
        <w:t xml:space="preserve">as required </w:t>
      </w:r>
      <w:r w:rsidRPr="00A628D0">
        <w:rPr>
          <w:rFonts w:asciiTheme="majorBidi" w:eastAsia="Times New Roman" w:hAnsiTheme="majorBidi" w:cstheme="majorBidi"/>
          <w:sz w:val="18"/>
          <w:szCs w:val="18"/>
          <w:lang w:val="en-US"/>
        </w:rPr>
        <w:t xml:space="preserve">by </w:t>
      </w:r>
      <w:r w:rsidRPr="00A628D0">
        <w:rPr>
          <w:rFonts w:asciiTheme="majorBidi" w:eastAsia="Times New Roman" w:hAnsiTheme="majorBidi" w:cstheme="majorBidi"/>
          <w:b/>
          <w:bCs/>
          <w:sz w:val="18"/>
          <w:szCs w:val="18"/>
          <w:lang w:val="en-US"/>
        </w:rPr>
        <w:t>Article 17 of Regulation (EU) 2019/816 on ECRIS-TCN</w:t>
      </w:r>
      <w:r w:rsidR="00CF3B80" w:rsidRPr="00A628D0">
        <w:rPr>
          <w:rFonts w:asciiTheme="majorBidi" w:eastAsia="Times New Roman" w:hAnsiTheme="majorBidi" w:cstheme="majorBidi"/>
          <w:sz w:val="18"/>
          <w:szCs w:val="18"/>
          <w:lang w:val="en-US"/>
        </w:rPr>
        <w:t>,</w:t>
      </w:r>
      <w:r w:rsidR="00022B45" w:rsidRPr="00A628D0">
        <w:rPr>
          <w:rFonts w:asciiTheme="majorBidi" w:eastAsia="Times New Roman" w:hAnsiTheme="majorBidi" w:cstheme="majorBidi"/>
          <w:sz w:val="18"/>
          <w:szCs w:val="18"/>
          <w:lang w:val="en-US"/>
        </w:rPr>
        <w:t xml:space="preserve"> </w:t>
      </w:r>
      <w:r w:rsidRPr="00A628D0">
        <w:rPr>
          <w:rFonts w:asciiTheme="majorBidi" w:eastAsia="Times New Roman" w:hAnsiTheme="majorBidi" w:cstheme="majorBidi"/>
          <w:sz w:val="18"/>
          <w:szCs w:val="18"/>
          <w:lang w:val="en-US"/>
        </w:rPr>
        <w:t>see Annex, including reference to the EDPS supervisory opinion).</w:t>
      </w:r>
    </w:p>
  </w:footnote>
  <w:footnote w:id="103">
    <w:p w14:paraId="464084A9" w14:textId="72D4D41E" w:rsidR="00D736A4" w:rsidRPr="00504DA1" w:rsidRDefault="00D736A4">
      <w:pPr>
        <w:pStyle w:val="FootnoteText"/>
        <w:rPr>
          <w:sz w:val="18"/>
          <w:szCs w:val="18"/>
          <w:lang w:val="en-US"/>
        </w:rPr>
      </w:pPr>
      <w:r w:rsidRPr="00504DA1">
        <w:rPr>
          <w:rStyle w:val="FootnoteReference"/>
          <w:sz w:val="18"/>
          <w:szCs w:val="18"/>
        </w:rPr>
        <w:footnoteRef/>
      </w:r>
      <w:r w:rsidRPr="00504DA1">
        <w:rPr>
          <w:sz w:val="18"/>
          <w:szCs w:val="18"/>
        </w:rPr>
        <w:t xml:space="preserve"> Created in 2017, the SIRIUS project is co-implemented by Europol and Eurojust. the SIRIUS Project has emerged as a central hub for knowledge sharing on cross-border access to electronic evidence in the EU and became the first-ranked source of information for EU law enforcement seeking assistance to prepare direct requests for data from foreign-based service providers. In this framework, the two agencies provide a knowledge base, training, a collaborative platform and an operational support</w:t>
      </w:r>
      <w:r w:rsidR="00031CFA" w:rsidRPr="00504DA1">
        <w:rPr>
          <w:sz w:val="18"/>
          <w:szCs w:val="18"/>
        </w:rPr>
        <w:t>.</w:t>
      </w:r>
    </w:p>
  </w:footnote>
  <w:footnote w:id="104">
    <w:p w14:paraId="3A5B109B" w14:textId="77777777" w:rsidR="42F87AE0" w:rsidRPr="00A628D0" w:rsidRDefault="42F87AE0"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To align with Directive (EU) 2024/1226 of the European Parliament and of the Council of 24 April 2024 on the definition of criminal offences and penalties for the violation of Union restrictive measures.</w:t>
      </w:r>
    </w:p>
  </w:footnote>
  <w:footnote w:id="105">
    <w:p w14:paraId="0E03B6EF" w14:textId="4A1AB813" w:rsidR="00C218D7" w:rsidRPr="00A628D0" w:rsidRDefault="00C218D7"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403409" w:rsidRPr="00A628D0">
        <w:rPr>
          <w:rFonts w:asciiTheme="majorBidi" w:hAnsiTheme="majorBidi" w:cstheme="majorBidi"/>
          <w:sz w:val="18"/>
          <w:szCs w:val="18"/>
        </w:rPr>
        <w:t xml:space="preserve">European Production Order </w:t>
      </w:r>
      <w:r w:rsidR="00D8798C" w:rsidRPr="00A628D0">
        <w:rPr>
          <w:rFonts w:asciiTheme="majorBidi" w:hAnsiTheme="majorBidi" w:cstheme="majorBidi"/>
          <w:sz w:val="18"/>
          <w:szCs w:val="18"/>
        </w:rPr>
        <w:t>under Article 4(1)</w:t>
      </w:r>
      <w:r w:rsidR="00F9246E" w:rsidRPr="00A628D0">
        <w:rPr>
          <w:rFonts w:asciiTheme="majorBidi" w:hAnsiTheme="majorBidi" w:cstheme="majorBidi"/>
          <w:sz w:val="18"/>
          <w:szCs w:val="18"/>
        </w:rPr>
        <w:t xml:space="preserve"> </w:t>
      </w:r>
      <w:r w:rsidR="00F677B4" w:rsidRPr="00A628D0">
        <w:rPr>
          <w:rFonts w:asciiTheme="majorBidi" w:hAnsiTheme="majorBidi" w:cstheme="majorBidi"/>
          <w:sz w:val="18"/>
          <w:szCs w:val="18"/>
        </w:rPr>
        <w:t>and European Preservation Order</w:t>
      </w:r>
      <w:r w:rsidR="00F00A1E" w:rsidRPr="00A628D0">
        <w:rPr>
          <w:rFonts w:asciiTheme="majorBidi" w:hAnsiTheme="majorBidi" w:cstheme="majorBidi"/>
          <w:sz w:val="18"/>
          <w:szCs w:val="18"/>
        </w:rPr>
        <w:t xml:space="preserve"> </w:t>
      </w:r>
      <w:r w:rsidR="00EA6E28" w:rsidRPr="00A628D0">
        <w:rPr>
          <w:rFonts w:asciiTheme="majorBidi" w:hAnsiTheme="majorBidi" w:cstheme="majorBidi"/>
          <w:sz w:val="18"/>
          <w:szCs w:val="18"/>
        </w:rPr>
        <w:t xml:space="preserve">under Article 4(3) </w:t>
      </w:r>
      <w:r w:rsidR="006B2E1C" w:rsidRPr="00A628D0">
        <w:rPr>
          <w:rFonts w:asciiTheme="majorBidi" w:hAnsiTheme="majorBidi" w:cstheme="majorBidi"/>
          <w:sz w:val="18"/>
          <w:szCs w:val="18"/>
        </w:rPr>
        <w:t xml:space="preserve">of Regulation </w:t>
      </w:r>
      <w:r w:rsidR="00043670" w:rsidRPr="00A628D0">
        <w:rPr>
          <w:rFonts w:asciiTheme="majorBidi" w:hAnsiTheme="majorBidi" w:cstheme="majorBidi"/>
          <w:sz w:val="18"/>
          <w:szCs w:val="18"/>
        </w:rPr>
        <w:t>(EU) 2023/1543.</w:t>
      </w:r>
    </w:p>
  </w:footnote>
  <w:footnote w:id="106">
    <w:p w14:paraId="5096C8F5" w14:textId="47FA63C6" w:rsidR="00A63B53" w:rsidRPr="00A628D0" w:rsidRDefault="00A63B53"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lang w:val="en-IE"/>
        </w:rPr>
        <w:t xml:space="preserve"> </w:t>
      </w:r>
      <w:r w:rsidR="00702108" w:rsidRPr="00A628D0">
        <w:rPr>
          <w:rStyle w:val="Strong"/>
          <w:rFonts w:asciiTheme="majorBidi" w:hAnsiTheme="majorBidi" w:cstheme="majorBidi"/>
          <w:b w:val="0"/>
          <w:bCs w:val="0"/>
          <w:sz w:val="18"/>
          <w:szCs w:val="18"/>
        </w:rPr>
        <w:t>Eurojust Evaluation</w:t>
      </w:r>
      <w:r w:rsidRPr="00A628D0">
        <w:rPr>
          <w:rStyle w:val="Strong"/>
          <w:rFonts w:asciiTheme="majorBidi" w:hAnsiTheme="majorBidi" w:cstheme="majorBidi"/>
          <w:b w:val="0"/>
          <w:bCs w:val="0"/>
          <w:sz w:val="18"/>
          <w:szCs w:val="18"/>
        </w:rPr>
        <w:t xml:space="preserve">, p. 31; </w:t>
      </w:r>
      <w:r w:rsidR="7F0C6A89" w:rsidRPr="00A628D0">
        <w:rPr>
          <w:rStyle w:val="Strong"/>
          <w:rFonts w:asciiTheme="majorBidi" w:hAnsiTheme="majorBidi" w:cstheme="majorBidi"/>
          <w:b w:val="0"/>
          <w:bCs w:val="0"/>
          <w:sz w:val="18"/>
          <w:szCs w:val="18"/>
        </w:rPr>
        <w:t>S</w:t>
      </w:r>
      <w:r w:rsidRPr="00A628D0">
        <w:rPr>
          <w:rStyle w:val="Strong"/>
          <w:rFonts w:asciiTheme="majorBidi" w:hAnsiTheme="majorBidi" w:cstheme="majorBidi"/>
          <w:b w:val="0"/>
          <w:bCs w:val="0"/>
          <w:sz w:val="18"/>
          <w:szCs w:val="18"/>
        </w:rPr>
        <w:t xml:space="preserve">upport study, p. </w:t>
      </w:r>
      <w:r w:rsidR="009A71E2">
        <w:rPr>
          <w:rStyle w:val="Strong"/>
          <w:rFonts w:asciiTheme="majorBidi" w:hAnsiTheme="majorBidi" w:cstheme="majorBidi"/>
          <w:b w:val="0"/>
          <w:bCs w:val="0"/>
          <w:sz w:val="18"/>
          <w:szCs w:val="18"/>
        </w:rPr>
        <w:t>59</w:t>
      </w:r>
      <w:r w:rsidRPr="00A628D0">
        <w:rPr>
          <w:rStyle w:val="Strong"/>
          <w:rFonts w:asciiTheme="majorBidi" w:hAnsiTheme="majorBidi" w:cstheme="majorBidi"/>
          <w:b w:val="0"/>
          <w:bCs w:val="0"/>
          <w:sz w:val="18"/>
          <w:szCs w:val="18"/>
        </w:rPr>
        <w:t>.</w:t>
      </w:r>
    </w:p>
  </w:footnote>
  <w:footnote w:id="107">
    <w:p w14:paraId="43A8395E" w14:textId="77777777" w:rsidR="00A63B53" w:rsidRPr="00A628D0" w:rsidRDefault="00A63B53"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lang w:val="en-IE"/>
        </w:rPr>
        <w:t xml:space="preserve"> </w:t>
      </w:r>
      <w:r w:rsidRPr="00A628D0">
        <w:rPr>
          <w:rFonts w:asciiTheme="majorBidi" w:eastAsia="Times New Roman" w:hAnsiTheme="majorBidi" w:cstheme="majorBidi"/>
          <w:sz w:val="18"/>
          <w:szCs w:val="18"/>
        </w:rPr>
        <w:t>Common approach</w:t>
      </w:r>
      <w:r w:rsidRPr="00A628D0">
        <w:rPr>
          <w:rFonts w:asciiTheme="majorBidi" w:eastAsia="Times New Roman" w:hAnsiTheme="majorBidi" w:cstheme="majorBidi"/>
          <w:b/>
          <w:bCs/>
          <w:sz w:val="18"/>
          <w:szCs w:val="18"/>
        </w:rPr>
        <w:t xml:space="preserve"> </w:t>
      </w:r>
      <w:r w:rsidRPr="00A628D0">
        <w:rPr>
          <w:rFonts w:asciiTheme="majorBidi" w:eastAsia="Times New Roman" w:hAnsiTheme="majorBidi" w:cstheme="majorBidi"/>
          <w:sz w:val="18"/>
          <w:szCs w:val="18"/>
        </w:rPr>
        <w:t>on decentralised agencies decided by the 19 July 2012 Joint Statement of the European Parliament, the Council of the EU and the European Commission.</w:t>
      </w:r>
    </w:p>
  </w:footnote>
  <w:footnote w:id="108">
    <w:p w14:paraId="58DD5541" w14:textId="77777777" w:rsidR="00250B8E" w:rsidRPr="00A628D0" w:rsidRDefault="00250B8E" w:rsidP="00A628D0">
      <w:pPr>
        <w:pStyle w:val="FootnoteText"/>
        <w:spacing w:after="20"/>
        <w:rPr>
          <w:rFonts w:asciiTheme="majorBidi" w:hAnsiTheme="majorBidi" w:cstheme="majorBidi"/>
          <w:sz w:val="18"/>
          <w:szCs w:val="18"/>
          <w:lang w:val="en-US"/>
        </w:rPr>
      </w:pPr>
      <w:r w:rsidRPr="00A628D0">
        <w:rPr>
          <w:rStyle w:val="FootnoteReference"/>
          <w:rFonts w:asciiTheme="majorBidi" w:hAnsiTheme="majorBidi" w:cstheme="majorBidi"/>
          <w:sz w:val="18"/>
          <w:szCs w:val="18"/>
        </w:rPr>
        <w:footnoteRef/>
      </w:r>
      <w:r w:rsidRPr="00A628D0">
        <w:rPr>
          <w:rFonts w:asciiTheme="majorBidi" w:eastAsia="Times New Roman" w:hAnsiTheme="majorBidi" w:cstheme="majorBidi"/>
          <w:sz w:val="18"/>
          <w:szCs w:val="18"/>
        </w:rPr>
        <w:t xml:space="preserve"> Article 102(4) of European Union Aviation Safety Agency Regulation (2018/1139/EU).</w:t>
      </w:r>
    </w:p>
  </w:footnote>
  <w:footnote w:id="109">
    <w:p w14:paraId="27ADA73D" w14:textId="77777777" w:rsidR="00A63B53" w:rsidRPr="00A628D0" w:rsidRDefault="00A63B53"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When a situation becomes of judicial interest because sufficient evidence has been collected to open a judicial investigation or based on the need for a judicial follow-up, i.e. the adoption of a coercive measure. In particular, Eurojust shall be proactively notified in case of identified opportunity for asset-freezing.</w:t>
      </w:r>
    </w:p>
  </w:footnote>
  <w:footnote w:id="110">
    <w:p w14:paraId="5E2C1285" w14:textId="77777777" w:rsidR="00161DD8" w:rsidRPr="00A628D0" w:rsidRDefault="00161DD8"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Article 12 </w:t>
      </w:r>
      <w:r w:rsidRPr="00A628D0">
        <w:rPr>
          <w:rFonts w:asciiTheme="majorBidi" w:eastAsia="Times New Roman" w:hAnsiTheme="majorBidi" w:cstheme="majorBidi"/>
          <w:sz w:val="18"/>
          <w:szCs w:val="18"/>
        </w:rPr>
        <w:t>Council Framework Decision 2009/948/JHA of 30 November 2009.</w:t>
      </w:r>
    </w:p>
  </w:footnote>
  <w:footnote w:id="111">
    <w:p w14:paraId="06AB780B" w14:textId="77777777" w:rsidR="00AE10C4" w:rsidRPr="00A628D0" w:rsidRDefault="00AE10C4"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Recital 19.</w:t>
      </w:r>
    </w:p>
  </w:footnote>
  <w:footnote w:id="112">
    <w:p w14:paraId="0773B3F1" w14:textId="2CE3056C" w:rsidR="005C2DE9" w:rsidRPr="00A628D0" w:rsidRDefault="005C2DE9"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hAnsiTheme="majorBidi" w:cstheme="majorBidi"/>
          <w:sz w:val="18"/>
          <w:szCs w:val="18"/>
          <w:lang w:val="en-IE"/>
        </w:rPr>
        <w:t>HLF report</w:t>
      </w:r>
      <w:r w:rsidR="008540FF" w:rsidRPr="00A628D0">
        <w:rPr>
          <w:rFonts w:asciiTheme="majorBidi" w:hAnsiTheme="majorBidi" w:cstheme="majorBidi"/>
          <w:sz w:val="18"/>
          <w:szCs w:val="18"/>
          <w:lang w:val="en-IE"/>
        </w:rPr>
        <w:t xml:space="preserve">, p. </w:t>
      </w:r>
      <w:r w:rsidR="001539BD" w:rsidRPr="00A628D0">
        <w:rPr>
          <w:rFonts w:asciiTheme="majorBidi" w:hAnsiTheme="majorBidi" w:cstheme="majorBidi"/>
          <w:sz w:val="18"/>
          <w:szCs w:val="18"/>
          <w:lang w:val="en-IE"/>
        </w:rPr>
        <w:t>12</w:t>
      </w:r>
      <w:r w:rsidR="008540FF" w:rsidRPr="00A628D0">
        <w:rPr>
          <w:rFonts w:asciiTheme="majorBidi" w:hAnsiTheme="majorBidi" w:cstheme="majorBidi"/>
          <w:sz w:val="18"/>
          <w:szCs w:val="18"/>
          <w:lang w:val="en-IE"/>
        </w:rPr>
        <w:t>.</w:t>
      </w:r>
    </w:p>
  </w:footnote>
  <w:footnote w:id="113">
    <w:p w14:paraId="386AF18F" w14:textId="77777777" w:rsidR="00856DC7" w:rsidRPr="00A628D0" w:rsidRDefault="00856DC7"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Article 21(6) of the Eurojust Regulation: “The competent national authorities shall inform their national members of: (a) cases in which conflicts of jurisdiction have arisen or are likely to arise”.</w:t>
      </w:r>
    </w:p>
  </w:footnote>
  <w:footnote w:id="114">
    <w:p w14:paraId="04818560" w14:textId="3AED5BD5" w:rsidR="66D1DCE4" w:rsidRPr="00A628D0" w:rsidRDefault="66D1DCE4" w:rsidP="00A628D0">
      <w:pPr>
        <w:spacing w:after="20"/>
        <w:rPr>
          <w:rFonts w:asciiTheme="majorBidi" w:eastAsia="Times New Roman" w:hAnsiTheme="majorBidi" w:cstheme="majorBidi"/>
          <w:sz w:val="18"/>
          <w:szCs w:val="18"/>
          <w:lang w:val="en-US"/>
        </w:rPr>
      </w:pPr>
      <w:r w:rsidRPr="00A628D0">
        <w:rPr>
          <w:rFonts w:asciiTheme="majorBidi" w:hAnsiTheme="majorBidi" w:cstheme="majorBidi"/>
          <w:sz w:val="18"/>
          <w:szCs w:val="18"/>
          <w:vertAlign w:val="superscript"/>
        </w:rPr>
        <w:footnoteRef/>
      </w:r>
      <w:r w:rsidR="09ECF753" w:rsidRPr="00A628D0">
        <w:rPr>
          <w:rFonts w:asciiTheme="majorBidi" w:hAnsiTheme="majorBidi" w:cstheme="majorBidi"/>
          <w:sz w:val="18"/>
          <w:szCs w:val="18"/>
        </w:rPr>
        <w:t xml:space="preserve"> </w:t>
      </w:r>
      <w:r w:rsidR="09ECF753" w:rsidRPr="00A628D0">
        <w:rPr>
          <w:rFonts w:asciiTheme="majorBidi" w:eastAsia="Times New Roman" w:hAnsiTheme="majorBidi" w:cstheme="majorBidi"/>
          <w:sz w:val="18"/>
          <w:szCs w:val="18"/>
          <w:lang w:val="en-US"/>
        </w:rPr>
        <w:t>Such a measure would have considerable consequences on fundamental rights. As a legally binding measure, it would affect procedural rules at national level that are applied by national prosecutors, thereby indirectly impacting the right to liberty (Article 6 of the Charter), the right to fair trial and the principle of legality and proportionality of penalties (Articles 47 and 48 of the Charter). Vesting Eurojust with a binding legal power on conflict of jurisdiction would need to be mirrored by a corresponding expansion of the relevant judicial remedies, for example with regard to the possibility of individuals to challenge such a decision.</w:t>
      </w:r>
    </w:p>
  </w:footnote>
  <w:footnote w:id="115">
    <w:p w14:paraId="2F50FBEF" w14:textId="6BD27AD1" w:rsidR="00EE6A46" w:rsidRPr="00A628D0" w:rsidRDefault="00EE6A46"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Support study</w:t>
      </w:r>
      <w:r w:rsidR="00B37724" w:rsidRPr="00A628D0">
        <w:rPr>
          <w:rFonts w:asciiTheme="majorBidi" w:hAnsiTheme="majorBidi" w:cstheme="majorBidi"/>
          <w:sz w:val="18"/>
          <w:szCs w:val="18"/>
        </w:rPr>
        <w:t>,</w:t>
      </w:r>
      <w:r w:rsidRPr="00A628D0">
        <w:rPr>
          <w:rFonts w:asciiTheme="majorBidi" w:hAnsiTheme="majorBidi" w:cstheme="majorBidi"/>
          <w:sz w:val="18"/>
          <w:szCs w:val="18"/>
        </w:rPr>
        <w:t xml:space="preserve"> </w:t>
      </w:r>
      <w:r w:rsidR="00B37724" w:rsidRPr="00A628D0">
        <w:rPr>
          <w:rFonts w:asciiTheme="majorBidi" w:hAnsiTheme="majorBidi" w:cstheme="majorBidi"/>
          <w:sz w:val="18"/>
          <w:szCs w:val="18"/>
        </w:rPr>
        <w:t>p.</w:t>
      </w:r>
      <w:r w:rsidRPr="00A628D0">
        <w:rPr>
          <w:rFonts w:asciiTheme="majorBidi" w:hAnsiTheme="majorBidi" w:cstheme="majorBidi"/>
          <w:sz w:val="18"/>
          <w:szCs w:val="18"/>
        </w:rPr>
        <w:t xml:space="preserve"> 4</w:t>
      </w:r>
      <w:r w:rsidR="006373FC">
        <w:rPr>
          <w:rFonts w:asciiTheme="majorBidi" w:hAnsiTheme="majorBidi" w:cstheme="majorBidi"/>
          <w:sz w:val="18"/>
          <w:szCs w:val="18"/>
        </w:rPr>
        <w:t>8</w:t>
      </w:r>
      <w:r w:rsidRPr="00A628D0">
        <w:rPr>
          <w:rFonts w:asciiTheme="majorBidi" w:hAnsiTheme="majorBidi" w:cstheme="majorBidi"/>
          <w:sz w:val="18"/>
          <w:szCs w:val="18"/>
        </w:rPr>
        <w:t>.</w:t>
      </w:r>
    </w:p>
  </w:footnote>
  <w:footnote w:id="116">
    <w:p w14:paraId="6F11FB03" w14:textId="210A3365" w:rsidR="002F70C0" w:rsidRPr="00A628D0" w:rsidRDefault="002F70C0"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Support </w:t>
      </w:r>
      <w:r w:rsidR="006445D9" w:rsidRPr="00A628D0">
        <w:rPr>
          <w:rFonts w:asciiTheme="majorBidi" w:hAnsiTheme="majorBidi" w:cstheme="majorBidi"/>
          <w:sz w:val="18"/>
          <w:szCs w:val="18"/>
        </w:rPr>
        <w:t>S</w:t>
      </w:r>
      <w:r w:rsidRPr="00A628D0">
        <w:rPr>
          <w:rFonts w:asciiTheme="majorBidi" w:hAnsiTheme="majorBidi" w:cstheme="majorBidi"/>
          <w:sz w:val="18"/>
          <w:szCs w:val="18"/>
        </w:rPr>
        <w:t>tudy</w:t>
      </w:r>
      <w:r w:rsidR="006445D9" w:rsidRPr="00A628D0">
        <w:rPr>
          <w:rFonts w:asciiTheme="majorBidi" w:hAnsiTheme="majorBidi" w:cstheme="majorBidi"/>
          <w:sz w:val="18"/>
          <w:szCs w:val="18"/>
        </w:rPr>
        <w:t>, p.</w:t>
      </w:r>
      <w:r w:rsidRPr="00A628D0">
        <w:rPr>
          <w:rFonts w:asciiTheme="majorBidi" w:hAnsiTheme="majorBidi" w:cstheme="majorBidi"/>
          <w:sz w:val="18"/>
          <w:szCs w:val="18"/>
        </w:rPr>
        <w:t xml:space="preserve"> </w:t>
      </w:r>
      <w:r w:rsidR="006373FC">
        <w:rPr>
          <w:rFonts w:asciiTheme="majorBidi" w:hAnsiTheme="majorBidi" w:cstheme="majorBidi"/>
          <w:sz w:val="18"/>
          <w:szCs w:val="18"/>
        </w:rPr>
        <w:t>79</w:t>
      </w:r>
      <w:r w:rsidRPr="00A628D0">
        <w:rPr>
          <w:rFonts w:asciiTheme="majorBidi" w:hAnsiTheme="majorBidi" w:cstheme="majorBidi"/>
          <w:sz w:val="18"/>
          <w:szCs w:val="18"/>
        </w:rPr>
        <w:t>.</w:t>
      </w:r>
    </w:p>
  </w:footnote>
  <w:footnote w:id="117">
    <w:p w14:paraId="6A962B9B" w14:textId="53EE1D5E" w:rsidR="0072178C" w:rsidRPr="00A628D0" w:rsidRDefault="0072178C"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Pr="00A628D0">
        <w:rPr>
          <w:rFonts w:asciiTheme="majorBidi" w:hAnsiTheme="majorBidi" w:cstheme="majorBidi"/>
          <w:sz w:val="18"/>
          <w:szCs w:val="18"/>
          <w:lang w:val="en-IE"/>
        </w:rPr>
        <w:t>Eurojust Evaluation, p. 35.</w:t>
      </w:r>
    </w:p>
  </w:footnote>
  <w:footnote w:id="118">
    <w:p w14:paraId="19AC34AE" w14:textId="0F94D18D" w:rsidR="00D72A95" w:rsidRPr="0016776D" w:rsidRDefault="00D72A95" w:rsidP="0016776D">
      <w:pPr>
        <w:pStyle w:val="FootnoteText"/>
        <w:spacing w:after="20"/>
        <w:rPr>
          <w:rFonts w:asciiTheme="majorBidi" w:hAnsiTheme="majorBidi" w:cstheme="majorBidi"/>
          <w:sz w:val="18"/>
          <w:szCs w:val="18"/>
        </w:rPr>
      </w:pPr>
      <w:r w:rsidRPr="0016776D">
        <w:rPr>
          <w:rStyle w:val="FootnoteReference"/>
          <w:rFonts w:asciiTheme="majorBidi" w:hAnsiTheme="majorBidi" w:cstheme="majorBidi"/>
          <w:sz w:val="18"/>
          <w:szCs w:val="18"/>
        </w:rPr>
        <w:footnoteRef/>
      </w:r>
      <w:r w:rsidRPr="0016776D">
        <w:rPr>
          <w:rFonts w:asciiTheme="majorBidi" w:eastAsia="Times New Roman" w:hAnsiTheme="majorBidi" w:cstheme="majorBidi"/>
          <w:sz w:val="18"/>
          <w:szCs w:val="18"/>
        </w:rPr>
        <w:t>Art. 85 TFEU and Annex I to the EJR</w:t>
      </w:r>
      <w:r w:rsidR="00794950" w:rsidRPr="0016776D">
        <w:rPr>
          <w:rFonts w:asciiTheme="majorBidi" w:eastAsia="Times New Roman" w:hAnsiTheme="majorBidi" w:cstheme="majorBidi"/>
          <w:sz w:val="18"/>
          <w:szCs w:val="18"/>
        </w:rPr>
        <w:t>.</w:t>
      </w:r>
      <w:r w:rsidRPr="0016776D">
        <w:rPr>
          <w:rFonts w:asciiTheme="majorBidi" w:hAnsiTheme="majorBidi" w:cstheme="majorBidi"/>
          <w:sz w:val="18"/>
          <w:szCs w:val="18"/>
        </w:rPr>
        <w:t xml:space="preserve"> </w:t>
      </w:r>
    </w:p>
  </w:footnote>
  <w:footnote w:id="119">
    <w:p w14:paraId="5C8FB123" w14:textId="53DC5DA8" w:rsidR="00D640BF" w:rsidRPr="00A628D0" w:rsidRDefault="00D640BF"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EC7FDD" w:rsidRPr="00A628D0">
        <w:rPr>
          <w:rFonts w:asciiTheme="majorBidi" w:eastAsia="Times New Roman" w:hAnsiTheme="majorBidi" w:cstheme="majorBidi"/>
          <w:sz w:val="18"/>
          <w:szCs w:val="18"/>
        </w:rPr>
        <w:t>Estimated at 16 FTE</w:t>
      </w:r>
      <w:r w:rsidR="00D7246B">
        <w:rPr>
          <w:rFonts w:asciiTheme="majorBidi" w:eastAsia="Times New Roman" w:hAnsiTheme="majorBidi" w:cstheme="majorBidi"/>
          <w:sz w:val="18"/>
          <w:szCs w:val="18"/>
        </w:rPr>
        <w:t>s</w:t>
      </w:r>
      <w:r w:rsidR="00EC7FDD" w:rsidRPr="00A628D0">
        <w:rPr>
          <w:rFonts w:asciiTheme="majorBidi" w:eastAsia="Times New Roman" w:hAnsiTheme="majorBidi" w:cstheme="majorBidi"/>
          <w:sz w:val="18"/>
          <w:szCs w:val="18"/>
        </w:rPr>
        <w:t xml:space="preserve"> and a further EUR 2 million in system costs p.a., Annex </w:t>
      </w:r>
      <w:r w:rsidR="00CF4A4C" w:rsidRPr="00A628D0">
        <w:rPr>
          <w:rFonts w:asciiTheme="majorBidi" w:eastAsia="Times New Roman" w:hAnsiTheme="majorBidi" w:cstheme="majorBidi"/>
          <w:sz w:val="18"/>
          <w:szCs w:val="18"/>
        </w:rPr>
        <w:t>III</w:t>
      </w:r>
      <w:r w:rsidR="00EC7FDD" w:rsidRPr="00A628D0">
        <w:rPr>
          <w:rFonts w:asciiTheme="majorBidi" w:eastAsia="Times New Roman" w:hAnsiTheme="majorBidi" w:cstheme="majorBidi"/>
          <w:sz w:val="18"/>
          <w:szCs w:val="18"/>
        </w:rPr>
        <w:t>.</w:t>
      </w:r>
    </w:p>
  </w:footnote>
  <w:footnote w:id="120">
    <w:p w14:paraId="7C6B2700" w14:textId="1E298EF0" w:rsidR="00444F8E" w:rsidRPr="00A628D0" w:rsidRDefault="00444F8E"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Support study, pp. 8</w:t>
      </w:r>
      <w:r w:rsidR="00FF07E9">
        <w:rPr>
          <w:rFonts w:asciiTheme="majorBidi" w:hAnsiTheme="majorBidi" w:cstheme="majorBidi"/>
          <w:sz w:val="18"/>
          <w:szCs w:val="18"/>
        </w:rPr>
        <w:t>4</w:t>
      </w:r>
      <w:r w:rsidRPr="00A628D0">
        <w:rPr>
          <w:rFonts w:asciiTheme="majorBidi" w:hAnsiTheme="majorBidi" w:cstheme="majorBidi"/>
          <w:sz w:val="18"/>
          <w:szCs w:val="18"/>
        </w:rPr>
        <w:t>-8</w:t>
      </w:r>
      <w:r w:rsidR="00FF07E9">
        <w:rPr>
          <w:rFonts w:asciiTheme="majorBidi" w:hAnsiTheme="majorBidi" w:cstheme="majorBidi"/>
          <w:sz w:val="18"/>
          <w:szCs w:val="18"/>
        </w:rPr>
        <w:t>5</w:t>
      </w:r>
      <w:r w:rsidRPr="00A628D0">
        <w:rPr>
          <w:rFonts w:asciiTheme="majorBidi" w:hAnsiTheme="majorBidi" w:cstheme="majorBidi"/>
          <w:sz w:val="18"/>
          <w:szCs w:val="18"/>
        </w:rPr>
        <w:t>.</w:t>
      </w:r>
    </w:p>
  </w:footnote>
  <w:footnote w:id="121">
    <w:p w14:paraId="267A3CA6" w14:textId="3B5D57D1" w:rsidR="00F7054D" w:rsidRPr="00A628D0" w:rsidRDefault="00F7054D"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9A28EA" w:rsidRPr="00A628D0">
        <w:rPr>
          <w:rFonts w:asciiTheme="majorBidi" w:hAnsiTheme="majorBidi" w:cstheme="majorBidi"/>
          <w:sz w:val="18"/>
          <w:szCs w:val="18"/>
        </w:rPr>
        <w:t xml:space="preserve">Support </w:t>
      </w:r>
      <w:r w:rsidR="004B1CD3" w:rsidRPr="00A628D0">
        <w:rPr>
          <w:rFonts w:asciiTheme="majorBidi" w:hAnsiTheme="majorBidi" w:cstheme="majorBidi"/>
          <w:sz w:val="18"/>
          <w:szCs w:val="18"/>
        </w:rPr>
        <w:t>study</w:t>
      </w:r>
      <w:r w:rsidRPr="00A628D0">
        <w:rPr>
          <w:rFonts w:asciiTheme="majorBidi" w:hAnsiTheme="majorBidi" w:cstheme="majorBidi"/>
          <w:sz w:val="18"/>
          <w:szCs w:val="18"/>
        </w:rPr>
        <w:t>, p. 8</w:t>
      </w:r>
      <w:r w:rsidR="00FF07E9">
        <w:rPr>
          <w:rFonts w:asciiTheme="majorBidi" w:hAnsiTheme="majorBidi" w:cstheme="majorBidi"/>
          <w:sz w:val="18"/>
          <w:szCs w:val="18"/>
        </w:rPr>
        <w:t>7</w:t>
      </w:r>
      <w:r w:rsidRPr="00A628D0">
        <w:rPr>
          <w:rFonts w:asciiTheme="majorBidi" w:hAnsiTheme="majorBidi" w:cstheme="majorBidi"/>
          <w:sz w:val="18"/>
          <w:szCs w:val="18"/>
        </w:rPr>
        <w:t>.</w:t>
      </w:r>
    </w:p>
  </w:footnote>
  <w:footnote w:id="122">
    <w:p w14:paraId="30E2A727" w14:textId="07B09617" w:rsidR="00F7054D" w:rsidRPr="00A628D0" w:rsidRDefault="00F7054D"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B24FE6" w:rsidRPr="00A628D0">
        <w:rPr>
          <w:rFonts w:asciiTheme="majorBidi" w:hAnsiTheme="majorBidi" w:cstheme="majorBidi"/>
          <w:sz w:val="18"/>
          <w:szCs w:val="18"/>
        </w:rPr>
        <w:t xml:space="preserve">Interviews with Member State authorities and practitioners, Annex </w:t>
      </w:r>
      <w:r w:rsidR="00CF4A4C" w:rsidRPr="00A628D0">
        <w:rPr>
          <w:rFonts w:asciiTheme="majorBidi" w:hAnsiTheme="majorBidi" w:cstheme="majorBidi"/>
          <w:sz w:val="18"/>
          <w:szCs w:val="18"/>
        </w:rPr>
        <w:t>II</w:t>
      </w:r>
      <w:r w:rsidR="00B24FE6" w:rsidRPr="00A628D0">
        <w:rPr>
          <w:rFonts w:asciiTheme="majorBidi" w:hAnsiTheme="majorBidi" w:cstheme="majorBidi"/>
          <w:sz w:val="18"/>
          <w:szCs w:val="18"/>
        </w:rPr>
        <w:t xml:space="preserve">, p. </w:t>
      </w:r>
      <w:r w:rsidR="000F6625" w:rsidRPr="00A628D0">
        <w:rPr>
          <w:rFonts w:asciiTheme="majorBidi" w:hAnsiTheme="majorBidi" w:cstheme="majorBidi"/>
          <w:sz w:val="18"/>
          <w:szCs w:val="18"/>
        </w:rPr>
        <w:t>13</w:t>
      </w:r>
      <w:r w:rsidRPr="00A628D0">
        <w:rPr>
          <w:rFonts w:asciiTheme="majorBidi" w:hAnsiTheme="majorBidi" w:cstheme="majorBidi"/>
          <w:sz w:val="18"/>
          <w:szCs w:val="18"/>
        </w:rPr>
        <w:t>.</w:t>
      </w:r>
    </w:p>
  </w:footnote>
  <w:footnote w:id="123">
    <w:p w14:paraId="7301B8BC" w14:textId="769DA490" w:rsidR="00C4527A" w:rsidRPr="00A628D0" w:rsidRDefault="00C4527A"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9A28EA" w:rsidRPr="00A628D0">
        <w:rPr>
          <w:rFonts w:asciiTheme="majorBidi" w:hAnsiTheme="majorBidi" w:cstheme="majorBidi"/>
          <w:sz w:val="18"/>
          <w:szCs w:val="18"/>
        </w:rPr>
        <w:t xml:space="preserve">Support </w:t>
      </w:r>
      <w:r w:rsidR="004B1CD3" w:rsidRPr="00A628D0">
        <w:rPr>
          <w:rFonts w:asciiTheme="majorBidi" w:hAnsiTheme="majorBidi" w:cstheme="majorBidi"/>
          <w:sz w:val="18"/>
          <w:szCs w:val="18"/>
        </w:rPr>
        <w:t>study</w:t>
      </w:r>
      <w:r w:rsidRPr="00A628D0">
        <w:rPr>
          <w:rFonts w:asciiTheme="majorBidi" w:hAnsiTheme="majorBidi" w:cstheme="majorBidi"/>
          <w:sz w:val="18"/>
          <w:szCs w:val="18"/>
        </w:rPr>
        <w:t xml:space="preserve">, </w:t>
      </w:r>
      <w:r w:rsidR="2E20A3AD" w:rsidRPr="00A628D0">
        <w:rPr>
          <w:rFonts w:asciiTheme="majorBidi" w:hAnsiTheme="majorBidi" w:cstheme="majorBidi"/>
          <w:sz w:val="18"/>
          <w:szCs w:val="18"/>
        </w:rPr>
        <w:t>pp</w:t>
      </w:r>
      <w:r w:rsidRPr="00A628D0">
        <w:rPr>
          <w:rFonts w:asciiTheme="majorBidi" w:hAnsiTheme="majorBidi" w:cstheme="majorBidi"/>
          <w:sz w:val="18"/>
          <w:szCs w:val="18"/>
        </w:rPr>
        <w:t xml:space="preserve">. </w:t>
      </w:r>
      <w:r w:rsidR="006B091A">
        <w:rPr>
          <w:rFonts w:asciiTheme="majorBidi" w:hAnsiTheme="majorBidi" w:cstheme="majorBidi"/>
          <w:sz w:val="18"/>
          <w:szCs w:val="18"/>
        </w:rPr>
        <w:t>84</w:t>
      </w:r>
      <w:r w:rsidRPr="00A628D0">
        <w:rPr>
          <w:rFonts w:asciiTheme="majorBidi" w:hAnsiTheme="majorBidi" w:cstheme="majorBidi"/>
          <w:sz w:val="18"/>
          <w:szCs w:val="18"/>
        </w:rPr>
        <w:t>-</w:t>
      </w:r>
      <w:r w:rsidR="006B091A">
        <w:rPr>
          <w:rFonts w:asciiTheme="majorBidi" w:hAnsiTheme="majorBidi" w:cstheme="majorBidi"/>
          <w:sz w:val="18"/>
          <w:szCs w:val="18"/>
        </w:rPr>
        <w:t>8</w:t>
      </w:r>
      <w:r w:rsidRPr="00A628D0">
        <w:rPr>
          <w:rFonts w:asciiTheme="majorBidi" w:hAnsiTheme="majorBidi" w:cstheme="majorBidi"/>
          <w:sz w:val="18"/>
          <w:szCs w:val="18"/>
        </w:rPr>
        <w:t>8.</w:t>
      </w:r>
    </w:p>
  </w:footnote>
  <w:footnote w:id="124">
    <w:p w14:paraId="0FEDDBD9" w14:textId="76DE7494" w:rsidR="00C4527A" w:rsidRPr="00A628D0" w:rsidRDefault="00C4527A"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C33237" w:rsidRPr="00A628D0">
        <w:rPr>
          <w:rFonts w:asciiTheme="majorBidi" w:hAnsiTheme="majorBidi" w:cstheme="majorBidi"/>
          <w:sz w:val="18"/>
          <w:szCs w:val="18"/>
        </w:rPr>
        <w:t xml:space="preserve">Support </w:t>
      </w:r>
      <w:r w:rsidR="004B1CD3" w:rsidRPr="00A628D0">
        <w:rPr>
          <w:rFonts w:asciiTheme="majorBidi" w:hAnsiTheme="majorBidi" w:cstheme="majorBidi"/>
          <w:sz w:val="18"/>
          <w:szCs w:val="18"/>
        </w:rPr>
        <w:t>study</w:t>
      </w:r>
      <w:r w:rsidRPr="00A628D0">
        <w:rPr>
          <w:rFonts w:asciiTheme="majorBidi" w:hAnsiTheme="majorBidi" w:cstheme="majorBidi"/>
          <w:sz w:val="18"/>
          <w:szCs w:val="18"/>
        </w:rPr>
        <w:t>, p</w:t>
      </w:r>
      <w:r w:rsidR="00C33237" w:rsidRPr="00A628D0">
        <w:rPr>
          <w:rFonts w:asciiTheme="majorBidi" w:hAnsiTheme="majorBidi" w:cstheme="majorBidi"/>
          <w:sz w:val="18"/>
          <w:szCs w:val="18"/>
        </w:rPr>
        <w:t>p</w:t>
      </w:r>
      <w:r w:rsidRPr="00A628D0">
        <w:rPr>
          <w:rFonts w:asciiTheme="majorBidi" w:hAnsiTheme="majorBidi" w:cstheme="majorBidi"/>
          <w:sz w:val="18"/>
          <w:szCs w:val="18"/>
        </w:rPr>
        <w:t xml:space="preserve">. </w:t>
      </w:r>
      <w:r w:rsidR="00CD5DE5">
        <w:rPr>
          <w:rFonts w:asciiTheme="majorBidi" w:hAnsiTheme="majorBidi" w:cstheme="majorBidi"/>
          <w:sz w:val="18"/>
          <w:szCs w:val="18"/>
        </w:rPr>
        <w:t>87</w:t>
      </w:r>
      <w:r w:rsidRPr="00A628D0">
        <w:rPr>
          <w:rFonts w:asciiTheme="majorBidi" w:hAnsiTheme="majorBidi" w:cstheme="majorBidi"/>
          <w:sz w:val="18"/>
          <w:szCs w:val="18"/>
        </w:rPr>
        <w:t>-</w:t>
      </w:r>
      <w:r w:rsidR="00CD5DE5">
        <w:rPr>
          <w:rFonts w:asciiTheme="majorBidi" w:hAnsiTheme="majorBidi" w:cstheme="majorBidi"/>
          <w:sz w:val="18"/>
          <w:szCs w:val="18"/>
        </w:rPr>
        <w:t>88</w:t>
      </w:r>
      <w:r w:rsidRPr="00A628D0">
        <w:rPr>
          <w:rFonts w:asciiTheme="majorBidi" w:hAnsiTheme="majorBidi" w:cstheme="majorBidi"/>
          <w:sz w:val="18"/>
          <w:szCs w:val="18"/>
        </w:rPr>
        <w:t>.</w:t>
      </w:r>
    </w:p>
  </w:footnote>
  <w:footnote w:id="125">
    <w:p w14:paraId="41555391" w14:textId="4F2B4C59" w:rsidR="00C4527A" w:rsidRPr="00A628D0" w:rsidRDefault="00C4527A"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Support </w:t>
      </w:r>
      <w:r w:rsidR="004B1CD3" w:rsidRPr="00A628D0">
        <w:rPr>
          <w:rFonts w:asciiTheme="majorBidi" w:hAnsiTheme="majorBidi" w:cstheme="majorBidi"/>
          <w:sz w:val="18"/>
          <w:szCs w:val="18"/>
        </w:rPr>
        <w:t>s</w:t>
      </w:r>
      <w:r w:rsidR="00C33237" w:rsidRPr="00A628D0">
        <w:rPr>
          <w:rFonts w:asciiTheme="majorBidi" w:hAnsiTheme="majorBidi" w:cstheme="majorBidi"/>
          <w:sz w:val="18"/>
          <w:szCs w:val="18"/>
        </w:rPr>
        <w:t>tudy</w:t>
      </w:r>
      <w:r w:rsidR="00EB6AE4" w:rsidRPr="00A628D0">
        <w:rPr>
          <w:rFonts w:asciiTheme="majorBidi" w:hAnsiTheme="majorBidi" w:cstheme="majorBidi"/>
          <w:sz w:val="18"/>
          <w:szCs w:val="18"/>
        </w:rPr>
        <w:t>,</w:t>
      </w:r>
      <w:r w:rsidRPr="00A628D0">
        <w:rPr>
          <w:rFonts w:asciiTheme="majorBidi" w:hAnsiTheme="majorBidi" w:cstheme="majorBidi"/>
          <w:sz w:val="18"/>
          <w:szCs w:val="18"/>
        </w:rPr>
        <w:t xml:space="preserve"> </w:t>
      </w:r>
      <w:r w:rsidR="2E20A3AD" w:rsidRPr="00A628D0">
        <w:rPr>
          <w:rFonts w:asciiTheme="majorBidi" w:hAnsiTheme="majorBidi" w:cstheme="majorBidi"/>
          <w:sz w:val="18"/>
          <w:szCs w:val="18"/>
        </w:rPr>
        <w:t>p.</w:t>
      </w:r>
      <w:r w:rsidRPr="00A628D0">
        <w:rPr>
          <w:rFonts w:asciiTheme="majorBidi" w:hAnsiTheme="majorBidi" w:cstheme="majorBidi"/>
          <w:sz w:val="18"/>
          <w:szCs w:val="18"/>
        </w:rPr>
        <w:t xml:space="preserve"> </w:t>
      </w:r>
      <w:r w:rsidR="00CD5DE5">
        <w:rPr>
          <w:rFonts w:asciiTheme="majorBidi" w:hAnsiTheme="majorBidi" w:cstheme="majorBidi"/>
          <w:sz w:val="18"/>
          <w:szCs w:val="18"/>
        </w:rPr>
        <w:t>8</w:t>
      </w:r>
      <w:r w:rsidRPr="00A628D0">
        <w:rPr>
          <w:rFonts w:asciiTheme="majorBidi" w:hAnsiTheme="majorBidi" w:cstheme="majorBidi"/>
          <w:sz w:val="18"/>
          <w:szCs w:val="18"/>
        </w:rPr>
        <w:t>7.</w:t>
      </w:r>
    </w:p>
  </w:footnote>
  <w:footnote w:id="126">
    <w:p w14:paraId="3FFD5CF5" w14:textId="4B1CD277" w:rsidR="00C4527A" w:rsidRPr="00A628D0" w:rsidRDefault="00C4527A"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Support study</w:t>
      </w:r>
      <w:r w:rsidR="004B1CD3" w:rsidRPr="00A628D0">
        <w:rPr>
          <w:rFonts w:asciiTheme="majorBidi" w:hAnsiTheme="majorBidi" w:cstheme="majorBidi"/>
          <w:sz w:val="18"/>
          <w:szCs w:val="18"/>
        </w:rPr>
        <w:t>,</w:t>
      </w:r>
      <w:r w:rsidRPr="00A628D0">
        <w:rPr>
          <w:rFonts w:asciiTheme="majorBidi" w:hAnsiTheme="majorBidi" w:cstheme="majorBidi"/>
          <w:sz w:val="18"/>
          <w:szCs w:val="18"/>
        </w:rPr>
        <w:t xml:space="preserve"> p</w:t>
      </w:r>
      <w:r w:rsidR="004B1CD3" w:rsidRPr="00A628D0">
        <w:rPr>
          <w:rFonts w:asciiTheme="majorBidi" w:hAnsiTheme="majorBidi" w:cstheme="majorBidi"/>
          <w:sz w:val="18"/>
          <w:szCs w:val="18"/>
        </w:rPr>
        <w:t>.</w:t>
      </w:r>
      <w:r w:rsidRPr="00A628D0">
        <w:rPr>
          <w:rFonts w:asciiTheme="majorBidi" w:hAnsiTheme="majorBidi" w:cstheme="majorBidi"/>
          <w:sz w:val="18"/>
          <w:szCs w:val="18"/>
        </w:rPr>
        <w:t xml:space="preserve"> 9</w:t>
      </w:r>
      <w:r w:rsidR="00CD5DE5">
        <w:rPr>
          <w:rFonts w:asciiTheme="majorBidi" w:hAnsiTheme="majorBidi" w:cstheme="majorBidi"/>
          <w:sz w:val="18"/>
          <w:szCs w:val="18"/>
        </w:rPr>
        <w:t>4</w:t>
      </w:r>
      <w:r w:rsidRPr="00A628D0">
        <w:rPr>
          <w:rFonts w:asciiTheme="majorBidi" w:hAnsiTheme="majorBidi" w:cstheme="majorBidi"/>
          <w:sz w:val="18"/>
          <w:szCs w:val="18"/>
        </w:rPr>
        <w:t>.</w:t>
      </w:r>
    </w:p>
  </w:footnote>
  <w:footnote w:id="127">
    <w:p w14:paraId="5F060176" w14:textId="084144A1" w:rsidR="5973436A" w:rsidRPr="00A628D0" w:rsidRDefault="5973436A" w:rsidP="00A628D0">
      <w:pPr>
        <w:spacing w:after="20"/>
        <w:rPr>
          <w:rFonts w:asciiTheme="majorBidi" w:hAnsiTheme="majorBidi" w:cstheme="majorBidi"/>
          <w:sz w:val="18"/>
          <w:szCs w:val="18"/>
        </w:rPr>
      </w:pPr>
      <w:r w:rsidRPr="00A628D0">
        <w:rPr>
          <w:rFonts w:asciiTheme="majorBidi" w:hAnsiTheme="majorBidi" w:cstheme="majorBidi"/>
          <w:sz w:val="18"/>
          <w:szCs w:val="18"/>
          <w:vertAlign w:val="superscript"/>
        </w:rPr>
        <w:footnoteRef/>
      </w:r>
      <w:r w:rsidR="6CB00ED1" w:rsidRPr="00A628D0">
        <w:rPr>
          <w:rFonts w:asciiTheme="majorBidi" w:hAnsiTheme="majorBidi" w:cstheme="majorBidi"/>
          <w:sz w:val="18"/>
          <w:szCs w:val="18"/>
        </w:rPr>
        <w:t xml:space="preserve"> Article 16(4) EJR</w:t>
      </w:r>
      <w:r w:rsidR="00547A17">
        <w:rPr>
          <w:rFonts w:asciiTheme="majorBidi" w:hAnsiTheme="majorBidi" w:cstheme="majorBidi"/>
          <w:sz w:val="18"/>
          <w:szCs w:val="18"/>
        </w:rPr>
        <w:t>.</w:t>
      </w:r>
    </w:p>
  </w:footnote>
  <w:footnote w:id="128">
    <w:p w14:paraId="4E00F004" w14:textId="2BC2FACB" w:rsidR="00C4527A" w:rsidRPr="00A628D0" w:rsidRDefault="00C4527A"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Support study</w:t>
      </w:r>
      <w:r w:rsidR="004B1CD3" w:rsidRPr="00A628D0">
        <w:rPr>
          <w:rFonts w:asciiTheme="majorBidi" w:hAnsiTheme="majorBidi" w:cstheme="majorBidi"/>
          <w:sz w:val="18"/>
          <w:szCs w:val="18"/>
        </w:rPr>
        <w:t>,</w:t>
      </w:r>
      <w:r w:rsidRPr="00A628D0">
        <w:rPr>
          <w:rFonts w:asciiTheme="majorBidi" w:hAnsiTheme="majorBidi" w:cstheme="majorBidi"/>
          <w:sz w:val="18"/>
          <w:szCs w:val="18"/>
        </w:rPr>
        <w:t xml:space="preserve"> </w:t>
      </w:r>
      <w:r w:rsidR="004B1CD3" w:rsidRPr="00A628D0">
        <w:rPr>
          <w:rFonts w:asciiTheme="majorBidi" w:hAnsiTheme="majorBidi" w:cstheme="majorBidi"/>
          <w:sz w:val="18"/>
          <w:szCs w:val="18"/>
        </w:rPr>
        <w:t>p.</w:t>
      </w:r>
      <w:r w:rsidRPr="00A628D0">
        <w:rPr>
          <w:rFonts w:asciiTheme="majorBidi" w:hAnsiTheme="majorBidi" w:cstheme="majorBidi"/>
          <w:sz w:val="18"/>
          <w:szCs w:val="18"/>
        </w:rPr>
        <w:t xml:space="preserve"> </w:t>
      </w:r>
      <w:r w:rsidR="00CD5DE5">
        <w:rPr>
          <w:rFonts w:asciiTheme="majorBidi" w:hAnsiTheme="majorBidi" w:cstheme="majorBidi"/>
          <w:sz w:val="18"/>
          <w:szCs w:val="18"/>
        </w:rPr>
        <w:t>96</w:t>
      </w:r>
      <w:r w:rsidRPr="00A628D0">
        <w:rPr>
          <w:rFonts w:asciiTheme="majorBidi" w:hAnsiTheme="majorBidi" w:cstheme="majorBidi"/>
          <w:sz w:val="18"/>
          <w:szCs w:val="18"/>
        </w:rPr>
        <w:t>.</w:t>
      </w:r>
    </w:p>
  </w:footnote>
  <w:footnote w:id="129">
    <w:p w14:paraId="4BA7C746" w14:textId="721C163C" w:rsidR="00553D55" w:rsidRPr="00A628D0" w:rsidRDefault="00553D55"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EE5234" w:rsidRPr="00A628D0">
        <w:rPr>
          <w:rFonts w:asciiTheme="majorBidi" w:hAnsiTheme="majorBidi" w:cstheme="majorBidi"/>
          <w:sz w:val="18"/>
          <w:szCs w:val="18"/>
        </w:rPr>
        <w:t xml:space="preserve">Support </w:t>
      </w:r>
      <w:r w:rsidR="00EE5234" w:rsidRPr="00A628D0">
        <w:rPr>
          <w:rFonts w:asciiTheme="majorBidi" w:eastAsia="Times New Roman" w:hAnsiTheme="majorBidi" w:cstheme="majorBidi"/>
          <w:sz w:val="18"/>
          <w:szCs w:val="18"/>
          <w:lang w:val="en-US"/>
        </w:rPr>
        <w:t>study</w:t>
      </w:r>
      <w:r w:rsidRPr="00A628D0">
        <w:rPr>
          <w:rFonts w:asciiTheme="majorBidi" w:eastAsia="Times New Roman" w:hAnsiTheme="majorBidi" w:cstheme="majorBidi"/>
          <w:sz w:val="18"/>
          <w:szCs w:val="18"/>
          <w:lang w:val="en-US"/>
        </w:rPr>
        <w:t xml:space="preserve">, p. </w:t>
      </w:r>
      <w:r w:rsidR="001362C2">
        <w:rPr>
          <w:rFonts w:asciiTheme="majorBidi" w:eastAsia="Times New Roman" w:hAnsiTheme="majorBidi" w:cstheme="majorBidi"/>
          <w:sz w:val="18"/>
          <w:szCs w:val="18"/>
          <w:lang w:val="en-US"/>
        </w:rPr>
        <w:t>9</w:t>
      </w:r>
      <w:r w:rsidRPr="00A628D0">
        <w:rPr>
          <w:rFonts w:asciiTheme="majorBidi" w:eastAsia="Times New Roman" w:hAnsiTheme="majorBidi" w:cstheme="majorBidi"/>
          <w:sz w:val="18"/>
          <w:szCs w:val="18"/>
          <w:lang w:val="en-US"/>
        </w:rPr>
        <w:t>.</w:t>
      </w:r>
    </w:p>
  </w:footnote>
  <w:footnote w:id="130">
    <w:p w14:paraId="7D3169CA" w14:textId="3A8DE97E" w:rsidR="00553D55" w:rsidRPr="00A628D0" w:rsidRDefault="00553D55"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EE5234" w:rsidRPr="00A628D0">
        <w:rPr>
          <w:rFonts w:asciiTheme="majorBidi" w:hAnsiTheme="majorBidi" w:cstheme="majorBidi"/>
          <w:sz w:val="18"/>
          <w:szCs w:val="18"/>
        </w:rPr>
        <w:t>Support study</w:t>
      </w:r>
      <w:r w:rsidRPr="00A628D0">
        <w:rPr>
          <w:rFonts w:asciiTheme="majorBidi" w:hAnsiTheme="majorBidi" w:cstheme="majorBidi"/>
          <w:sz w:val="18"/>
          <w:szCs w:val="18"/>
        </w:rPr>
        <w:t xml:space="preserve">, p. </w:t>
      </w:r>
      <w:r w:rsidR="001362C2">
        <w:rPr>
          <w:rFonts w:asciiTheme="majorBidi" w:hAnsiTheme="majorBidi" w:cstheme="majorBidi"/>
          <w:sz w:val="18"/>
          <w:szCs w:val="18"/>
        </w:rPr>
        <w:t>9</w:t>
      </w:r>
      <w:r w:rsidRPr="00A628D0">
        <w:rPr>
          <w:rFonts w:asciiTheme="majorBidi" w:hAnsiTheme="majorBidi" w:cstheme="majorBidi"/>
          <w:sz w:val="18"/>
          <w:szCs w:val="18"/>
        </w:rPr>
        <w:t>9.</w:t>
      </w:r>
    </w:p>
  </w:footnote>
  <w:footnote w:id="131">
    <w:p w14:paraId="352DD14E" w14:textId="6D31C5AA" w:rsidR="00553D55" w:rsidRPr="00A628D0" w:rsidRDefault="00553D55"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EE5234" w:rsidRPr="00A628D0">
        <w:rPr>
          <w:rFonts w:asciiTheme="majorBidi" w:hAnsiTheme="majorBidi" w:cstheme="majorBidi"/>
          <w:sz w:val="18"/>
          <w:szCs w:val="18"/>
        </w:rPr>
        <w:t xml:space="preserve">Support </w:t>
      </w:r>
      <w:r w:rsidR="00EE5234" w:rsidRPr="00A628D0">
        <w:rPr>
          <w:rFonts w:asciiTheme="majorBidi" w:hAnsiTheme="majorBidi" w:cstheme="majorBidi"/>
          <w:sz w:val="18"/>
          <w:szCs w:val="18"/>
          <w:lang w:val="en-IE"/>
        </w:rPr>
        <w:t>study</w:t>
      </w:r>
      <w:r w:rsidRPr="00A628D0">
        <w:rPr>
          <w:rFonts w:asciiTheme="majorBidi" w:hAnsiTheme="majorBidi" w:cstheme="majorBidi"/>
          <w:sz w:val="18"/>
          <w:szCs w:val="18"/>
          <w:lang w:val="en-IE"/>
        </w:rPr>
        <w:t xml:space="preserve">, </w:t>
      </w:r>
      <w:r w:rsidR="2E20A3AD" w:rsidRPr="00A628D0">
        <w:rPr>
          <w:rFonts w:asciiTheme="majorBidi" w:hAnsiTheme="majorBidi" w:cstheme="majorBidi"/>
          <w:sz w:val="18"/>
          <w:szCs w:val="18"/>
          <w:lang w:val="en-IE"/>
        </w:rPr>
        <w:t>p</w:t>
      </w:r>
      <w:r w:rsidRPr="00A628D0">
        <w:rPr>
          <w:rFonts w:asciiTheme="majorBidi" w:hAnsiTheme="majorBidi" w:cstheme="majorBidi"/>
          <w:sz w:val="18"/>
          <w:szCs w:val="18"/>
          <w:lang w:val="en-IE"/>
        </w:rPr>
        <w:t>. 1</w:t>
      </w:r>
      <w:r w:rsidR="001362C2">
        <w:rPr>
          <w:rFonts w:asciiTheme="majorBidi" w:hAnsiTheme="majorBidi" w:cstheme="majorBidi"/>
          <w:sz w:val="18"/>
          <w:szCs w:val="18"/>
          <w:lang w:val="en-IE"/>
        </w:rPr>
        <w:t>00</w:t>
      </w:r>
      <w:r w:rsidRPr="00A628D0">
        <w:rPr>
          <w:rFonts w:asciiTheme="majorBidi" w:hAnsiTheme="majorBidi" w:cstheme="majorBidi"/>
          <w:sz w:val="18"/>
          <w:szCs w:val="18"/>
          <w:lang w:val="en-IE"/>
        </w:rPr>
        <w:t>.</w:t>
      </w:r>
    </w:p>
  </w:footnote>
  <w:footnote w:id="132">
    <w:p w14:paraId="7AAB38A1" w14:textId="2978FE4D" w:rsidR="00553D55" w:rsidRPr="00A628D0" w:rsidRDefault="00553D55"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784694C8" w:rsidRPr="00A628D0">
        <w:rPr>
          <w:rFonts w:asciiTheme="majorBidi" w:hAnsiTheme="majorBidi" w:cstheme="majorBidi"/>
          <w:sz w:val="18"/>
          <w:szCs w:val="18"/>
        </w:rPr>
        <w:t xml:space="preserve"> </w:t>
      </w:r>
      <w:r w:rsidR="784694C8" w:rsidRPr="00A628D0">
        <w:rPr>
          <w:rFonts w:asciiTheme="majorBidi" w:hAnsiTheme="majorBidi" w:cstheme="majorBidi"/>
          <w:sz w:val="18"/>
          <w:szCs w:val="18"/>
          <w:lang w:val="en-IE"/>
        </w:rPr>
        <w:t xml:space="preserve">Support study, p. </w:t>
      </w:r>
      <w:r w:rsidRPr="00A628D0">
        <w:rPr>
          <w:rFonts w:asciiTheme="majorBidi" w:hAnsiTheme="majorBidi" w:cstheme="majorBidi"/>
          <w:sz w:val="18"/>
          <w:szCs w:val="18"/>
          <w:lang w:val="en-IE"/>
        </w:rPr>
        <w:t>1</w:t>
      </w:r>
      <w:r w:rsidR="001362C2">
        <w:rPr>
          <w:rFonts w:asciiTheme="majorBidi" w:hAnsiTheme="majorBidi" w:cstheme="majorBidi"/>
          <w:sz w:val="18"/>
          <w:szCs w:val="18"/>
          <w:lang w:val="en-IE"/>
        </w:rPr>
        <w:t>01</w:t>
      </w:r>
      <w:r w:rsidRPr="00A628D0">
        <w:rPr>
          <w:rFonts w:asciiTheme="majorBidi" w:hAnsiTheme="majorBidi" w:cstheme="majorBidi"/>
          <w:sz w:val="18"/>
          <w:szCs w:val="18"/>
          <w:lang w:val="en-IE"/>
        </w:rPr>
        <w:t>.</w:t>
      </w:r>
    </w:p>
  </w:footnote>
  <w:footnote w:id="133">
    <w:p w14:paraId="4ABC4CCA" w14:textId="72099E3D" w:rsidR="00553D55" w:rsidRPr="00A628D0" w:rsidRDefault="00553D55"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784694C8" w:rsidRPr="00A628D0">
        <w:rPr>
          <w:rFonts w:asciiTheme="majorBidi" w:hAnsiTheme="majorBidi" w:cstheme="majorBidi"/>
          <w:sz w:val="18"/>
          <w:szCs w:val="18"/>
        </w:rPr>
        <w:t xml:space="preserve"> </w:t>
      </w:r>
      <w:r w:rsidR="784694C8" w:rsidRPr="00A628D0">
        <w:rPr>
          <w:rFonts w:asciiTheme="majorBidi" w:hAnsiTheme="majorBidi" w:cstheme="majorBidi"/>
          <w:sz w:val="18"/>
          <w:szCs w:val="18"/>
          <w:lang w:val="en-IE"/>
        </w:rPr>
        <w:t xml:space="preserve">Support study, </w:t>
      </w:r>
      <w:r w:rsidR="37C03EA4" w:rsidRPr="00A628D0">
        <w:rPr>
          <w:rFonts w:asciiTheme="majorBidi" w:hAnsiTheme="majorBidi" w:cstheme="majorBidi"/>
          <w:sz w:val="18"/>
          <w:szCs w:val="18"/>
          <w:lang w:val="en-IE"/>
        </w:rPr>
        <w:t>pp</w:t>
      </w:r>
      <w:r w:rsidR="784694C8" w:rsidRPr="00A628D0">
        <w:rPr>
          <w:rFonts w:asciiTheme="majorBidi" w:hAnsiTheme="majorBidi" w:cstheme="majorBidi"/>
          <w:sz w:val="18"/>
          <w:szCs w:val="18"/>
          <w:lang w:val="en-IE"/>
        </w:rPr>
        <w:t xml:space="preserve">. </w:t>
      </w:r>
      <w:r w:rsidRPr="00A628D0">
        <w:rPr>
          <w:rFonts w:asciiTheme="majorBidi" w:hAnsiTheme="majorBidi" w:cstheme="majorBidi"/>
          <w:sz w:val="18"/>
          <w:szCs w:val="18"/>
          <w:lang w:val="en-IE"/>
        </w:rPr>
        <w:t>1</w:t>
      </w:r>
      <w:r w:rsidR="001362C2">
        <w:rPr>
          <w:rFonts w:asciiTheme="majorBidi" w:hAnsiTheme="majorBidi" w:cstheme="majorBidi"/>
          <w:sz w:val="18"/>
          <w:szCs w:val="18"/>
          <w:lang w:val="en-IE"/>
        </w:rPr>
        <w:t>01</w:t>
      </w:r>
      <w:r w:rsidRPr="00A628D0">
        <w:rPr>
          <w:rFonts w:asciiTheme="majorBidi" w:hAnsiTheme="majorBidi" w:cstheme="majorBidi"/>
          <w:sz w:val="18"/>
          <w:szCs w:val="18"/>
          <w:lang w:val="en-IE"/>
        </w:rPr>
        <w:t>-1</w:t>
      </w:r>
      <w:r w:rsidR="001362C2">
        <w:rPr>
          <w:rFonts w:asciiTheme="majorBidi" w:hAnsiTheme="majorBidi" w:cstheme="majorBidi"/>
          <w:sz w:val="18"/>
          <w:szCs w:val="18"/>
          <w:lang w:val="en-IE"/>
        </w:rPr>
        <w:t>0</w:t>
      </w:r>
      <w:r w:rsidRPr="00A628D0">
        <w:rPr>
          <w:rFonts w:asciiTheme="majorBidi" w:hAnsiTheme="majorBidi" w:cstheme="majorBidi"/>
          <w:sz w:val="18"/>
          <w:szCs w:val="18"/>
          <w:lang w:val="en-IE"/>
        </w:rPr>
        <w:t>2.</w:t>
      </w:r>
    </w:p>
  </w:footnote>
  <w:footnote w:id="134">
    <w:p w14:paraId="022A0A6F" w14:textId="760883EA" w:rsidR="00C53E41" w:rsidRPr="00A628D0" w:rsidRDefault="00C53E41"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784694C8" w:rsidRPr="00A628D0">
        <w:rPr>
          <w:rFonts w:asciiTheme="majorBidi" w:hAnsiTheme="majorBidi" w:cstheme="majorBidi"/>
          <w:sz w:val="18"/>
          <w:szCs w:val="18"/>
        </w:rPr>
        <w:t xml:space="preserve"> </w:t>
      </w:r>
      <w:r w:rsidR="784694C8" w:rsidRPr="00A628D0">
        <w:rPr>
          <w:rFonts w:asciiTheme="majorBidi" w:hAnsiTheme="majorBidi" w:cstheme="majorBidi"/>
          <w:sz w:val="18"/>
          <w:szCs w:val="18"/>
          <w:lang w:val="en-IE"/>
        </w:rPr>
        <w:t xml:space="preserve">Support study, p. </w:t>
      </w:r>
      <w:r w:rsidRPr="00A628D0">
        <w:rPr>
          <w:rFonts w:asciiTheme="majorBidi" w:hAnsiTheme="majorBidi" w:cstheme="majorBidi"/>
          <w:sz w:val="18"/>
          <w:szCs w:val="18"/>
          <w:lang w:val="en-IE"/>
        </w:rPr>
        <w:t>1</w:t>
      </w:r>
      <w:r w:rsidR="003370E8">
        <w:rPr>
          <w:rFonts w:asciiTheme="majorBidi" w:hAnsiTheme="majorBidi" w:cstheme="majorBidi"/>
          <w:sz w:val="18"/>
          <w:szCs w:val="18"/>
          <w:lang w:val="en-IE"/>
        </w:rPr>
        <w:t>0</w:t>
      </w:r>
      <w:r w:rsidRPr="00A628D0">
        <w:rPr>
          <w:rFonts w:asciiTheme="majorBidi" w:hAnsiTheme="majorBidi" w:cstheme="majorBidi"/>
          <w:sz w:val="18"/>
          <w:szCs w:val="18"/>
          <w:lang w:val="en-IE"/>
        </w:rPr>
        <w:t>2.</w:t>
      </w:r>
    </w:p>
  </w:footnote>
  <w:footnote w:id="135">
    <w:p w14:paraId="60560F79" w14:textId="516E263E" w:rsidR="00D40F82" w:rsidRPr="00A628D0" w:rsidRDefault="00D40F82"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Support Study, p. 1</w:t>
      </w:r>
      <w:r w:rsidR="00051054">
        <w:rPr>
          <w:rFonts w:asciiTheme="majorBidi" w:hAnsiTheme="majorBidi" w:cstheme="majorBidi"/>
          <w:sz w:val="18"/>
          <w:szCs w:val="18"/>
        </w:rPr>
        <w:t>05</w:t>
      </w:r>
      <w:r w:rsidRPr="00A628D0">
        <w:rPr>
          <w:rFonts w:asciiTheme="majorBidi" w:hAnsiTheme="majorBidi" w:cstheme="majorBidi"/>
          <w:sz w:val="18"/>
          <w:szCs w:val="18"/>
        </w:rPr>
        <w:t>.</w:t>
      </w:r>
    </w:p>
  </w:footnote>
  <w:footnote w:id="136">
    <w:p w14:paraId="54DB36C1" w14:textId="56A30FFB" w:rsidR="00056984" w:rsidRPr="00A628D0" w:rsidRDefault="00056984"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Support Study, p</w:t>
      </w:r>
      <w:r w:rsidR="00034D04" w:rsidRPr="00A628D0">
        <w:rPr>
          <w:rFonts w:asciiTheme="majorBidi" w:hAnsiTheme="majorBidi" w:cstheme="majorBidi"/>
          <w:sz w:val="18"/>
          <w:szCs w:val="18"/>
        </w:rPr>
        <w:t>p</w:t>
      </w:r>
      <w:r w:rsidRPr="00A628D0">
        <w:rPr>
          <w:rFonts w:asciiTheme="majorBidi" w:hAnsiTheme="majorBidi" w:cstheme="majorBidi"/>
          <w:sz w:val="18"/>
          <w:szCs w:val="18"/>
        </w:rPr>
        <w:t>. 1</w:t>
      </w:r>
      <w:r w:rsidR="00051054">
        <w:rPr>
          <w:rFonts w:asciiTheme="majorBidi" w:hAnsiTheme="majorBidi" w:cstheme="majorBidi"/>
          <w:sz w:val="18"/>
          <w:szCs w:val="18"/>
        </w:rPr>
        <w:t>06-107</w:t>
      </w:r>
      <w:r w:rsidR="00034D04" w:rsidRPr="00A628D0">
        <w:rPr>
          <w:rFonts w:asciiTheme="majorBidi" w:hAnsiTheme="majorBidi" w:cstheme="majorBidi"/>
          <w:sz w:val="18"/>
          <w:szCs w:val="18"/>
        </w:rPr>
        <w:t>.</w:t>
      </w:r>
    </w:p>
  </w:footnote>
  <w:footnote w:id="137">
    <w:p w14:paraId="44565E8D" w14:textId="48A906B8" w:rsidR="0033555E" w:rsidRPr="00A628D0" w:rsidRDefault="0033555E" w:rsidP="00A628D0">
      <w:pPr>
        <w:pStyle w:val="FootnoteText"/>
        <w:spacing w:after="20"/>
        <w:rPr>
          <w:rFonts w:asciiTheme="majorBidi" w:hAnsiTheme="majorBidi" w:cstheme="majorBidi"/>
          <w:sz w:val="18"/>
          <w:szCs w:val="18"/>
          <w:lang w:val="en-US"/>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BC7D9A" w:rsidRPr="00A628D0">
        <w:rPr>
          <w:rFonts w:asciiTheme="majorBidi" w:hAnsiTheme="majorBidi" w:cstheme="majorBidi"/>
          <w:sz w:val="18"/>
          <w:szCs w:val="18"/>
        </w:rPr>
        <w:t>Support Study, p</w:t>
      </w:r>
      <w:r w:rsidR="00384A0F">
        <w:rPr>
          <w:rFonts w:asciiTheme="majorBidi" w:hAnsiTheme="majorBidi" w:cstheme="majorBidi"/>
          <w:sz w:val="18"/>
          <w:szCs w:val="18"/>
        </w:rPr>
        <w:t>p</w:t>
      </w:r>
      <w:r w:rsidR="00BC7D9A" w:rsidRPr="00A628D0">
        <w:rPr>
          <w:rFonts w:asciiTheme="majorBidi" w:hAnsiTheme="majorBidi" w:cstheme="majorBidi"/>
          <w:sz w:val="18"/>
          <w:szCs w:val="18"/>
        </w:rPr>
        <w:t>. 1</w:t>
      </w:r>
      <w:r w:rsidR="00384A0F">
        <w:rPr>
          <w:rFonts w:asciiTheme="majorBidi" w:hAnsiTheme="majorBidi" w:cstheme="majorBidi"/>
          <w:sz w:val="18"/>
          <w:szCs w:val="18"/>
        </w:rPr>
        <w:t>1</w:t>
      </w:r>
      <w:r w:rsidR="00BC7D9A" w:rsidRPr="00A628D0">
        <w:rPr>
          <w:rFonts w:asciiTheme="majorBidi" w:hAnsiTheme="majorBidi" w:cstheme="majorBidi"/>
          <w:sz w:val="18"/>
          <w:szCs w:val="18"/>
        </w:rPr>
        <w:t>1</w:t>
      </w:r>
      <w:r w:rsidR="00384A0F">
        <w:rPr>
          <w:rFonts w:asciiTheme="majorBidi" w:hAnsiTheme="majorBidi" w:cstheme="majorBidi"/>
          <w:sz w:val="18"/>
          <w:szCs w:val="18"/>
        </w:rPr>
        <w:t>-113</w:t>
      </w:r>
      <w:r w:rsidR="00BC7D9A" w:rsidRPr="00A628D0">
        <w:rPr>
          <w:rFonts w:asciiTheme="majorBidi" w:hAnsiTheme="majorBidi" w:cstheme="majorBidi"/>
          <w:sz w:val="18"/>
          <w:szCs w:val="18"/>
        </w:rPr>
        <w:t>.</w:t>
      </w:r>
    </w:p>
  </w:footnote>
  <w:footnote w:id="138">
    <w:p w14:paraId="0A7B0A59" w14:textId="4AE80E4F" w:rsidR="008D39FD" w:rsidRPr="00A628D0" w:rsidRDefault="008D39FD" w:rsidP="00A628D0">
      <w:pPr>
        <w:pStyle w:val="FootnoteText"/>
        <w:spacing w:after="20"/>
        <w:rPr>
          <w:rFonts w:asciiTheme="majorBidi" w:hAnsiTheme="majorBidi" w:cstheme="majorBidi"/>
          <w:sz w:val="18"/>
          <w:szCs w:val="18"/>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D11031" w:rsidRPr="00A628D0">
        <w:rPr>
          <w:rFonts w:asciiTheme="majorBidi" w:hAnsiTheme="majorBidi" w:cstheme="majorBidi"/>
          <w:sz w:val="18"/>
          <w:szCs w:val="18"/>
        </w:rPr>
        <w:t xml:space="preserve">Quantitative assessments on this can be found in </w:t>
      </w:r>
      <w:r w:rsidR="00501EEF" w:rsidRPr="00A628D0">
        <w:rPr>
          <w:rFonts w:asciiTheme="majorBidi" w:hAnsiTheme="majorBidi" w:cstheme="majorBidi"/>
          <w:sz w:val="18"/>
          <w:szCs w:val="18"/>
        </w:rPr>
        <w:t xml:space="preserve">Annex </w:t>
      </w:r>
      <w:r w:rsidR="00CF4A4C" w:rsidRPr="00A628D0">
        <w:rPr>
          <w:rFonts w:asciiTheme="majorBidi" w:hAnsiTheme="majorBidi" w:cstheme="majorBidi"/>
          <w:sz w:val="18"/>
          <w:szCs w:val="18"/>
        </w:rPr>
        <w:t>II</w:t>
      </w:r>
      <w:r w:rsidR="002112A2" w:rsidRPr="00A628D0">
        <w:rPr>
          <w:rFonts w:asciiTheme="majorBidi" w:hAnsiTheme="majorBidi" w:cstheme="majorBidi"/>
          <w:sz w:val="18"/>
          <w:szCs w:val="18"/>
        </w:rPr>
        <w:t xml:space="preserve">. </w:t>
      </w:r>
    </w:p>
  </w:footnote>
  <w:footnote w:id="139">
    <w:p w14:paraId="6826E0FC" w14:textId="53018143" w:rsidR="5FF132C7" w:rsidRPr="0016776D" w:rsidRDefault="5FF132C7" w:rsidP="0016776D">
      <w:pPr>
        <w:pStyle w:val="FootnoteText"/>
        <w:spacing w:after="20"/>
        <w:rPr>
          <w:rFonts w:asciiTheme="majorBidi" w:hAnsiTheme="majorBidi" w:cstheme="majorBidi"/>
          <w:sz w:val="18"/>
          <w:szCs w:val="18"/>
          <w:lang w:val="en-IE"/>
        </w:rPr>
      </w:pPr>
      <w:r w:rsidRPr="0016776D">
        <w:rPr>
          <w:rStyle w:val="FootnoteReference"/>
          <w:rFonts w:asciiTheme="majorBidi" w:hAnsiTheme="majorBidi" w:cstheme="majorBidi"/>
          <w:sz w:val="18"/>
          <w:szCs w:val="18"/>
        </w:rPr>
        <w:footnoteRef/>
      </w:r>
      <w:r w:rsidRPr="0016776D">
        <w:rPr>
          <w:rFonts w:asciiTheme="majorBidi" w:hAnsiTheme="majorBidi" w:cstheme="majorBidi"/>
          <w:sz w:val="18"/>
          <w:szCs w:val="18"/>
        </w:rPr>
        <w:t xml:space="preserve"> O</w:t>
      </w:r>
      <w:r w:rsidRPr="0016776D">
        <w:rPr>
          <w:rFonts w:asciiTheme="majorBidi" w:hAnsiTheme="majorBidi" w:cstheme="majorBidi"/>
          <w:sz w:val="18"/>
          <w:szCs w:val="18"/>
          <w:lang w:val="en-US"/>
        </w:rPr>
        <w:t>nly this is presented above, but sensitivity analyses were also carried out with equal weights and with effectiveness and efficiency both at 40%, all of which produced the same ranking.</w:t>
      </w:r>
    </w:p>
  </w:footnote>
  <w:footnote w:id="140">
    <w:p w14:paraId="49156D0A" w14:textId="6CA410C7" w:rsidR="00143E18" w:rsidRPr="00A14861" w:rsidRDefault="00143E18">
      <w:pPr>
        <w:pStyle w:val="FootnoteText"/>
        <w:rPr>
          <w:lang w:val="en-US"/>
        </w:rPr>
      </w:pPr>
      <w:r>
        <w:rPr>
          <w:rStyle w:val="FootnoteReference"/>
        </w:rPr>
        <w:footnoteRef/>
      </w:r>
      <w:r>
        <w:t xml:space="preserve"> </w:t>
      </w:r>
      <w:r w:rsidRPr="00A14861">
        <w:rPr>
          <w:sz w:val="18"/>
          <w:szCs w:val="18"/>
          <w:lang w:val="en-US"/>
        </w:rPr>
        <w:t>On total effectiveness impacts, as measured by the success indicators and targets defined for the two sets of specific objectives, see chapter 9.</w:t>
      </w:r>
    </w:p>
  </w:footnote>
  <w:footnote w:id="141">
    <w:p w14:paraId="7DDE810E" w14:textId="2CDDB405" w:rsidR="00B60DEB" w:rsidRPr="00C04E7E" w:rsidRDefault="00B60DEB"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C04E7E">
        <w:rPr>
          <w:rFonts w:asciiTheme="majorBidi" w:hAnsiTheme="majorBidi" w:cstheme="majorBidi"/>
          <w:sz w:val="18"/>
          <w:szCs w:val="18"/>
          <w:lang w:val="en-IE"/>
        </w:rPr>
        <w:t xml:space="preserve"> Article 85 TFEU.</w:t>
      </w:r>
    </w:p>
  </w:footnote>
  <w:footnote w:id="142">
    <w:p w14:paraId="0D819944" w14:textId="56F7F5C6" w:rsidR="00B60DEB" w:rsidRPr="00C04E7E" w:rsidRDefault="00B60DEB"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C04E7E">
        <w:rPr>
          <w:rFonts w:asciiTheme="majorBidi" w:hAnsiTheme="majorBidi" w:cstheme="majorBidi"/>
          <w:sz w:val="18"/>
          <w:szCs w:val="18"/>
          <w:lang w:val="en-IE"/>
        </w:rPr>
        <w:t xml:space="preserve"> Article 10(4) EJR.</w:t>
      </w:r>
    </w:p>
  </w:footnote>
  <w:footnote w:id="143">
    <w:p w14:paraId="4819677E" w14:textId="344BBC0F" w:rsidR="00DB5A5A" w:rsidRPr="00A628D0" w:rsidRDefault="00DB5A5A" w:rsidP="00A628D0">
      <w:pPr>
        <w:pStyle w:val="FootnoteText"/>
        <w:spacing w:after="20"/>
        <w:rPr>
          <w:rFonts w:asciiTheme="majorBidi" w:hAnsiTheme="majorBidi" w:cstheme="majorBidi"/>
          <w:sz w:val="18"/>
          <w:szCs w:val="18"/>
          <w:lang w:val="en-IE"/>
        </w:rPr>
      </w:pPr>
      <w:r w:rsidRPr="00A628D0">
        <w:rPr>
          <w:rStyle w:val="FootnoteReference"/>
          <w:rFonts w:asciiTheme="majorBidi" w:hAnsiTheme="majorBidi" w:cstheme="majorBidi"/>
          <w:sz w:val="18"/>
          <w:szCs w:val="18"/>
        </w:rPr>
        <w:footnoteRef/>
      </w:r>
      <w:r w:rsidRPr="00A628D0">
        <w:rPr>
          <w:rFonts w:asciiTheme="majorBidi" w:hAnsiTheme="majorBidi" w:cstheme="majorBidi"/>
          <w:sz w:val="18"/>
          <w:szCs w:val="18"/>
        </w:rPr>
        <w:t xml:space="preserve"> </w:t>
      </w:r>
      <w:r w:rsidR="008746A3" w:rsidRPr="00A628D0">
        <w:rPr>
          <w:rFonts w:asciiTheme="majorBidi" w:hAnsiTheme="majorBidi" w:cstheme="majorBidi"/>
          <w:sz w:val="18"/>
          <w:szCs w:val="18"/>
        </w:rPr>
        <w:t>Council Conclusions on strengthening judicial cooperation with third countries in the fight against organised crime</w:t>
      </w:r>
      <w:r w:rsidR="002A538A" w:rsidRPr="00A628D0">
        <w:rPr>
          <w:rFonts w:asciiTheme="majorBidi" w:hAnsiTheme="majorBidi" w:cstheme="majorBidi"/>
          <w:sz w:val="18"/>
          <w:szCs w:val="18"/>
        </w:rPr>
        <w:t xml:space="preserve"> (18 June 2024)</w:t>
      </w:r>
      <w:r w:rsidR="008746A3" w:rsidRPr="00A628D0">
        <w:rPr>
          <w:rFonts w:asciiTheme="majorBidi" w:hAnsiTheme="majorBidi" w:cstheme="majorBidi"/>
          <w:sz w:val="18"/>
          <w:szCs w:val="18"/>
        </w:rPr>
        <w:t>.</w:t>
      </w:r>
      <w:r w:rsidR="00A57C32">
        <w:rPr>
          <w:rFonts w:asciiTheme="majorBidi" w:hAnsiTheme="majorBidi" w:cstheme="majorBidi"/>
          <w:sz w:val="18"/>
          <w:szCs w:val="18"/>
        </w:rPr>
        <w:t xml:space="preserve"> </w:t>
      </w:r>
      <w:r w:rsidR="00BA7062">
        <w:rPr>
          <w:rFonts w:asciiTheme="majorBidi" w:hAnsiTheme="majorBidi" w:cstheme="majorBidi"/>
          <w:sz w:val="18"/>
          <w:szCs w:val="18"/>
        </w:rPr>
        <w:t xml:space="preserve">Both </w:t>
      </w:r>
      <w:r w:rsidR="00BA7062" w:rsidRPr="00BA7062">
        <w:rPr>
          <w:rFonts w:asciiTheme="majorBidi" w:hAnsiTheme="majorBidi" w:cstheme="majorBidi"/>
          <w:sz w:val="18"/>
          <w:szCs w:val="18"/>
        </w:rPr>
        <w:t xml:space="preserve">ProtectEU </w:t>
      </w:r>
      <w:r w:rsidR="00BA7062">
        <w:rPr>
          <w:rFonts w:asciiTheme="majorBidi" w:hAnsiTheme="majorBidi" w:cstheme="majorBidi"/>
          <w:sz w:val="18"/>
          <w:szCs w:val="18"/>
        </w:rPr>
        <w:t xml:space="preserve">and the </w:t>
      </w:r>
      <w:r w:rsidR="00A57C32">
        <w:rPr>
          <w:rFonts w:asciiTheme="majorBidi" w:hAnsiTheme="majorBidi" w:cstheme="majorBidi"/>
          <w:sz w:val="18"/>
          <w:szCs w:val="18"/>
        </w:rPr>
        <w:t xml:space="preserve">White Paper </w:t>
      </w:r>
      <w:r w:rsidR="00D44E86">
        <w:rPr>
          <w:rFonts w:asciiTheme="majorBidi" w:hAnsiTheme="majorBidi" w:cstheme="majorBidi"/>
          <w:sz w:val="18"/>
          <w:szCs w:val="18"/>
        </w:rPr>
        <w:t xml:space="preserve">acknowledge Eurojust’s key role in facilitating the coordination among national judicial authorities and its contribution to the overall </w:t>
      </w:r>
      <w:r w:rsidR="00BA7062">
        <w:rPr>
          <w:rFonts w:asciiTheme="majorBidi" w:hAnsiTheme="majorBidi" w:cstheme="majorBidi"/>
          <w:sz w:val="18"/>
          <w:szCs w:val="18"/>
        </w:rPr>
        <w:t xml:space="preserve">JHA architecture and EU’s </w:t>
      </w:r>
      <w:r w:rsidR="00D44E86">
        <w:rPr>
          <w:rFonts w:asciiTheme="majorBidi" w:hAnsiTheme="majorBidi" w:cstheme="majorBidi"/>
          <w:sz w:val="18"/>
          <w:szCs w:val="18"/>
        </w:rPr>
        <w:t>AFA, which could be further improved (</w:t>
      </w:r>
      <w:r w:rsidR="00831FC5" w:rsidRPr="00831FC5">
        <w:rPr>
          <w:rFonts w:asciiTheme="majorBidi" w:hAnsiTheme="majorBidi" w:cstheme="majorBidi"/>
          <w:sz w:val="18"/>
          <w:szCs w:val="18"/>
        </w:rPr>
        <w:t>White Paper for the Anti-fraud Architecture Review, COM(2025) 546 final, 16.7.2025</w:t>
      </w:r>
      <w:r w:rsidR="00D44E86">
        <w:rPr>
          <w:rFonts w:asciiTheme="majorBidi" w:hAnsiTheme="majorBidi" w:cstheme="majorBidi"/>
          <w:sz w:val="18"/>
          <w:szCs w:val="18"/>
        </w:rPr>
        <w:t>)</w:t>
      </w:r>
      <w:r w:rsidR="00831FC5" w:rsidRPr="00831FC5">
        <w:rPr>
          <w:rFonts w:asciiTheme="majorBidi" w:hAnsiTheme="majorBidi" w:cstheme="majorBidi"/>
          <w:sz w:val="18"/>
          <w:szCs w:val="18"/>
        </w:rPr>
        <w:t>.</w:t>
      </w:r>
    </w:p>
  </w:footnote>
  <w:footnote w:id="144">
    <w:p w14:paraId="039EB038" w14:textId="6FD64199" w:rsidR="00D6483A" w:rsidRDefault="00D6483A">
      <w:pPr>
        <w:pStyle w:val="FootnoteText"/>
      </w:pPr>
      <w:r>
        <w:rPr>
          <w:rStyle w:val="FootnoteReference"/>
        </w:rPr>
        <w:footnoteRef/>
      </w:r>
      <w:r>
        <w:t xml:space="preserve"> </w:t>
      </w:r>
      <w:r w:rsidR="00382EE2">
        <w:t xml:space="preserve">‘… </w:t>
      </w:r>
      <w:r w:rsidR="00382EE2" w:rsidRPr="00A14861">
        <w:rPr>
          <w:rFonts w:asciiTheme="majorBidi" w:hAnsiTheme="majorBidi" w:cstheme="majorBidi"/>
          <w:sz w:val="18"/>
          <w:szCs w:val="18"/>
        </w:rPr>
        <w:t>a semi-automated hit/no-hit system tailored for the EPPO, Eurojust, Europol, and OLAF</w:t>
      </w:r>
      <w:r w:rsidR="00236ED4" w:rsidRPr="00A14861">
        <w:rPr>
          <w:rFonts w:asciiTheme="majorBidi" w:hAnsiTheme="majorBidi" w:cstheme="majorBidi"/>
          <w:sz w:val="18"/>
          <w:szCs w:val="18"/>
        </w:rPr>
        <w:t xml:space="preserve"> …</w:t>
      </w:r>
      <w:r w:rsidR="00382EE2" w:rsidRPr="00A14861">
        <w:rPr>
          <w:rFonts w:asciiTheme="majorBidi" w:hAnsiTheme="majorBidi" w:cstheme="majorBidi"/>
          <w:sz w:val="18"/>
          <w:szCs w:val="18"/>
        </w:rPr>
        <w:t xml:space="preserve"> could improve early detection of cross-border criminal patterns and facilitate cooperation</w:t>
      </w:r>
      <w:r w:rsidR="00236ED4" w:rsidRPr="00A14861">
        <w:rPr>
          <w:rFonts w:asciiTheme="majorBidi" w:hAnsiTheme="majorBidi" w:cstheme="majorBidi"/>
          <w:sz w:val="18"/>
          <w:szCs w:val="18"/>
        </w:rPr>
        <w:t>’ (White Paper</w:t>
      </w:r>
      <w:r w:rsidR="00236ED4">
        <w:t xml:space="preserve"> </w:t>
      </w:r>
      <w:r w:rsidR="00236ED4" w:rsidRPr="00831FC5">
        <w:rPr>
          <w:rFonts w:asciiTheme="majorBidi" w:hAnsiTheme="majorBidi" w:cstheme="majorBidi"/>
          <w:sz w:val="18"/>
          <w:szCs w:val="18"/>
        </w:rPr>
        <w:t>for the Anti-fraud Architecture Review,</w:t>
      </w:r>
      <w:r w:rsidR="00236ED4">
        <w:rPr>
          <w:rFonts w:asciiTheme="majorBidi" w:hAnsiTheme="majorBidi" w:cstheme="majorBidi"/>
          <w:sz w:val="18"/>
          <w:szCs w:val="18"/>
        </w:rPr>
        <w:t xml:space="preserve"> p. </w:t>
      </w:r>
      <w:r w:rsidR="00E5093C">
        <w:rPr>
          <w:rFonts w:asciiTheme="majorBidi" w:hAnsiTheme="majorBidi" w:cstheme="majorBidi"/>
          <w:sz w:val="18"/>
          <w:szCs w:val="18"/>
        </w:rPr>
        <w:t>12)</w:t>
      </w:r>
      <w:r w:rsidR="00382EE2" w:rsidRPr="00382EE2">
        <w:t>.</w:t>
      </w:r>
    </w:p>
  </w:footnote>
  <w:footnote w:id="145">
    <w:p w14:paraId="5841198E" w14:textId="31FDD267" w:rsidR="000D6D74" w:rsidRPr="000D6D74" w:rsidRDefault="000D6D74">
      <w:pPr>
        <w:pStyle w:val="FootnoteText"/>
      </w:pPr>
      <w:r>
        <w:rPr>
          <w:rStyle w:val="FootnoteReference"/>
        </w:rPr>
        <w:footnoteRef/>
      </w:r>
      <w:r>
        <w:t xml:space="preserve"> See also Annex 7 to this Impact Assessment</w:t>
      </w:r>
    </w:p>
  </w:footnote>
  <w:footnote w:id="146">
    <w:p w14:paraId="4301E605" w14:textId="0839DB88" w:rsidR="00521898" w:rsidRPr="00E43B13" w:rsidRDefault="00521898" w:rsidP="00521898">
      <w:pPr>
        <w:pStyle w:val="FootnoteText"/>
        <w:spacing w:after="20"/>
        <w:rPr>
          <w:rFonts w:asciiTheme="majorBidi" w:hAnsiTheme="majorBidi" w:cstheme="majorBidi"/>
          <w:sz w:val="18"/>
          <w:szCs w:val="18"/>
          <w:lang w:val="en-IE"/>
        </w:rPr>
      </w:pPr>
      <w:r w:rsidRPr="00E43B13">
        <w:rPr>
          <w:rStyle w:val="FootnoteReference"/>
          <w:rFonts w:asciiTheme="majorBidi" w:hAnsiTheme="majorBidi" w:cstheme="majorBidi"/>
          <w:sz w:val="18"/>
          <w:szCs w:val="18"/>
        </w:rPr>
        <w:footnoteRef/>
      </w:r>
      <w:r w:rsidRPr="00E43B13">
        <w:rPr>
          <w:rFonts w:asciiTheme="majorBidi" w:hAnsiTheme="majorBidi" w:cstheme="majorBidi"/>
          <w:sz w:val="18"/>
          <w:szCs w:val="18"/>
        </w:rPr>
        <w:t xml:space="preserve"> </w:t>
      </w:r>
      <w:r w:rsidRPr="00E43B13">
        <w:rPr>
          <w:rFonts w:asciiTheme="majorBidi" w:eastAsia="Times New Roman" w:hAnsiTheme="majorBidi" w:cstheme="majorBidi"/>
          <w:color w:val="323130"/>
          <w:sz w:val="18"/>
          <w:szCs w:val="18"/>
        </w:rPr>
        <w:t xml:space="preserve">SMART means that objectives are </w:t>
      </w:r>
      <w:r w:rsidRPr="00E43B13">
        <w:rPr>
          <w:rFonts w:asciiTheme="majorBidi" w:eastAsia="Times New Roman" w:hAnsiTheme="majorBidi" w:cstheme="majorBidi"/>
          <w:b/>
          <w:bCs/>
          <w:color w:val="323130"/>
          <w:sz w:val="18"/>
          <w:szCs w:val="18"/>
        </w:rPr>
        <w:t>S</w:t>
      </w:r>
      <w:r w:rsidRPr="00E43B13">
        <w:rPr>
          <w:rFonts w:asciiTheme="majorBidi" w:eastAsia="Times New Roman" w:hAnsiTheme="majorBidi" w:cstheme="majorBidi"/>
          <w:color w:val="323130"/>
          <w:sz w:val="18"/>
          <w:szCs w:val="18"/>
        </w:rPr>
        <w:t xml:space="preserve">pecific, </w:t>
      </w:r>
      <w:r w:rsidRPr="00E43B13">
        <w:rPr>
          <w:rFonts w:asciiTheme="majorBidi" w:eastAsia="Times New Roman" w:hAnsiTheme="majorBidi" w:cstheme="majorBidi"/>
          <w:b/>
          <w:bCs/>
          <w:color w:val="323130"/>
          <w:sz w:val="18"/>
          <w:szCs w:val="18"/>
        </w:rPr>
        <w:t>M</w:t>
      </w:r>
      <w:r w:rsidRPr="00E43B13">
        <w:rPr>
          <w:rFonts w:asciiTheme="majorBidi" w:eastAsia="Times New Roman" w:hAnsiTheme="majorBidi" w:cstheme="majorBidi"/>
          <w:color w:val="323130"/>
          <w:sz w:val="18"/>
          <w:szCs w:val="18"/>
        </w:rPr>
        <w:t xml:space="preserve">easurable, </w:t>
      </w:r>
      <w:r w:rsidRPr="00E43B13">
        <w:rPr>
          <w:rFonts w:asciiTheme="majorBidi" w:eastAsia="Times New Roman" w:hAnsiTheme="majorBidi" w:cstheme="majorBidi"/>
          <w:b/>
          <w:bCs/>
          <w:color w:val="323130"/>
          <w:sz w:val="18"/>
          <w:szCs w:val="18"/>
        </w:rPr>
        <w:t>A</w:t>
      </w:r>
      <w:r w:rsidRPr="00E43B13">
        <w:rPr>
          <w:rFonts w:asciiTheme="majorBidi" w:eastAsia="Times New Roman" w:hAnsiTheme="majorBidi" w:cstheme="majorBidi"/>
          <w:color w:val="323130"/>
          <w:sz w:val="18"/>
          <w:szCs w:val="18"/>
        </w:rPr>
        <w:t xml:space="preserve">ssignable, </w:t>
      </w:r>
      <w:r w:rsidRPr="00E43B13">
        <w:rPr>
          <w:rFonts w:asciiTheme="majorBidi" w:eastAsia="Times New Roman" w:hAnsiTheme="majorBidi" w:cstheme="majorBidi"/>
          <w:b/>
          <w:bCs/>
          <w:color w:val="323130"/>
          <w:sz w:val="18"/>
          <w:szCs w:val="18"/>
        </w:rPr>
        <w:t>R</w:t>
      </w:r>
      <w:r w:rsidRPr="00E43B13">
        <w:rPr>
          <w:rFonts w:asciiTheme="majorBidi" w:eastAsia="Times New Roman" w:hAnsiTheme="majorBidi" w:cstheme="majorBidi"/>
          <w:color w:val="323130"/>
          <w:sz w:val="18"/>
          <w:szCs w:val="18"/>
        </w:rPr>
        <w:t xml:space="preserve">ealistic and </w:t>
      </w:r>
      <w:r w:rsidRPr="00E43B13">
        <w:rPr>
          <w:rFonts w:asciiTheme="majorBidi" w:eastAsia="Times New Roman" w:hAnsiTheme="majorBidi" w:cstheme="majorBidi"/>
          <w:b/>
          <w:bCs/>
          <w:color w:val="323130"/>
          <w:sz w:val="18"/>
          <w:szCs w:val="18"/>
        </w:rPr>
        <w:t>T</w:t>
      </w:r>
      <w:r w:rsidRPr="00E43B13">
        <w:rPr>
          <w:rFonts w:asciiTheme="majorBidi" w:eastAsia="Times New Roman" w:hAnsiTheme="majorBidi" w:cstheme="majorBidi"/>
          <w:color w:val="323130"/>
          <w:sz w:val="18"/>
          <w:szCs w:val="18"/>
        </w:rPr>
        <w:t>ime-bound.</w:t>
      </w:r>
    </w:p>
  </w:footnote>
  <w:footnote w:id="147">
    <w:p w14:paraId="2F0E65F6" w14:textId="33AB9712" w:rsidR="00CB26B3" w:rsidRPr="00532A30" w:rsidRDefault="00CB26B3">
      <w:pPr>
        <w:pStyle w:val="FootnoteText"/>
      </w:pPr>
      <w:r w:rsidRPr="00E43B13">
        <w:rPr>
          <w:rStyle w:val="FootnoteReference"/>
          <w:sz w:val="18"/>
          <w:szCs w:val="18"/>
        </w:rPr>
        <w:footnoteRef/>
      </w:r>
      <w:r w:rsidRPr="00E43B13">
        <w:rPr>
          <w:sz w:val="18"/>
          <w:szCs w:val="18"/>
        </w:rPr>
        <w:t xml:space="preserve"> </w:t>
      </w:r>
      <w:r w:rsidR="00532A30" w:rsidRPr="00E43B13">
        <w:rPr>
          <w:rFonts w:eastAsia="Times New Roman"/>
          <w:sz w:val="18"/>
          <w:szCs w:val="18"/>
        </w:rPr>
        <w:t xml:space="preserve">RACER </w:t>
      </w:r>
      <w:r w:rsidR="00991A91" w:rsidRPr="00E43B13">
        <w:rPr>
          <w:rFonts w:eastAsia="Times New Roman"/>
          <w:sz w:val="18"/>
          <w:szCs w:val="18"/>
        </w:rPr>
        <w:t>means that indicators</w:t>
      </w:r>
      <w:r w:rsidR="00532A30" w:rsidRPr="00E43B13">
        <w:rPr>
          <w:rFonts w:eastAsia="Times New Roman"/>
          <w:sz w:val="18"/>
          <w:szCs w:val="18"/>
        </w:rPr>
        <w:t xml:space="preserve"> are both Relevant, Accepted, Credible, Easy to monitor and Robust</w:t>
      </w:r>
      <w:r w:rsidR="00991A91" w:rsidRPr="00E43B13">
        <w:rPr>
          <w:rFonts w:eastAsia="Times New Roman"/>
          <w:sz w:val="18"/>
          <w:szCs w:val="18"/>
        </w:rPr>
        <w:t>.</w:t>
      </w:r>
    </w:p>
  </w:footnote>
  <w:footnote w:id="148">
    <w:p w14:paraId="59AB3B07" w14:textId="118EC06F" w:rsidR="008719D7" w:rsidRPr="00C04E7E" w:rsidRDefault="008719D7">
      <w:pPr>
        <w:pStyle w:val="FootnoteText"/>
        <w:rPr>
          <w:lang w:val="en-IE"/>
        </w:rPr>
      </w:pPr>
      <w:r w:rsidRPr="00C04E7E">
        <w:rPr>
          <w:rStyle w:val="FootnoteReference"/>
          <w:sz w:val="18"/>
          <w:szCs w:val="18"/>
        </w:rPr>
        <w:footnoteRef/>
      </w:r>
      <w:r w:rsidRPr="00C04E7E">
        <w:rPr>
          <w:sz w:val="18"/>
          <w:szCs w:val="18"/>
        </w:rPr>
        <w:t xml:space="preserve"> </w:t>
      </w:r>
      <w:r w:rsidR="009A7D1A">
        <w:rPr>
          <w:sz w:val="18"/>
          <w:szCs w:val="18"/>
        </w:rPr>
        <w:t>Data</w:t>
      </w:r>
      <w:r w:rsidR="008C0347" w:rsidRPr="00C04E7E">
        <w:rPr>
          <w:sz w:val="18"/>
          <w:szCs w:val="18"/>
        </w:rPr>
        <w:t xml:space="preserve"> on the number and type of cases handled by Eurojust are published annually in Eurojust’s Annual Reports and </w:t>
      </w:r>
      <w:r w:rsidR="00833DE7">
        <w:rPr>
          <w:sz w:val="18"/>
          <w:szCs w:val="18"/>
        </w:rPr>
        <w:t>CAARs</w:t>
      </w:r>
      <w:r w:rsidR="008C0347" w:rsidRPr="00C04E7E">
        <w:rPr>
          <w:sz w:val="18"/>
          <w:szCs w:val="18"/>
        </w:rPr>
        <w:t>.</w:t>
      </w:r>
      <w:r w:rsidR="00494617">
        <w:rPr>
          <w:sz w:val="18"/>
          <w:szCs w:val="18"/>
        </w:rPr>
        <w:t xml:space="preserve"> Between 2020 and 2025, Eurojust opened </w:t>
      </w:r>
      <w:r w:rsidR="0099238E">
        <w:rPr>
          <w:sz w:val="18"/>
          <w:szCs w:val="18"/>
        </w:rPr>
        <w:t>64 own initiative cases</w:t>
      </w:r>
      <w:r w:rsidR="00090BC8">
        <w:rPr>
          <w:sz w:val="18"/>
          <w:szCs w:val="18"/>
        </w:rPr>
        <w:t>,</w:t>
      </w:r>
      <w:r w:rsidR="00241AA9">
        <w:rPr>
          <w:sz w:val="18"/>
          <w:szCs w:val="18"/>
        </w:rPr>
        <w:t xml:space="preserve"> Eurojust Annual Report 2025, p</w:t>
      </w:r>
      <w:r w:rsidR="00586C65">
        <w:rPr>
          <w:sz w:val="18"/>
          <w:szCs w:val="18"/>
        </w:rPr>
        <w:t>p</w:t>
      </w:r>
      <w:r w:rsidR="00241AA9">
        <w:rPr>
          <w:sz w:val="18"/>
          <w:szCs w:val="18"/>
        </w:rPr>
        <w:t xml:space="preserve">. </w:t>
      </w:r>
      <w:r w:rsidR="004C2997">
        <w:rPr>
          <w:sz w:val="18"/>
          <w:szCs w:val="18"/>
        </w:rPr>
        <w:t>46-47</w:t>
      </w:r>
      <w:r w:rsidR="00241AA9">
        <w:rPr>
          <w:sz w:val="18"/>
          <w:szCs w:val="18"/>
        </w:rPr>
        <w:t>.</w:t>
      </w:r>
    </w:p>
  </w:footnote>
  <w:footnote w:id="149">
    <w:p w14:paraId="3FD776DD" w14:textId="34AE9071" w:rsidR="00AC5EEA" w:rsidRPr="00C04E7E" w:rsidRDefault="00AC5EEA" w:rsidP="00C267EF">
      <w:pPr>
        <w:pStyle w:val="FootnoteText"/>
        <w:rPr>
          <w:lang w:val="en-IE"/>
        </w:rPr>
      </w:pPr>
      <w:r>
        <w:rPr>
          <w:rStyle w:val="FootnoteReference"/>
        </w:rPr>
        <w:footnoteRef/>
      </w:r>
      <w:r>
        <w:t xml:space="preserve"> </w:t>
      </w:r>
      <w:r w:rsidR="00C267EF" w:rsidRPr="00C267EF">
        <w:t>In 2025, following discussions in the E</w:t>
      </w:r>
      <w:r w:rsidR="00C267EF">
        <w:t>B</w:t>
      </w:r>
      <w:r w:rsidR="00C267EF" w:rsidRPr="00C267EF">
        <w:t xml:space="preserve"> and the College in which the Commission was involved, Eurojust adopted dedicated KPI</w:t>
      </w:r>
      <w:r w:rsidR="004B2CE0">
        <w:t>s on case-complexity.</w:t>
      </w:r>
      <w:r w:rsidR="00C267EF" w:rsidRPr="00C267EF">
        <w:t xml:space="preserve"> </w:t>
      </w:r>
      <w:r w:rsidR="004B2CE0">
        <w:t>On this basis,</w:t>
      </w:r>
      <w:r w:rsidR="00C267EF" w:rsidRPr="00C267EF">
        <w:t xml:space="preserve"> simple cases</w:t>
      </w:r>
      <w:r w:rsidR="004B2CE0">
        <w:t xml:space="preserve"> </w:t>
      </w:r>
      <w:r w:rsidR="00C267EF" w:rsidRPr="00C267EF">
        <w:t>are identified as bilateral cases which</w:t>
      </w:r>
      <w:r w:rsidR="00DE5EB3">
        <w:t xml:space="preserve"> </w:t>
      </w:r>
      <w:r w:rsidR="00E07419">
        <w:t xml:space="preserve">entail a single </w:t>
      </w:r>
      <w:r w:rsidR="00A93E15">
        <w:t xml:space="preserve">judicial cooperation instrument or </w:t>
      </w:r>
      <w:r w:rsidR="007A4C7B">
        <w:t>two of the same instruments, and</w:t>
      </w:r>
      <w:r w:rsidR="00C267EF" w:rsidRPr="00C267EF">
        <w:t xml:space="preserve"> do not require</w:t>
      </w:r>
      <w:r w:rsidR="007E06AC">
        <w:t xml:space="preserve"> the setting up of</w:t>
      </w:r>
      <w:r w:rsidR="00C267EF" w:rsidRPr="00C267EF">
        <w:t xml:space="preserve"> </w:t>
      </w:r>
      <w:r w:rsidR="00D05094">
        <w:t>CMs/CCs or JITs</w:t>
      </w:r>
      <w:r w:rsidR="00C267EF" w:rsidRPr="00C267EF">
        <w:t>, nor sustained coordination involving operational or legal complexities.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97F89" w14:textId="77777777" w:rsidR="005028E8" w:rsidRPr="005028E8" w:rsidRDefault="005028E8" w:rsidP="005028E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68180" w14:textId="77777777" w:rsidR="005028E8" w:rsidRPr="005028E8" w:rsidRDefault="005028E8" w:rsidP="005028E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9F8C2" w14:textId="77777777" w:rsidR="005028E8" w:rsidRPr="005028E8" w:rsidRDefault="005028E8" w:rsidP="005028E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EC75F" w14:textId="0BAB4E8C" w:rsidR="00CB14B2" w:rsidRDefault="00CB14B2" w:rsidP="000E30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5949F" w14:textId="77777777" w:rsidR="00CB14B2" w:rsidRDefault="00CB14B2" w:rsidP="000E30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97551" w14:textId="77777777" w:rsidR="00CB14B2" w:rsidRDefault="00CB14B2" w:rsidP="000E30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B19C"/>
    <w:multiLevelType w:val="hybridMultilevel"/>
    <w:tmpl w:val="FFFFFFFF"/>
    <w:lvl w:ilvl="0" w:tplc="169006D8">
      <w:start w:val="1"/>
      <w:numFmt w:val="bullet"/>
      <w:lvlText w:val=""/>
      <w:lvlJc w:val="left"/>
      <w:pPr>
        <w:ind w:left="720" w:hanging="360"/>
      </w:pPr>
      <w:rPr>
        <w:rFonts w:ascii="Symbol" w:hAnsi="Symbol" w:hint="default"/>
      </w:rPr>
    </w:lvl>
    <w:lvl w:ilvl="1" w:tplc="D918EAF8">
      <w:start w:val="1"/>
      <w:numFmt w:val="bullet"/>
      <w:lvlText w:val="o"/>
      <w:lvlJc w:val="left"/>
      <w:pPr>
        <w:ind w:left="1440" w:hanging="360"/>
      </w:pPr>
      <w:rPr>
        <w:rFonts w:ascii="Courier New" w:hAnsi="Courier New" w:hint="default"/>
      </w:rPr>
    </w:lvl>
    <w:lvl w:ilvl="2" w:tplc="EF8EDA4C">
      <w:start w:val="1"/>
      <w:numFmt w:val="bullet"/>
      <w:lvlText w:val=""/>
      <w:lvlJc w:val="left"/>
      <w:pPr>
        <w:ind w:left="2160" w:hanging="360"/>
      </w:pPr>
      <w:rPr>
        <w:rFonts w:ascii="Wingdings" w:hAnsi="Wingdings" w:hint="default"/>
      </w:rPr>
    </w:lvl>
    <w:lvl w:ilvl="3" w:tplc="0D8E593E">
      <w:start w:val="1"/>
      <w:numFmt w:val="bullet"/>
      <w:lvlText w:val=""/>
      <w:lvlJc w:val="left"/>
      <w:pPr>
        <w:ind w:left="2880" w:hanging="360"/>
      </w:pPr>
      <w:rPr>
        <w:rFonts w:ascii="Symbol" w:hAnsi="Symbol" w:hint="default"/>
      </w:rPr>
    </w:lvl>
    <w:lvl w:ilvl="4" w:tplc="0748AB5C">
      <w:start w:val="1"/>
      <w:numFmt w:val="bullet"/>
      <w:lvlText w:val="o"/>
      <w:lvlJc w:val="left"/>
      <w:pPr>
        <w:ind w:left="3600" w:hanging="360"/>
      </w:pPr>
      <w:rPr>
        <w:rFonts w:ascii="Courier New" w:hAnsi="Courier New" w:hint="default"/>
      </w:rPr>
    </w:lvl>
    <w:lvl w:ilvl="5" w:tplc="7218A1C6">
      <w:start w:val="1"/>
      <w:numFmt w:val="bullet"/>
      <w:lvlText w:val=""/>
      <w:lvlJc w:val="left"/>
      <w:pPr>
        <w:ind w:left="4320" w:hanging="360"/>
      </w:pPr>
      <w:rPr>
        <w:rFonts w:ascii="Wingdings" w:hAnsi="Wingdings" w:hint="default"/>
      </w:rPr>
    </w:lvl>
    <w:lvl w:ilvl="6" w:tplc="9146AA4A">
      <w:start w:val="1"/>
      <w:numFmt w:val="bullet"/>
      <w:lvlText w:val=""/>
      <w:lvlJc w:val="left"/>
      <w:pPr>
        <w:ind w:left="5040" w:hanging="360"/>
      </w:pPr>
      <w:rPr>
        <w:rFonts w:ascii="Symbol" w:hAnsi="Symbol" w:hint="default"/>
      </w:rPr>
    </w:lvl>
    <w:lvl w:ilvl="7" w:tplc="6B40DF66">
      <w:start w:val="1"/>
      <w:numFmt w:val="bullet"/>
      <w:lvlText w:val="o"/>
      <w:lvlJc w:val="left"/>
      <w:pPr>
        <w:ind w:left="5760" w:hanging="360"/>
      </w:pPr>
      <w:rPr>
        <w:rFonts w:ascii="Courier New" w:hAnsi="Courier New" w:hint="default"/>
      </w:rPr>
    </w:lvl>
    <w:lvl w:ilvl="8" w:tplc="E88CF800">
      <w:start w:val="1"/>
      <w:numFmt w:val="bullet"/>
      <w:lvlText w:val=""/>
      <w:lvlJc w:val="left"/>
      <w:pPr>
        <w:ind w:left="6480" w:hanging="360"/>
      </w:pPr>
      <w:rPr>
        <w:rFonts w:ascii="Wingdings" w:hAnsi="Wingdings" w:hint="default"/>
      </w:rPr>
    </w:lvl>
  </w:abstractNum>
  <w:abstractNum w:abstractNumId="1" w15:restartNumberingAfterBreak="0">
    <w:nsid w:val="052905EB"/>
    <w:multiLevelType w:val="hybridMultilevel"/>
    <w:tmpl w:val="FFFFFFFF"/>
    <w:lvl w:ilvl="0" w:tplc="9490C4A0">
      <w:start w:val="1"/>
      <w:numFmt w:val="bullet"/>
      <w:lvlText w:val=""/>
      <w:lvlJc w:val="left"/>
      <w:pPr>
        <w:ind w:left="1080" w:hanging="360"/>
      </w:pPr>
      <w:rPr>
        <w:rFonts w:ascii="Symbol" w:hAnsi="Symbol" w:hint="default"/>
      </w:rPr>
    </w:lvl>
    <w:lvl w:ilvl="1" w:tplc="AABA4BE8">
      <w:start w:val="1"/>
      <w:numFmt w:val="bullet"/>
      <w:lvlText w:val="o"/>
      <w:lvlJc w:val="left"/>
      <w:pPr>
        <w:ind w:left="1800" w:hanging="360"/>
      </w:pPr>
      <w:rPr>
        <w:rFonts w:ascii="Courier New" w:hAnsi="Courier New" w:hint="default"/>
      </w:rPr>
    </w:lvl>
    <w:lvl w:ilvl="2" w:tplc="72409558">
      <w:start w:val="1"/>
      <w:numFmt w:val="bullet"/>
      <w:lvlText w:val=""/>
      <w:lvlJc w:val="left"/>
      <w:pPr>
        <w:ind w:left="2520" w:hanging="360"/>
      </w:pPr>
      <w:rPr>
        <w:rFonts w:ascii="Wingdings" w:hAnsi="Wingdings" w:hint="default"/>
      </w:rPr>
    </w:lvl>
    <w:lvl w:ilvl="3" w:tplc="C88A0DEA">
      <w:start w:val="1"/>
      <w:numFmt w:val="bullet"/>
      <w:lvlText w:val=""/>
      <w:lvlJc w:val="left"/>
      <w:pPr>
        <w:ind w:left="3240" w:hanging="360"/>
      </w:pPr>
      <w:rPr>
        <w:rFonts w:ascii="Symbol" w:hAnsi="Symbol" w:hint="default"/>
      </w:rPr>
    </w:lvl>
    <w:lvl w:ilvl="4" w:tplc="24ECE07A">
      <w:start w:val="1"/>
      <w:numFmt w:val="bullet"/>
      <w:lvlText w:val="o"/>
      <w:lvlJc w:val="left"/>
      <w:pPr>
        <w:ind w:left="3960" w:hanging="360"/>
      </w:pPr>
      <w:rPr>
        <w:rFonts w:ascii="Courier New" w:hAnsi="Courier New" w:hint="default"/>
      </w:rPr>
    </w:lvl>
    <w:lvl w:ilvl="5" w:tplc="6A5474F0">
      <w:start w:val="1"/>
      <w:numFmt w:val="bullet"/>
      <w:lvlText w:val=""/>
      <w:lvlJc w:val="left"/>
      <w:pPr>
        <w:ind w:left="4680" w:hanging="360"/>
      </w:pPr>
      <w:rPr>
        <w:rFonts w:ascii="Wingdings" w:hAnsi="Wingdings" w:hint="default"/>
      </w:rPr>
    </w:lvl>
    <w:lvl w:ilvl="6" w:tplc="8AFECCB0">
      <w:start w:val="1"/>
      <w:numFmt w:val="bullet"/>
      <w:lvlText w:val=""/>
      <w:lvlJc w:val="left"/>
      <w:pPr>
        <w:ind w:left="5400" w:hanging="360"/>
      </w:pPr>
      <w:rPr>
        <w:rFonts w:ascii="Symbol" w:hAnsi="Symbol" w:hint="default"/>
      </w:rPr>
    </w:lvl>
    <w:lvl w:ilvl="7" w:tplc="3A949D1A">
      <w:start w:val="1"/>
      <w:numFmt w:val="bullet"/>
      <w:lvlText w:val="o"/>
      <w:lvlJc w:val="left"/>
      <w:pPr>
        <w:ind w:left="6120" w:hanging="360"/>
      </w:pPr>
      <w:rPr>
        <w:rFonts w:ascii="Courier New" w:hAnsi="Courier New" w:hint="default"/>
      </w:rPr>
    </w:lvl>
    <w:lvl w:ilvl="8" w:tplc="68724460">
      <w:start w:val="1"/>
      <w:numFmt w:val="bullet"/>
      <w:lvlText w:val=""/>
      <w:lvlJc w:val="left"/>
      <w:pPr>
        <w:ind w:left="6840" w:hanging="360"/>
      </w:pPr>
      <w:rPr>
        <w:rFonts w:ascii="Wingdings" w:hAnsi="Wingdings" w:hint="default"/>
      </w:rPr>
    </w:lvl>
  </w:abstractNum>
  <w:abstractNum w:abstractNumId="2" w15:restartNumberingAfterBreak="0">
    <w:nsid w:val="05FCC9EF"/>
    <w:multiLevelType w:val="hybridMultilevel"/>
    <w:tmpl w:val="FFFFFFFF"/>
    <w:lvl w:ilvl="0" w:tplc="4540F68A">
      <w:start w:val="1"/>
      <w:numFmt w:val="bullet"/>
      <w:lvlText w:val=""/>
      <w:lvlJc w:val="left"/>
      <w:pPr>
        <w:ind w:left="720" w:hanging="360"/>
      </w:pPr>
      <w:rPr>
        <w:rFonts w:ascii="Symbol" w:hAnsi="Symbol" w:hint="default"/>
      </w:rPr>
    </w:lvl>
    <w:lvl w:ilvl="1" w:tplc="D082C61A">
      <w:start w:val="1"/>
      <w:numFmt w:val="bullet"/>
      <w:lvlText w:val="o"/>
      <w:lvlJc w:val="left"/>
      <w:pPr>
        <w:ind w:left="1440" w:hanging="360"/>
      </w:pPr>
      <w:rPr>
        <w:rFonts w:ascii="Courier New" w:hAnsi="Courier New" w:hint="default"/>
      </w:rPr>
    </w:lvl>
    <w:lvl w:ilvl="2" w:tplc="61D6C500">
      <w:start w:val="1"/>
      <w:numFmt w:val="bullet"/>
      <w:lvlText w:val=""/>
      <w:lvlJc w:val="left"/>
      <w:pPr>
        <w:ind w:left="2160" w:hanging="360"/>
      </w:pPr>
      <w:rPr>
        <w:rFonts w:ascii="Wingdings" w:hAnsi="Wingdings" w:hint="default"/>
      </w:rPr>
    </w:lvl>
    <w:lvl w:ilvl="3" w:tplc="06205B92">
      <w:start w:val="1"/>
      <w:numFmt w:val="bullet"/>
      <w:lvlText w:val=""/>
      <w:lvlJc w:val="left"/>
      <w:pPr>
        <w:ind w:left="2880" w:hanging="360"/>
      </w:pPr>
      <w:rPr>
        <w:rFonts w:ascii="Symbol" w:hAnsi="Symbol" w:hint="default"/>
      </w:rPr>
    </w:lvl>
    <w:lvl w:ilvl="4" w:tplc="6AFA6AA6">
      <w:start w:val="1"/>
      <w:numFmt w:val="bullet"/>
      <w:lvlText w:val="o"/>
      <w:lvlJc w:val="left"/>
      <w:pPr>
        <w:ind w:left="3600" w:hanging="360"/>
      </w:pPr>
      <w:rPr>
        <w:rFonts w:ascii="Courier New" w:hAnsi="Courier New" w:hint="default"/>
      </w:rPr>
    </w:lvl>
    <w:lvl w:ilvl="5" w:tplc="F77AB54E">
      <w:start w:val="1"/>
      <w:numFmt w:val="bullet"/>
      <w:lvlText w:val=""/>
      <w:lvlJc w:val="left"/>
      <w:pPr>
        <w:ind w:left="4320" w:hanging="360"/>
      </w:pPr>
      <w:rPr>
        <w:rFonts w:ascii="Wingdings" w:hAnsi="Wingdings" w:hint="default"/>
      </w:rPr>
    </w:lvl>
    <w:lvl w:ilvl="6" w:tplc="29029EC0">
      <w:start w:val="1"/>
      <w:numFmt w:val="bullet"/>
      <w:lvlText w:val=""/>
      <w:lvlJc w:val="left"/>
      <w:pPr>
        <w:ind w:left="5040" w:hanging="360"/>
      </w:pPr>
      <w:rPr>
        <w:rFonts w:ascii="Symbol" w:hAnsi="Symbol" w:hint="default"/>
      </w:rPr>
    </w:lvl>
    <w:lvl w:ilvl="7" w:tplc="9B00E18C">
      <w:start w:val="1"/>
      <w:numFmt w:val="bullet"/>
      <w:lvlText w:val="o"/>
      <w:lvlJc w:val="left"/>
      <w:pPr>
        <w:ind w:left="5760" w:hanging="360"/>
      </w:pPr>
      <w:rPr>
        <w:rFonts w:ascii="Courier New" w:hAnsi="Courier New" w:hint="default"/>
      </w:rPr>
    </w:lvl>
    <w:lvl w:ilvl="8" w:tplc="6AD0083C">
      <w:start w:val="1"/>
      <w:numFmt w:val="bullet"/>
      <w:lvlText w:val=""/>
      <w:lvlJc w:val="left"/>
      <w:pPr>
        <w:ind w:left="6480" w:hanging="360"/>
      </w:pPr>
      <w:rPr>
        <w:rFonts w:ascii="Wingdings" w:hAnsi="Wingdings" w:hint="default"/>
      </w:rPr>
    </w:lvl>
  </w:abstractNum>
  <w:abstractNum w:abstractNumId="3" w15:restartNumberingAfterBreak="0">
    <w:nsid w:val="07711C81"/>
    <w:multiLevelType w:val="hybridMultilevel"/>
    <w:tmpl w:val="71229032"/>
    <w:lvl w:ilvl="0" w:tplc="04070001">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4" w15:restartNumberingAfterBreak="0">
    <w:nsid w:val="07A8DFD6"/>
    <w:multiLevelType w:val="hybridMultilevel"/>
    <w:tmpl w:val="FFFFFFFF"/>
    <w:lvl w:ilvl="0" w:tplc="E6EED1D4">
      <w:start w:val="1"/>
      <w:numFmt w:val="bullet"/>
      <w:lvlText w:val=""/>
      <w:lvlJc w:val="left"/>
      <w:pPr>
        <w:ind w:left="720" w:hanging="360"/>
      </w:pPr>
      <w:rPr>
        <w:rFonts w:ascii="Symbol" w:hAnsi="Symbol" w:hint="default"/>
      </w:rPr>
    </w:lvl>
    <w:lvl w:ilvl="1" w:tplc="6478CE28">
      <w:start w:val="1"/>
      <w:numFmt w:val="bullet"/>
      <w:lvlText w:val="o"/>
      <w:lvlJc w:val="left"/>
      <w:pPr>
        <w:ind w:left="1440" w:hanging="360"/>
      </w:pPr>
      <w:rPr>
        <w:rFonts w:ascii="Courier New" w:hAnsi="Courier New" w:hint="default"/>
      </w:rPr>
    </w:lvl>
    <w:lvl w:ilvl="2" w:tplc="492ED75E">
      <w:start w:val="1"/>
      <w:numFmt w:val="bullet"/>
      <w:lvlText w:val=""/>
      <w:lvlJc w:val="left"/>
      <w:pPr>
        <w:ind w:left="2160" w:hanging="360"/>
      </w:pPr>
      <w:rPr>
        <w:rFonts w:ascii="Wingdings" w:hAnsi="Wingdings" w:hint="default"/>
      </w:rPr>
    </w:lvl>
    <w:lvl w:ilvl="3" w:tplc="CA8E6232">
      <w:start w:val="1"/>
      <w:numFmt w:val="bullet"/>
      <w:lvlText w:val=""/>
      <w:lvlJc w:val="left"/>
      <w:pPr>
        <w:ind w:left="2880" w:hanging="360"/>
      </w:pPr>
      <w:rPr>
        <w:rFonts w:ascii="Symbol" w:hAnsi="Symbol" w:hint="default"/>
      </w:rPr>
    </w:lvl>
    <w:lvl w:ilvl="4" w:tplc="78840246">
      <w:start w:val="1"/>
      <w:numFmt w:val="bullet"/>
      <w:lvlText w:val="o"/>
      <w:lvlJc w:val="left"/>
      <w:pPr>
        <w:ind w:left="3600" w:hanging="360"/>
      </w:pPr>
      <w:rPr>
        <w:rFonts w:ascii="Courier New" w:hAnsi="Courier New" w:hint="default"/>
      </w:rPr>
    </w:lvl>
    <w:lvl w:ilvl="5" w:tplc="76CAB30A">
      <w:start w:val="1"/>
      <w:numFmt w:val="bullet"/>
      <w:lvlText w:val=""/>
      <w:lvlJc w:val="left"/>
      <w:pPr>
        <w:ind w:left="4320" w:hanging="360"/>
      </w:pPr>
      <w:rPr>
        <w:rFonts w:ascii="Wingdings" w:hAnsi="Wingdings" w:hint="default"/>
      </w:rPr>
    </w:lvl>
    <w:lvl w:ilvl="6" w:tplc="1666A7D4">
      <w:start w:val="1"/>
      <w:numFmt w:val="bullet"/>
      <w:lvlText w:val=""/>
      <w:lvlJc w:val="left"/>
      <w:pPr>
        <w:ind w:left="5040" w:hanging="360"/>
      </w:pPr>
      <w:rPr>
        <w:rFonts w:ascii="Symbol" w:hAnsi="Symbol" w:hint="default"/>
      </w:rPr>
    </w:lvl>
    <w:lvl w:ilvl="7" w:tplc="EB8299AC">
      <w:start w:val="1"/>
      <w:numFmt w:val="bullet"/>
      <w:lvlText w:val="o"/>
      <w:lvlJc w:val="left"/>
      <w:pPr>
        <w:ind w:left="5760" w:hanging="360"/>
      </w:pPr>
      <w:rPr>
        <w:rFonts w:ascii="Courier New" w:hAnsi="Courier New" w:hint="default"/>
      </w:rPr>
    </w:lvl>
    <w:lvl w:ilvl="8" w:tplc="035677CA">
      <w:start w:val="1"/>
      <w:numFmt w:val="bullet"/>
      <w:lvlText w:val=""/>
      <w:lvlJc w:val="left"/>
      <w:pPr>
        <w:ind w:left="6480" w:hanging="360"/>
      </w:pPr>
      <w:rPr>
        <w:rFonts w:ascii="Wingdings" w:hAnsi="Wingdings" w:hint="default"/>
      </w:rPr>
    </w:lvl>
  </w:abstractNum>
  <w:abstractNum w:abstractNumId="5" w15:restartNumberingAfterBreak="0">
    <w:nsid w:val="13EF1659"/>
    <w:multiLevelType w:val="hybridMultilevel"/>
    <w:tmpl w:val="FFFFFFFF"/>
    <w:lvl w:ilvl="0" w:tplc="D22EDA94">
      <w:start w:val="1"/>
      <w:numFmt w:val="bullet"/>
      <w:lvlText w:val=""/>
      <w:lvlJc w:val="left"/>
      <w:pPr>
        <w:ind w:left="720" w:hanging="360"/>
      </w:pPr>
      <w:rPr>
        <w:rFonts w:ascii="Symbol" w:hAnsi="Symbol" w:hint="default"/>
      </w:rPr>
    </w:lvl>
    <w:lvl w:ilvl="1" w:tplc="12244E84">
      <w:start w:val="1"/>
      <w:numFmt w:val="bullet"/>
      <w:lvlText w:val="o"/>
      <w:lvlJc w:val="left"/>
      <w:pPr>
        <w:ind w:left="1440" w:hanging="360"/>
      </w:pPr>
      <w:rPr>
        <w:rFonts w:ascii="Courier New" w:hAnsi="Courier New" w:hint="default"/>
      </w:rPr>
    </w:lvl>
    <w:lvl w:ilvl="2" w:tplc="8F900CA8">
      <w:start w:val="1"/>
      <w:numFmt w:val="bullet"/>
      <w:lvlText w:val=""/>
      <w:lvlJc w:val="left"/>
      <w:pPr>
        <w:ind w:left="2160" w:hanging="360"/>
      </w:pPr>
      <w:rPr>
        <w:rFonts w:ascii="Wingdings" w:hAnsi="Wingdings" w:hint="default"/>
      </w:rPr>
    </w:lvl>
    <w:lvl w:ilvl="3" w:tplc="E93C571C">
      <w:start w:val="1"/>
      <w:numFmt w:val="bullet"/>
      <w:lvlText w:val=""/>
      <w:lvlJc w:val="left"/>
      <w:pPr>
        <w:ind w:left="2880" w:hanging="360"/>
      </w:pPr>
      <w:rPr>
        <w:rFonts w:ascii="Symbol" w:hAnsi="Symbol" w:hint="default"/>
      </w:rPr>
    </w:lvl>
    <w:lvl w:ilvl="4" w:tplc="3D925ACA">
      <w:start w:val="1"/>
      <w:numFmt w:val="bullet"/>
      <w:lvlText w:val="o"/>
      <w:lvlJc w:val="left"/>
      <w:pPr>
        <w:ind w:left="3600" w:hanging="360"/>
      </w:pPr>
      <w:rPr>
        <w:rFonts w:ascii="Courier New" w:hAnsi="Courier New" w:hint="default"/>
      </w:rPr>
    </w:lvl>
    <w:lvl w:ilvl="5" w:tplc="5E4CFAC2">
      <w:start w:val="1"/>
      <w:numFmt w:val="bullet"/>
      <w:lvlText w:val=""/>
      <w:lvlJc w:val="left"/>
      <w:pPr>
        <w:ind w:left="4320" w:hanging="360"/>
      </w:pPr>
      <w:rPr>
        <w:rFonts w:ascii="Wingdings" w:hAnsi="Wingdings" w:hint="default"/>
      </w:rPr>
    </w:lvl>
    <w:lvl w:ilvl="6" w:tplc="688085C4">
      <w:start w:val="1"/>
      <w:numFmt w:val="bullet"/>
      <w:lvlText w:val=""/>
      <w:lvlJc w:val="left"/>
      <w:pPr>
        <w:ind w:left="5040" w:hanging="360"/>
      </w:pPr>
      <w:rPr>
        <w:rFonts w:ascii="Symbol" w:hAnsi="Symbol" w:hint="default"/>
      </w:rPr>
    </w:lvl>
    <w:lvl w:ilvl="7" w:tplc="35521180">
      <w:start w:val="1"/>
      <w:numFmt w:val="bullet"/>
      <w:lvlText w:val="o"/>
      <w:lvlJc w:val="left"/>
      <w:pPr>
        <w:ind w:left="5760" w:hanging="360"/>
      </w:pPr>
      <w:rPr>
        <w:rFonts w:ascii="Courier New" w:hAnsi="Courier New" w:hint="default"/>
      </w:rPr>
    </w:lvl>
    <w:lvl w:ilvl="8" w:tplc="C7E65E0C">
      <w:start w:val="1"/>
      <w:numFmt w:val="bullet"/>
      <w:lvlText w:val=""/>
      <w:lvlJc w:val="left"/>
      <w:pPr>
        <w:ind w:left="6480" w:hanging="360"/>
      </w:pPr>
      <w:rPr>
        <w:rFonts w:ascii="Wingdings" w:hAnsi="Wingdings" w:hint="default"/>
      </w:rPr>
    </w:lvl>
  </w:abstractNum>
  <w:abstractNum w:abstractNumId="6" w15:restartNumberingAfterBreak="0">
    <w:nsid w:val="1CF33C79"/>
    <w:multiLevelType w:val="hybridMultilevel"/>
    <w:tmpl w:val="4D0C2CF6"/>
    <w:lvl w:ilvl="0" w:tplc="EED63C7A">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13F956A"/>
    <w:multiLevelType w:val="hybridMultilevel"/>
    <w:tmpl w:val="FFFFFFFF"/>
    <w:lvl w:ilvl="0" w:tplc="892A8532">
      <w:start w:val="1"/>
      <w:numFmt w:val="bullet"/>
      <w:lvlText w:val=""/>
      <w:lvlJc w:val="left"/>
      <w:pPr>
        <w:ind w:left="720" w:hanging="360"/>
      </w:pPr>
      <w:rPr>
        <w:rFonts w:ascii="Symbol" w:hAnsi="Symbol" w:hint="default"/>
      </w:rPr>
    </w:lvl>
    <w:lvl w:ilvl="1" w:tplc="7592C0E2">
      <w:start w:val="1"/>
      <w:numFmt w:val="bullet"/>
      <w:lvlText w:val="o"/>
      <w:lvlJc w:val="left"/>
      <w:pPr>
        <w:ind w:left="1440" w:hanging="360"/>
      </w:pPr>
      <w:rPr>
        <w:rFonts w:ascii="Courier New" w:hAnsi="Courier New" w:hint="default"/>
      </w:rPr>
    </w:lvl>
    <w:lvl w:ilvl="2" w:tplc="35241512">
      <w:start w:val="1"/>
      <w:numFmt w:val="bullet"/>
      <w:lvlText w:val=""/>
      <w:lvlJc w:val="left"/>
      <w:pPr>
        <w:ind w:left="2160" w:hanging="360"/>
      </w:pPr>
      <w:rPr>
        <w:rFonts w:ascii="Wingdings" w:hAnsi="Wingdings" w:hint="default"/>
      </w:rPr>
    </w:lvl>
    <w:lvl w:ilvl="3" w:tplc="BE0C4A84">
      <w:start w:val="1"/>
      <w:numFmt w:val="bullet"/>
      <w:lvlText w:val=""/>
      <w:lvlJc w:val="left"/>
      <w:pPr>
        <w:ind w:left="2880" w:hanging="360"/>
      </w:pPr>
      <w:rPr>
        <w:rFonts w:ascii="Symbol" w:hAnsi="Symbol" w:hint="default"/>
      </w:rPr>
    </w:lvl>
    <w:lvl w:ilvl="4" w:tplc="FEC2022A">
      <w:start w:val="1"/>
      <w:numFmt w:val="bullet"/>
      <w:lvlText w:val="o"/>
      <w:lvlJc w:val="left"/>
      <w:pPr>
        <w:ind w:left="3600" w:hanging="360"/>
      </w:pPr>
      <w:rPr>
        <w:rFonts w:ascii="Courier New" w:hAnsi="Courier New" w:hint="default"/>
      </w:rPr>
    </w:lvl>
    <w:lvl w:ilvl="5" w:tplc="7CA655BA">
      <w:start w:val="1"/>
      <w:numFmt w:val="bullet"/>
      <w:lvlText w:val=""/>
      <w:lvlJc w:val="left"/>
      <w:pPr>
        <w:ind w:left="4320" w:hanging="360"/>
      </w:pPr>
      <w:rPr>
        <w:rFonts w:ascii="Wingdings" w:hAnsi="Wingdings" w:hint="default"/>
      </w:rPr>
    </w:lvl>
    <w:lvl w:ilvl="6" w:tplc="353C8CD4">
      <w:start w:val="1"/>
      <w:numFmt w:val="bullet"/>
      <w:lvlText w:val=""/>
      <w:lvlJc w:val="left"/>
      <w:pPr>
        <w:ind w:left="5040" w:hanging="360"/>
      </w:pPr>
      <w:rPr>
        <w:rFonts w:ascii="Symbol" w:hAnsi="Symbol" w:hint="default"/>
      </w:rPr>
    </w:lvl>
    <w:lvl w:ilvl="7" w:tplc="44BE96C2">
      <w:start w:val="1"/>
      <w:numFmt w:val="bullet"/>
      <w:lvlText w:val="o"/>
      <w:lvlJc w:val="left"/>
      <w:pPr>
        <w:ind w:left="5760" w:hanging="360"/>
      </w:pPr>
      <w:rPr>
        <w:rFonts w:ascii="Courier New" w:hAnsi="Courier New" w:hint="default"/>
      </w:rPr>
    </w:lvl>
    <w:lvl w:ilvl="8" w:tplc="1F92811A">
      <w:start w:val="1"/>
      <w:numFmt w:val="bullet"/>
      <w:lvlText w:val=""/>
      <w:lvlJc w:val="left"/>
      <w:pPr>
        <w:ind w:left="6480" w:hanging="360"/>
      </w:pPr>
      <w:rPr>
        <w:rFonts w:ascii="Wingdings" w:hAnsi="Wingdings" w:hint="default"/>
      </w:rPr>
    </w:lvl>
  </w:abstractNum>
  <w:abstractNum w:abstractNumId="8" w15:restartNumberingAfterBreak="0">
    <w:nsid w:val="29251AAC"/>
    <w:multiLevelType w:val="hybridMultilevel"/>
    <w:tmpl w:val="FFFFFFFF"/>
    <w:lvl w:ilvl="0" w:tplc="84C28532">
      <w:start w:val="1"/>
      <w:numFmt w:val="bullet"/>
      <w:lvlText w:val="-"/>
      <w:lvlJc w:val="left"/>
      <w:pPr>
        <w:ind w:left="720" w:hanging="360"/>
      </w:pPr>
      <w:rPr>
        <w:rFonts w:ascii="Aptos" w:hAnsi="Aptos" w:hint="default"/>
      </w:rPr>
    </w:lvl>
    <w:lvl w:ilvl="1" w:tplc="2D3E19D8">
      <w:start w:val="1"/>
      <w:numFmt w:val="bullet"/>
      <w:lvlText w:val="o"/>
      <w:lvlJc w:val="left"/>
      <w:pPr>
        <w:ind w:left="1440" w:hanging="360"/>
      </w:pPr>
      <w:rPr>
        <w:rFonts w:ascii="Courier New" w:hAnsi="Courier New" w:hint="default"/>
      </w:rPr>
    </w:lvl>
    <w:lvl w:ilvl="2" w:tplc="B32C0BF6">
      <w:start w:val="1"/>
      <w:numFmt w:val="bullet"/>
      <w:lvlText w:val=""/>
      <w:lvlJc w:val="left"/>
      <w:pPr>
        <w:ind w:left="2160" w:hanging="360"/>
      </w:pPr>
      <w:rPr>
        <w:rFonts w:ascii="Wingdings" w:hAnsi="Wingdings" w:hint="default"/>
      </w:rPr>
    </w:lvl>
    <w:lvl w:ilvl="3" w:tplc="4C664E72">
      <w:start w:val="1"/>
      <w:numFmt w:val="bullet"/>
      <w:lvlText w:val=""/>
      <w:lvlJc w:val="left"/>
      <w:pPr>
        <w:ind w:left="2880" w:hanging="360"/>
      </w:pPr>
      <w:rPr>
        <w:rFonts w:ascii="Symbol" w:hAnsi="Symbol" w:hint="default"/>
      </w:rPr>
    </w:lvl>
    <w:lvl w:ilvl="4" w:tplc="CDEA095C">
      <w:start w:val="1"/>
      <w:numFmt w:val="bullet"/>
      <w:lvlText w:val="o"/>
      <w:lvlJc w:val="left"/>
      <w:pPr>
        <w:ind w:left="3600" w:hanging="360"/>
      </w:pPr>
      <w:rPr>
        <w:rFonts w:ascii="Courier New" w:hAnsi="Courier New" w:hint="default"/>
      </w:rPr>
    </w:lvl>
    <w:lvl w:ilvl="5" w:tplc="585E6968">
      <w:start w:val="1"/>
      <w:numFmt w:val="bullet"/>
      <w:lvlText w:val=""/>
      <w:lvlJc w:val="left"/>
      <w:pPr>
        <w:ind w:left="4320" w:hanging="360"/>
      </w:pPr>
      <w:rPr>
        <w:rFonts w:ascii="Wingdings" w:hAnsi="Wingdings" w:hint="default"/>
      </w:rPr>
    </w:lvl>
    <w:lvl w:ilvl="6" w:tplc="20BE8504">
      <w:start w:val="1"/>
      <w:numFmt w:val="bullet"/>
      <w:lvlText w:val=""/>
      <w:lvlJc w:val="left"/>
      <w:pPr>
        <w:ind w:left="5040" w:hanging="360"/>
      </w:pPr>
      <w:rPr>
        <w:rFonts w:ascii="Symbol" w:hAnsi="Symbol" w:hint="default"/>
      </w:rPr>
    </w:lvl>
    <w:lvl w:ilvl="7" w:tplc="4CEA0592">
      <w:start w:val="1"/>
      <w:numFmt w:val="bullet"/>
      <w:lvlText w:val="o"/>
      <w:lvlJc w:val="left"/>
      <w:pPr>
        <w:ind w:left="5760" w:hanging="360"/>
      </w:pPr>
      <w:rPr>
        <w:rFonts w:ascii="Courier New" w:hAnsi="Courier New" w:hint="default"/>
      </w:rPr>
    </w:lvl>
    <w:lvl w:ilvl="8" w:tplc="35B60A20">
      <w:start w:val="1"/>
      <w:numFmt w:val="bullet"/>
      <w:lvlText w:val=""/>
      <w:lvlJc w:val="left"/>
      <w:pPr>
        <w:ind w:left="6480" w:hanging="360"/>
      </w:pPr>
      <w:rPr>
        <w:rFonts w:ascii="Wingdings" w:hAnsi="Wingdings" w:hint="default"/>
      </w:rPr>
    </w:lvl>
  </w:abstractNum>
  <w:abstractNum w:abstractNumId="9" w15:restartNumberingAfterBreak="0">
    <w:nsid w:val="30AE1363"/>
    <w:multiLevelType w:val="hybridMultilevel"/>
    <w:tmpl w:val="FFFFFFFF"/>
    <w:lvl w:ilvl="0" w:tplc="991E9336">
      <w:start w:val="1"/>
      <w:numFmt w:val="bullet"/>
      <w:lvlText w:val=""/>
      <w:lvlJc w:val="left"/>
      <w:pPr>
        <w:ind w:left="720" w:hanging="360"/>
      </w:pPr>
      <w:rPr>
        <w:rFonts w:ascii="Symbol" w:hAnsi="Symbol" w:hint="default"/>
      </w:rPr>
    </w:lvl>
    <w:lvl w:ilvl="1" w:tplc="16A61CAC">
      <w:start w:val="1"/>
      <w:numFmt w:val="bullet"/>
      <w:lvlText w:val="o"/>
      <w:lvlJc w:val="left"/>
      <w:pPr>
        <w:ind w:left="1440" w:hanging="360"/>
      </w:pPr>
      <w:rPr>
        <w:rFonts w:ascii="Courier New" w:hAnsi="Courier New" w:hint="default"/>
      </w:rPr>
    </w:lvl>
    <w:lvl w:ilvl="2" w:tplc="5E54433A">
      <w:start w:val="1"/>
      <w:numFmt w:val="bullet"/>
      <w:lvlText w:val=""/>
      <w:lvlJc w:val="left"/>
      <w:pPr>
        <w:ind w:left="2160" w:hanging="360"/>
      </w:pPr>
      <w:rPr>
        <w:rFonts w:ascii="Wingdings" w:hAnsi="Wingdings" w:hint="default"/>
      </w:rPr>
    </w:lvl>
    <w:lvl w:ilvl="3" w:tplc="8EEC9B1C">
      <w:start w:val="1"/>
      <w:numFmt w:val="bullet"/>
      <w:lvlText w:val=""/>
      <w:lvlJc w:val="left"/>
      <w:pPr>
        <w:ind w:left="2880" w:hanging="360"/>
      </w:pPr>
      <w:rPr>
        <w:rFonts w:ascii="Symbol" w:hAnsi="Symbol" w:hint="default"/>
      </w:rPr>
    </w:lvl>
    <w:lvl w:ilvl="4" w:tplc="1B2A6FC8">
      <w:start w:val="1"/>
      <w:numFmt w:val="bullet"/>
      <w:lvlText w:val="o"/>
      <w:lvlJc w:val="left"/>
      <w:pPr>
        <w:ind w:left="3600" w:hanging="360"/>
      </w:pPr>
      <w:rPr>
        <w:rFonts w:ascii="Courier New" w:hAnsi="Courier New" w:hint="default"/>
      </w:rPr>
    </w:lvl>
    <w:lvl w:ilvl="5" w:tplc="DE2E3A10">
      <w:start w:val="1"/>
      <w:numFmt w:val="bullet"/>
      <w:lvlText w:val=""/>
      <w:lvlJc w:val="left"/>
      <w:pPr>
        <w:ind w:left="4320" w:hanging="360"/>
      </w:pPr>
      <w:rPr>
        <w:rFonts w:ascii="Wingdings" w:hAnsi="Wingdings" w:hint="default"/>
      </w:rPr>
    </w:lvl>
    <w:lvl w:ilvl="6" w:tplc="F9861CFC">
      <w:start w:val="1"/>
      <w:numFmt w:val="bullet"/>
      <w:lvlText w:val=""/>
      <w:lvlJc w:val="left"/>
      <w:pPr>
        <w:ind w:left="5040" w:hanging="360"/>
      </w:pPr>
      <w:rPr>
        <w:rFonts w:ascii="Symbol" w:hAnsi="Symbol" w:hint="default"/>
      </w:rPr>
    </w:lvl>
    <w:lvl w:ilvl="7" w:tplc="526AFDF8">
      <w:start w:val="1"/>
      <w:numFmt w:val="bullet"/>
      <w:lvlText w:val="o"/>
      <w:lvlJc w:val="left"/>
      <w:pPr>
        <w:ind w:left="5760" w:hanging="360"/>
      </w:pPr>
      <w:rPr>
        <w:rFonts w:ascii="Courier New" w:hAnsi="Courier New" w:hint="default"/>
      </w:rPr>
    </w:lvl>
    <w:lvl w:ilvl="8" w:tplc="994C7B72">
      <w:start w:val="1"/>
      <w:numFmt w:val="bullet"/>
      <w:lvlText w:val=""/>
      <w:lvlJc w:val="left"/>
      <w:pPr>
        <w:ind w:left="6480" w:hanging="360"/>
      </w:pPr>
      <w:rPr>
        <w:rFonts w:ascii="Wingdings" w:hAnsi="Wingdings" w:hint="default"/>
      </w:rPr>
    </w:lvl>
  </w:abstractNum>
  <w:abstractNum w:abstractNumId="10" w15:restartNumberingAfterBreak="0">
    <w:nsid w:val="44215512"/>
    <w:multiLevelType w:val="hybridMultilevel"/>
    <w:tmpl w:val="FFFFFFFF"/>
    <w:lvl w:ilvl="0" w:tplc="820A20D2">
      <w:start w:val="1"/>
      <w:numFmt w:val="bullet"/>
      <w:lvlText w:val=""/>
      <w:lvlJc w:val="left"/>
      <w:pPr>
        <w:ind w:left="720" w:hanging="360"/>
      </w:pPr>
      <w:rPr>
        <w:rFonts w:ascii="Symbol" w:hAnsi="Symbol" w:hint="default"/>
      </w:rPr>
    </w:lvl>
    <w:lvl w:ilvl="1" w:tplc="58BA69DC">
      <w:start w:val="1"/>
      <w:numFmt w:val="bullet"/>
      <w:lvlText w:val="o"/>
      <w:lvlJc w:val="left"/>
      <w:pPr>
        <w:ind w:left="1440" w:hanging="360"/>
      </w:pPr>
      <w:rPr>
        <w:rFonts w:ascii="Courier New" w:hAnsi="Courier New" w:hint="default"/>
      </w:rPr>
    </w:lvl>
    <w:lvl w:ilvl="2" w:tplc="99C48C3E">
      <w:start w:val="1"/>
      <w:numFmt w:val="bullet"/>
      <w:lvlText w:val=""/>
      <w:lvlJc w:val="left"/>
      <w:pPr>
        <w:ind w:left="2160" w:hanging="360"/>
      </w:pPr>
      <w:rPr>
        <w:rFonts w:ascii="Wingdings" w:hAnsi="Wingdings" w:hint="default"/>
      </w:rPr>
    </w:lvl>
    <w:lvl w:ilvl="3" w:tplc="B49EABB2">
      <w:start w:val="1"/>
      <w:numFmt w:val="bullet"/>
      <w:lvlText w:val=""/>
      <w:lvlJc w:val="left"/>
      <w:pPr>
        <w:ind w:left="2880" w:hanging="360"/>
      </w:pPr>
      <w:rPr>
        <w:rFonts w:ascii="Symbol" w:hAnsi="Symbol" w:hint="default"/>
      </w:rPr>
    </w:lvl>
    <w:lvl w:ilvl="4" w:tplc="42DEAEEE">
      <w:start w:val="1"/>
      <w:numFmt w:val="bullet"/>
      <w:lvlText w:val="o"/>
      <w:lvlJc w:val="left"/>
      <w:pPr>
        <w:ind w:left="3600" w:hanging="360"/>
      </w:pPr>
      <w:rPr>
        <w:rFonts w:ascii="Courier New" w:hAnsi="Courier New" w:hint="default"/>
      </w:rPr>
    </w:lvl>
    <w:lvl w:ilvl="5" w:tplc="4D08BA42">
      <w:start w:val="1"/>
      <w:numFmt w:val="bullet"/>
      <w:lvlText w:val=""/>
      <w:lvlJc w:val="left"/>
      <w:pPr>
        <w:ind w:left="4320" w:hanging="360"/>
      </w:pPr>
      <w:rPr>
        <w:rFonts w:ascii="Wingdings" w:hAnsi="Wingdings" w:hint="default"/>
      </w:rPr>
    </w:lvl>
    <w:lvl w:ilvl="6" w:tplc="EE4C71EA">
      <w:start w:val="1"/>
      <w:numFmt w:val="bullet"/>
      <w:lvlText w:val=""/>
      <w:lvlJc w:val="left"/>
      <w:pPr>
        <w:ind w:left="5040" w:hanging="360"/>
      </w:pPr>
      <w:rPr>
        <w:rFonts w:ascii="Symbol" w:hAnsi="Symbol" w:hint="default"/>
      </w:rPr>
    </w:lvl>
    <w:lvl w:ilvl="7" w:tplc="79E242EA">
      <w:start w:val="1"/>
      <w:numFmt w:val="bullet"/>
      <w:lvlText w:val="o"/>
      <w:lvlJc w:val="left"/>
      <w:pPr>
        <w:ind w:left="5760" w:hanging="360"/>
      </w:pPr>
      <w:rPr>
        <w:rFonts w:ascii="Courier New" w:hAnsi="Courier New" w:hint="default"/>
      </w:rPr>
    </w:lvl>
    <w:lvl w:ilvl="8" w:tplc="5E0C6E3A">
      <w:start w:val="1"/>
      <w:numFmt w:val="bullet"/>
      <w:lvlText w:val=""/>
      <w:lvlJc w:val="left"/>
      <w:pPr>
        <w:ind w:left="6480" w:hanging="360"/>
      </w:pPr>
      <w:rPr>
        <w:rFonts w:ascii="Wingdings" w:hAnsi="Wingdings" w:hint="default"/>
      </w:rPr>
    </w:lvl>
  </w:abstractNum>
  <w:abstractNum w:abstractNumId="11" w15:restartNumberingAfterBreak="0">
    <w:nsid w:val="45A273ED"/>
    <w:multiLevelType w:val="hybridMultilevel"/>
    <w:tmpl w:val="2DD6E828"/>
    <w:lvl w:ilvl="0" w:tplc="E9C245A0">
      <w:start w:val="1"/>
      <w:numFmt w:val="bullet"/>
      <w:lvlText w:val="·"/>
      <w:lvlJc w:val="left"/>
      <w:pPr>
        <w:ind w:left="720" w:hanging="360"/>
      </w:pPr>
      <w:rPr>
        <w:rFonts w:ascii="Symbol" w:hAnsi="Symbol" w:hint="default"/>
      </w:rPr>
    </w:lvl>
    <w:lvl w:ilvl="1" w:tplc="88905BEE">
      <w:start w:val="1"/>
      <w:numFmt w:val="bullet"/>
      <w:lvlText w:val="o"/>
      <w:lvlJc w:val="left"/>
      <w:pPr>
        <w:ind w:left="1440" w:hanging="360"/>
      </w:pPr>
      <w:rPr>
        <w:rFonts w:ascii="Courier New" w:hAnsi="Courier New" w:hint="default"/>
      </w:rPr>
    </w:lvl>
    <w:lvl w:ilvl="2" w:tplc="1ECCC052">
      <w:start w:val="1"/>
      <w:numFmt w:val="bullet"/>
      <w:lvlText w:val=""/>
      <w:lvlJc w:val="left"/>
      <w:pPr>
        <w:ind w:left="2160" w:hanging="360"/>
      </w:pPr>
      <w:rPr>
        <w:rFonts w:ascii="Wingdings" w:hAnsi="Wingdings" w:hint="default"/>
      </w:rPr>
    </w:lvl>
    <w:lvl w:ilvl="3" w:tplc="B9B035BC">
      <w:start w:val="1"/>
      <w:numFmt w:val="bullet"/>
      <w:lvlText w:val=""/>
      <w:lvlJc w:val="left"/>
      <w:pPr>
        <w:ind w:left="2880" w:hanging="360"/>
      </w:pPr>
      <w:rPr>
        <w:rFonts w:ascii="Symbol" w:hAnsi="Symbol" w:hint="default"/>
      </w:rPr>
    </w:lvl>
    <w:lvl w:ilvl="4" w:tplc="C5969232">
      <w:start w:val="1"/>
      <w:numFmt w:val="bullet"/>
      <w:lvlText w:val="o"/>
      <w:lvlJc w:val="left"/>
      <w:pPr>
        <w:ind w:left="3600" w:hanging="360"/>
      </w:pPr>
      <w:rPr>
        <w:rFonts w:ascii="Courier New" w:hAnsi="Courier New" w:hint="default"/>
      </w:rPr>
    </w:lvl>
    <w:lvl w:ilvl="5" w:tplc="1234B1CC">
      <w:start w:val="1"/>
      <w:numFmt w:val="bullet"/>
      <w:lvlText w:val=""/>
      <w:lvlJc w:val="left"/>
      <w:pPr>
        <w:ind w:left="4320" w:hanging="360"/>
      </w:pPr>
      <w:rPr>
        <w:rFonts w:ascii="Wingdings" w:hAnsi="Wingdings" w:hint="default"/>
      </w:rPr>
    </w:lvl>
    <w:lvl w:ilvl="6" w:tplc="937EE89C">
      <w:start w:val="1"/>
      <w:numFmt w:val="bullet"/>
      <w:lvlText w:val=""/>
      <w:lvlJc w:val="left"/>
      <w:pPr>
        <w:ind w:left="5040" w:hanging="360"/>
      </w:pPr>
      <w:rPr>
        <w:rFonts w:ascii="Symbol" w:hAnsi="Symbol" w:hint="default"/>
      </w:rPr>
    </w:lvl>
    <w:lvl w:ilvl="7" w:tplc="2B2EEB8C">
      <w:start w:val="1"/>
      <w:numFmt w:val="bullet"/>
      <w:lvlText w:val="o"/>
      <w:lvlJc w:val="left"/>
      <w:pPr>
        <w:ind w:left="5760" w:hanging="360"/>
      </w:pPr>
      <w:rPr>
        <w:rFonts w:ascii="Courier New" w:hAnsi="Courier New" w:hint="default"/>
      </w:rPr>
    </w:lvl>
    <w:lvl w:ilvl="8" w:tplc="16FC3BDE">
      <w:start w:val="1"/>
      <w:numFmt w:val="bullet"/>
      <w:lvlText w:val=""/>
      <w:lvlJc w:val="left"/>
      <w:pPr>
        <w:ind w:left="6480" w:hanging="360"/>
      </w:pPr>
      <w:rPr>
        <w:rFonts w:ascii="Wingdings" w:hAnsi="Wingdings" w:hint="default"/>
      </w:rPr>
    </w:lvl>
  </w:abstractNum>
  <w:abstractNum w:abstractNumId="12" w15:restartNumberingAfterBreak="0">
    <w:nsid w:val="4D101180"/>
    <w:multiLevelType w:val="hybridMultilevel"/>
    <w:tmpl w:val="3C24BA92"/>
    <w:lvl w:ilvl="0" w:tplc="1809000F">
      <w:start w:val="1"/>
      <w:numFmt w:val="decimal"/>
      <w:lvlText w:val="%1."/>
      <w:lvlJc w:val="left"/>
      <w:pPr>
        <w:ind w:left="502" w:hanging="360"/>
      </w:p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3" w15:restartNumberingAfterBreak="0">
    <w:nsid w:val="508AF6E9"/>
    <w:multiLevelType w:val="hybridMultilevel"/>
    <w:tmpl w:val="FFFFFFFF"/>
    <w:lvl w:ilvl="0" w:tplc="BE7E7A14">
      <w:start w:val="1"/>
      <w:numFmt w:val="bullet"/>
      <w:lvlText w:val=""/>
      <w:lvlJc w:val="left"/>
      <w:pPr>
        <w:ind w:left="720" w:hanging="360"/>
      </w:pPr>
      <w:rPr>
        <w:rFonts w:ascii="Symbol" w:hAnsi="Symbol" w:hint="default"/>
      </w:rPr>
    </w:lvl>
    <w:lvl w:ilvl="1" w:tplc="CB18023E">
      <w:start w:val="1"/>
      <w:numFmt w:val="bullet"/>
      <w:lvlText w:val="o"/>
      <w:lvlJc w:val="left"/>
      <w:pPr>
        <w:ind w:left="1440" w:hanging="360"/>
      </w:pPr>
      <w:rPr>
        <w:rFonts w:ascii="Courier New" w:hAnsi="Courier New" w:hint="default"/>
      </w:rPr>
    </w:lvl>
    <w:lvl w:ilvl="2" w:tplc="4190B7EC">
      <w:start w:val="1"/>
      <w:numFmt w:val="bullet"/>
      <w:lvlText w:val=""/>
      <w:lvlJc w:val="left"/>
      <w:pPr>
        <w:ind w:left="2160" w:hanging="360"/>
      </w:pPr>
      <w:rPr>
        <w:rFonts w:ascii="Wingdings" w:hAnsi="Wingdings" w:hint="default"/>
      </w:rPr>
    </w:lvl>
    <w:lvl w:ilvl="3" w:tplc="8AF41776">
      <w:start w:val="1"/>
      <w:numFmt w:val="bullet"/>
      <w:lvlText w:val=""/>
      <w:lvlJc w:val="left"/>
      <w:pPr>
        <w:ind w:left="2880" w:hanging="360"/>
      </w:pPr>
      <w:rPr>
        <w:rFonts w:ascii="Symbol" w:hAnsi="Symbol" w:hint="default"/>
      </w:rPr>
    </w:lvl>
    <w:lvl w:ilvl="4" w:tplc="5224BBA2">
      <w:start w:val="1"/>
      <w:numFmt w:val="bullet"/>
      <w:lvlText w:val="o"/>
      <w:lvlJc w:val="left"/>
      <w:pPr>
        <w:ind w:left="3600" w:hanging="360"/>
      </w:pPr>
      <w:rPr>
        <w:rFonts w:ascii="Courier New" w:hAnsi="Courier New" w:hint="default"/>
      </w:rPr>
    </w:lvl>
    <w:lvl w:ilvl="5" w:tplc="DF3EE5D4">
      <w:start w:val="1"/>
      <w:numFmt w:val="bullet"/>
      <w:lvlText w:val=""/>
      <w:lvlJc w:val="left"/>
      <w:pPr>
        <w:ind w:left="4320" w:hanging="360"/>
      </w:pPr>
      <w:rPr>
        <w:rFonts w:ascii="Wingdings" w:hAnsi="Wingdings" w:hint="default"/>
      </w:rPr>
    </w:lvl>
    <w:lvl w:ilvl="6" w:tplc="83A24E1A">
      <w:start w:val="1"/>
      <w:numFmt w:val="bullet"/>
      <w:lvlText w:val=""/>
      <w:lvlJc w:val="left"/>
      <w:pPr>
        <w:ind w:left="5040" w:hanging="360"/>
      </w:pPr>
      <w:rPr>
        <w:rFonts w:ascii="Symbol" w:hAnsi="Symbol" w:hint="default"/>
      </w:rPr>
    </w:lvl>
    <w:lvl w:ilvl="7" w:tplc="A7AABF86">
      <w:start w:val="1"/>
      <w:numFmt w:val="bullet"/>
      <w:lvlText w:val="o"/>
      <w:lvlJc w:val="left"/>
      <w:pPr>
        <w:ind w:left="5760" w:hanging="360"/>
      </w:pPr>
      <w:rPr>
        <w:rFonts w:ascii="Courier New" w:hAnsi="Courier New" w:hint="default"/>
      </w:rPr>
    </w:lvl>
    <w:lvl w:ilvl="8" w:tplc="2124D6F0">
      <w:start w:val="1"/>
      <w:numFmt w:val="bullet"/>
      <w:lvlText w:val=""/>
      <w:lvlJc w:val="left"/>
      <w:pPr>
        <w:ind w:left="6480" w:hanging="360"/>
      </w:pPr>
      <w:rPr>
        <w:rFonts w:ascii="Wingdings" w:hAnsi="Wingdings" w:hint="default"/>
      </w:rPr>
    </w:lvl>
  </w:abstractNum>
  <w:abstractNum w:abstractNumId="14" w15:restartNumberingAfterBreak="0">
    <w:nsid w:val="614736DD"/>
    <w:multiLevelType w:val="hybridMultilevel"/>
    <w:tmpl w:val="05FAB18A"/>
    <w:lvl w:ilvl="0" w:tplc="7A9E9A12">
      <w:start w:val="1"/>
      <w:numFmt w:val="bullet"/>
      <w:lvlText w:val="-"/>
      <w:lvlJc w:val="left"/>
      <w:pPr>
        <w:ind w:left="720" w:hanging="360"/>
      </w:pPr>
      <w:rPr>
        <w:rFonts w:ascii="&quot;&quot;Cambria&quot;,serif&quot;,serif" w:hAnsi="&quot;&quot;Cambria&quot;,serif&quot;,serif" w:hint="default"/>
      </w:rPr>
    </w:lvl>
    <w:lvl w:ilvl="1" w:tplc="175804EE">
      <w:start w:val="1"/>
      <w:numFmt w:val="bullet"/>
      <w:lvlText w:val="o"/>
      <w:lvlJc w:val="left"/>
      <w:pPr>
        <w:ind w:left="1440" w:hanging="360"/>
      </w:pPr>
      <w:rPr>
        <w:rFonts w:ascii="Courier New" w:hAnsi="Courier New" w:hint="default"/>
      </w:rPr>
    </w:lvl>
    <w:lvl w:ilvl="2" w:tplc="82CC3818">
      <w:start w:val="1"/>
      <w:numFmt w:val="bullet"/>
      <w:lvlText w:val=""/>
      <w:lvlJc w:val="left"/>
      <w:pPr>
        <w:ind w:left="2160" w:hanging="360"/>
      </w:pPr>
      <w:rPr>
        <w:rFonts w:ascii="Wingdings" w:hAnsi="Wingdings" w:hint="default"/>
      </w:rPr>
    </w:lvl>
    <w:lvl w:ilvl="3" w:tplc="83ACF740">
      <w:start w:val="1"/>
      <w:numFmt w:val="bullet"/>
      <w:lvlText w:val=""/>
      <w:lvlJc w:val="left"/>
      <w:pPr>
        <w:ind w:left="2880" w:hanging="360"/>
      </w:pPr>
      <w:rPr>
        <w:rFonts w:ascii="Symbol" w:hAnsi="Symbol" w:hint="default"/>
      </w:rPr>
    </w:lvl>
    <w:lvl w:ilvl="4" w:tplc="FE9AEA9A">
      <w:start w:val="1"/>
      <w:numFmt w:val="bullet"/>
      <w:lvlText w:val="o"/>
      <w:lvlJc w:val="left"/>
      <w:pPr>
        <w:ind w:left="3600" w:hanging="360"/>
      </w:pPr>
      <w:rPr>
        <w:rFonts w:ascii="Courier New" w:hAnsi="Courier New" w:hint="default"/>
      </w:rPr>
    </w:lvl>
    <w:lvl w:ilvl="5" w:tplc="AEAC764E">
      <w:start w:val="1"/>
      <w:numFmt w:val="bullet"/>
      <w:lvlText w:val=""/>
      <w:lvlJc w:val="left"/>
      <w:pPr>
        <w:ind w:left="4320" w:hanging="360"/>
      </w:pPr>
      <w:rPr>
        <w:rFonts w:ascii="Wingdings" w:hAnsi="Wingdings" w:hint="default"/>
      </w:rPr>
    </w:lvl>
    <w:lvl w:ilvl="6" w:tplc="1ABCE720">
      <w:start w:val="1"/>
      <w:numFmt w:val="bullet"/>
      <w:lvlText w:val=""/>
      <w:lvlJc w:val="left"/>
      <w:pPr>
        <w:ind w:left="5040" w:hanging="360"/>
      </w:pPr>
      <w:rPr>
        <w:rFonts w:ascii="Symbol" w:hAnsi="Symbol" w:hint="default"/>
      </w:rPr>
    </w:lvl>
    <w:lvl w:ilvl="7" w:tplc="375078E6">
      <w:start w:val="1"/>
      <w:numFmt w:val="bullet"/>
      <w:lvlText w:val="o"/>
      <w:lvlJc w:val="left"/>
      <w:pPr>
        <w:ind w:left="5760" w:hanging="360"/>
      </w:pPr>
      <w:rPr>
        <w:rFonts w:ascii="Courier New" w:hAnsi="Courier New" w:hint="default"/>
      </w:rPr>
    </w:lvl>
    <w:lvl w:ilvl="8" w:tplc="7D9A24D2">
      <w:start w:val="1"/>
      <w:numFmt w:val="bullet"/>
      <w:lvlText w:val=""/>
      <w:lvlJc w:val="left"/>
      <w:pPr>
        <w:ind w:left="6480" w:hanging="360"/>
      </w:pPr>
      <w:rPr>
        <w:rFonts w:ascii="Wingdings" w:hAnsi="Wingdings" w:hint="default"/>
      </w:rPr>
    </w:lvl>
  </w:abstractNum>
  <w:abstractNum w:abstractNumId="15" w15:restartNumberingAfterBreak="0">
    <w:nsid w:val="71953301"/>
    <w:multiLevelType w:val="hybridMultilevel"/>
    <w:tmpl w:val="C5DE5018"/>
    <w:lvl w:ilvl="0" w:tplc="04070001">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16" w15:restartNumberingAfterBreak="0">
    <w:nsid w:val="7255B3E1"/>
    <w:multiLevelType w:val="hybridMultilevel"/>
    <w:tmpl w:val="A3D8282A"/>
    <w:lvl w:ilvl="0" w:tplc="50762636">
      <w:start w:val="1"/>
      <w:numFmt w:val="bullet"/>
      <w:lvlText w:val=""/>
      <w:lvlJc w:val="left"/>
      <w:pPr>
        <w:ind w:left="720" w:hanging="360"/>
      </w:pPr>
      <w:rPr>
        <w:rFonts w:ascii="Symbol" w:hAnsi="Symbol" w:hint="default"/>
      </w:rPr>
    </w:lvl>
    <w:lvl w:ilvl="1" w:tplc="3FE81506">
      <w:start w:val="1"/>
      <w:numFmt w:val="bullet"/>
      <w:lvlText w:val="o"/>
      <w:lvlJc w:val="left"/>
      <w:pPr>
        <w:ind w:left="1440" w:hanging="360"/>
      </w:pPr>
      <w:rPr>
        <w:rFonts w:ascii="Courier New" w:hAnsi="Courier New" w:hint="default"/>
      </w:rPr>
    </w:lvl>
    <w:lvl w:ilvl="2" w:tplc="E78808AA">
      <w:start w:val="1"/>
      <w:numFmt w:val="bullet"/>
      <w:lvlText w:val=""/>
      <w:lvlJc w:val="left"/>
      <w:pPr>
        <w:ind w:left="2160" w:hanging="360"/>
      </w:pPr>
      <w:rPr>
        <w:rFonts w:ascii="Wingdings" w:hAnsi="Wingdings" w:hint="default"/>
      </w:rPr>
    </w:lvl>
    <w:lvl w:ilvl="3" w:tplc="A44EC0BA">
      <w:start w:val="1"/>
      <w:numFmt w:val="bullet"/>
      <w:lvlText w:val=""/>
      <w:lvlJc w:val="left"/>
      <w:pPr>
        <w:ind w:left="2880" w:hanging="360"/>
      </w:pPr>
      <w:rPr>
        <w:rFonts w:ascii="Symbol" w:hAnsi="Symbol" w:hint="default"/>
      </w:rPr>
    </w:lvl>
    <w:lvl w:ilvl="4" w:tplc="2402A5D8">
      <w:start w:val="1"/>
      <w:numFmt w:val="bullet"/>
      <w:lvlText w:val="o"/>
      <w:lvlJc w:val="left"/>
      <w:pPr>
        <w:ind w:left="3600" w:hanging="360"/>
      </w:pPr>
      <w:rPr>
        <w:rFonts w:ascii="Courier New" w:hAnsi="Courier New" w:hint="default"/>
      </w:rPr>
    </w:lvl>
    <w:lvl w:ilvl="5" w:tplc="CFFA4F3C">
      <w:start w:val="1"/>
      <w:numFmt w:val="bullet"/>
      <w:lvlText w:val=""/>
      <w:lvlJc w:val="left"/>
      <w:pPr>
        <w:ind w:left="4320" w:hanging="360"/>
      </w:pPr>
      <w:rPr>
        <w:rFonts w:ascii="Wingdings" w:hAnsi="Wingdings" w:hint="default"/>
      </w:rPr>
    </w:lvl>
    <w:lvl w:ilvl="6" w:tplc="1EDA13D8">
      <w:start w:val="1"/>
      <w:numFmt w:val="bullet"/>
      <w:lvlText w:val=""/>
      <w:lvlJc w:val="left"/>
      <w:pPr>
        <w:ind w:left="5040" w:hanging="360"/>
      </w:pPr>
      <w:rPr>
        <w:rFonts w:ascii="Symbol" w:hAnsi="Symbol" w:hint="default"/>
      </w:rPr>
    </w:lvl>
    <w:lvl w:ilvl="7" w:tplc="CD12A306">
      <w:start w:val="1"/>
      <w:numFmt w:val="bullet"/>
      <w:lvlText w:val="o"/>
      <w:lvlJc w:val="left"/>
      <w:pPr>
        <w:ind w:left="5760" w:hanging="360"/>
      </w:pPr>
      <w:rPr>
        <w:rFonts w:ascii="Courier New" w:hAnsi="Courier New" w:hint="default"/>
      </w:rPr>
    </w:lvl>
    <w:lvl w:ilvl="8" w:tplc="A4829652">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8"/>
  </w:num>
  <w:num w:numId="4">
    <w:abstractNumId w:val="14"/>
  </w:num>
  <w:num w:numId="5">
    <w:abstractNumId w:val="13"/>
  </w:num>
  <w:num w:numId="6">
    <w:abstractNumId w:val="2"/>
  </w:num>
  <w:num w:numId="7">
    <w:abstractNumId w:val="0"/>
  </w:num>
  <w:num w:numId="8">
    <w:abstractNumId w:val="9"/>
  </w:num>
  <w:num w:numId="9">
    <w:abstractNumId w:val="5"/>
  </w:num>
  <w:num w:numId="10">
    <w:abstractNumId w:val="4"/>
  </w:num>
  <w:num w:numId="11">
    <w:abstractNumId w:val="10"/>
  </w:num>
  <w:num w:numId="12">
    <w:abstractNumId w:val="1"/>
  </w:num>
  <w:num w:numId="13">
    <w:abstractNumId w:val="7"/>
  </w:num>
  <w:num w:numId="14">
    <w:abstractNumId w:val="3"/>
  </w:num>
  <w:num w:numId="15">
    <w:abstractNumId w:val="15"/>
  </w:num>
  <w:num w:numId="16">
    <w:abstractNumId w:val="12"/>
  </w:num>
  <w:num w:numId="17">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2FAB1C3D-AD24-4A42-B303-55200817E923"/>
    <w:docVar w:name="LW_COVERPAGE_TYPE" w:val="1"/>
    <w:docVar w:name="LW_CROSSREFERENCE" w:val="{COM(2026) 570 final} - {SEC(2026) 570 final} - {SWD(2026) 571 final} - {SWD(2026) 572 final} - {SWD(2026) 573 final}"/>
    <w:docVar w:name="LW_DocType" w:val="NORMAL"/>
    <w:docVar w:name="LW_EMISSION" w:val="24.6.2026"/>
    <w:docVar w:name="LW_EMISSION_ISODATE" w:val="2026-06-24"/>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the European Union Agency for Criminal Justice Cooperation (Eurojust) and repealing Regulation (EU) 2018/1727_x000d__x000d__x000d__x000d__x000d__x000d__x000d__x000d__x000d__x000d__x000d__x000b_"/>
    <w:docVar w:name="LW_PART_NBR" w:val="1"/>
    <w:docVar w:name="LW_PART_NBR_TOTAL" w:val="2"/>
    <w:docVar w:name="LW_REF.INST.NEW" w:val="SWD"/>
    <w:docVar w:name="LW_REF.INST.NEW_ADOPTED" w:val="final"/>
    <w:docVar w:name="LW_REF.INST.NEW_TEXT" w:val="(2026)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IMPACT ASSESSMENT REPORT_x000b_"/>
    <w:docVar w:name="LW_TYPEACTEPRINCIPAL.CP" w:val="Proposal for a_x000b_REGULATION OF THE EUROPEAN PARLIAMENT AND OF THE COUNCIL"/>
    <w:docVar w:name="LwApiVersions" w:val="LW4CoDe 1.24.5.0; LW 9.2, Build 20251112"/>
  </w:docVars>
  <w:rsids>
    <w:rsidRoot w:val="006B087E"/>
    <w:rsid w:val="0000015F"/>
    <w:rsid w:val="000001DA"/>
    <w:rsid w:val="00000259"/>
    <w:rsid w:val="000004FB"/>
    <w:rsid w:val="0000075E"/>
    <w:rsid w:val="00000830"/>
    <w:rsid w:val="000008D6"/>
    <w:rsid w:val="00000AA3"/>
    <w:rsid w:val="00000B6E"/>
    <w:rsid w:val="00000BFC"/>
    <w:rsid w:val="00000D27"/>
    <w:rsid w:val="00000D4E"/>
    <w:rsid w:val="00000F04"/>
    <w:rsid w:val="00001066"/>
    <w:rsid w:val="000010F3"/>
    <w:rsid w:val="00001136"/>
    <w:rsid w:val="00001403"/>
    <w:rsid w:val="00001601"/>
    <w:rsid w:val="0000168D"/>
    <w:rsid w:val="00001860"/>
    <w:rsid w:val="00001861"/>
    <w:rsid w:val="000018EC"/>
    <w:rsid w:val="00001931"/>
    <w:rsid w:val="00001998"/>
    <w:rsid w:val="000019EB"/>
    <w:rsid w:val="00001D26"/>
    <w:rsid w:val="00001D6A"/>
    <w:rsid w:val="00001E78"/>
    <w:rsid w:val="00001EA8"/>
    <w:rsid w:val="00001EF9"/>
    <w:rsid w:val="000020F2"/>
    <w:rsid w:val="000021F7"/>
    <w:rsid w:val="0000229C"/>
    <w:rsid w:val="000022D9"/>
    <w:rsid w:val="000022F5"/>
    <w:rsid w:val="00002312"/>
    <w:rsid w:val="00002336"/>
    <w:rsid w:val="0000239B"/>
    <w:rsid w:val="000024F4"/>
    <w:rsid w:val="00002572"/>
    <w:rsid w:val="00002685"/>
    <w:rsid w:val="000027B7"/>
    <w:rsid w:val="00002849"/>
    <w:rsid w:val="0000290E"/>
    <w:rsid w:val="00002A80"/>
    <w:rsid w:val="00002AC8"/>
    <w:rsid w:val="00002BE5"/>
    <w:rsid w:val="00002C43"/>
    <w:rsid w:val="00002F42"/>
    <w:rsid w:val="0000311E"/>
    <w:rsid w:val="000032C4"/>
    <w:rsid w:val="0000333F"/>
    <w:rsid w:val="00003413"/>
    <w:rsid w:val="0000349B"/>
    <w:rsid w:val="0000354D"/>
    <w:rsid w:val="000036D3"/>
    <w:rsid w:val="0000376E"/>
    <w:rsid w:val="000037FC"/>
    <w:rsid w:val="000038B2"/>
    <w:rsid w:val="00003933"/>
    <w:rsid w:val="00003B7C"/>
    <w:rsid w:val="00003EFA"/>
    <w:rsid w:val="00003F0A"/>
    <w:rsid w:val="00004001"/>
    <w:rsid w:val="000042A1"/>
    <w:rsid w:val="00004417"/>
    <w:rsid w:val="0000443B"/>
    <w:rsid w:val="00004467"/>
    <w:rsid w:val="00004585"/>
    <w:rsid w:val="000045C7"/>
    <w:rsid w:val="000047A6"/>
    <w:rsid w:val="000048E7"/>
    <w:rsid w:val="00004955"/>
    <w:rsid w:val="00004A4A"/>
    <w:rsid w:val="00004B1E"/>
    <w:rsid w:val="00004B81"/>
    <w:rsid w:val="00004B9B"/>
    <w:rsid w:val="00004BAC"/>
    <w:rsid w:val="00004E91"/>
    <w:rsid w:val="00004FC9"/>
    <w:rsid w:val="0000543A"/>
    <w:rsid w:val="00005517"/>
    <w:rsid w:val="00005583"/>
    <w:rsid w:val="000055D3"/>
    <w:rsid w:val="0000560E"/>
    <w:rsid w:val="000058C9"/>
    <w:rsid w:val="0000593C"/>
    <w:rsid w:val="00005AB9"/>
    <w:rsid w:val="00005BA4"/>
    <w:rsid w:val="00005C02"/>
    <w:rsid w:val="0000618A"/>
    <w:rsid w:val="000062A6"/>
    <w:rsid w:val="00006355"/>
    <w:rsid w:val="00006496"/>
    <w:rsid w:val="000064DD"/>
    <w:rsid w:val="000066CC"/>
    <w:rsid w:val="0000679E"/>
    <w:rsid w:val="00006935"/>
    <w:rsid w:val="0000694C"/>
    <w:rsid w:val="00006A4B"/>
    <w:rsid w:val="00006A8C"/>
    <w:rsid w:val="00006A9C"/>
    <w:rsid w:val="00006AFE"/>
    <w:rsid w:val="0000709C"/>
    <w:rsid w:val="00007256"/>
    <w:rsid w:val="0000755F"/>
    <w:rsid w:val="000075AF"/>
    <w:rsid w:val="00007742"/>
    <w:rsid w:val="000077B2"/>
    <w:rsid w:val="000077C3"/>
    <w:rsid w:val="000078BE"/>
    <w:rsid w:val="000079AA"/>
    <w:rsid w:val="000079E3"/>
    <w:rsid w:val="00007A85"/>
    <w:rsid w:val="00007BDC"/>
    <w:rsid w:val="00007CF0"/>
    <w:rsid w:val="00007E17"/>
    <w:rsid w:val="000101C8"/>
    <w:rsid w:val="0001027E"/>
    <w:rsid w:val="000103D0"/>
    <w:rsid w:val="000105CA"/>
    <w:rsid w:val="00010679"/>
    <w:rsid w:val="00010834"/>
    <w:rsid w:val="00010B01"/>
    <w:rsid w:val="00010B37"/>
    <w:rsid w:val="00010CF1"/>
    <w:rsid w:val="00010D5B"/>
    <w:rsid w:val="00010EBB"/>
    <w:rsid w:val="00010F18"/>
    <w:rsid w:val="00010F54"/>
    <w:rsid w:val="00011076"/>
    <w:rsid w:val="000110DD"/>
    <w:rsid w:val="0001116E"/>
    <w:rsid w:val="000111C2"/>
    <w:rsid w:val="00011689"/>
    <w:rsid w:val="00011709"/>
    <w:rsid w:val="00011A4D"/>
    <w:rsid w:val="00011A57"/>
    <w:rsid w:val="00011C28"/>
    <w:rsid w:val="00011CA9"/>
    <w:rsid w:val="00011CBC"/>
    <w:rsid w:val="00011CCB"/>
    <w:rsid w:val="00011E5E"/>
    <w:rsid w:val="000120AF"/>
    <w:rsid w:val="0001211F"/>
    <w:rsid w:val="00012195"/>
    <w:rsid w:val="00012300"/>
    <w:rsid w:val="000123EE"/>
    <w:rsid w:val="0001241A"/>
    <w:rsid w:val="000124E7"/>
    <w:rsid w:val="0001255A"/>
    <w:rsid w:val="000127A3"/>
    <w:rsid w:val="0001283E"/>
    <w:rsid w:val="00012897"/>
    <w:rsid w:val="0001290C"/>
    <w:rsid w:val="0001298C"/>
    <w:rsid w:val="00012A8A"/>
    <w:rsid w:val="00012C6C"/>
    <w:rsid w:val="00012ECE"/>
    <w:rsid w:val="00012F36"/>
    <w:rsid w:val="00012F87"/>
    <w:rsid w:val="000130CC"/>
    <w:rsid w:val="000131D7"/>
    <w:rsid w:val="00013263"/>
    <w:rsid w:val="00013589"/>
    <w:rsid w:val="0001389E"/>
    <w:rsid w:val="000138C4"/>
    <w:rsid w:val="000139CC"/>
    <w:rsid w:val="000139E1"/>
    <w:rsid w:val="00013A87"/>
    <w:rsid w:val="00013B72"/>
    <w:rsid w:val="00013C31"/>
    <w:rsid w:val="00014143"/>
    <w:rsid w:val="00014174"/>
    <w:rsid w:val="000141B4"/>
    <w:rsid w:val="0001446E"/>
    <w:rsid w:val="0001449D"/>
    <w:rsid w:val="000144EB"/>
    <w:rsid w:val="000145BD"/>
    <w:rsid w:val="0001464F"/>
    <w:rsid w:val="00014745"/>
    <w:rsid w:val="0001497D"/>
    <w:rsid w:val="00014AF1"/>
    <w:rsid w:val="00014B1C"/>
    <w:rsid w:val="00014D70"/>
    <w:rsid w:val="00014DC9"/>
    <w:rsid w:val="00014E6A"/>
    <w:rsid w:val="00014F71"/>
    <w:rsid w:val="0001516A"/>
    <w:rsid w:val="0001537E"/>
    <w:rsid w:val="000154AE"/>
    <w:rsid w:val="0001557B"/>
    <w:rsid w:val="000157D9"/>
    <w:rsid w:val="000157E9"/>
    <w:rsid w:val="0001585C"/>
    <w:rsid w:val="00015A71"/>
    <w:rsid w:val="00015BE9"/>
    <w:rsid w:val="00015CA1"/>
    <w:rsid w:val="00015CBE"/>
    <w:rsid w:val="00015DC3"/>
    <w:rsid w:val="00015E7A"/>
    <w:rsid w:val="00015F42"/>
    <w:rsid w:val="00015F7B"/>
    <w:rsid w:val="00015FD3"/>
    <w:rsid w:val="000165C7"/>
    <w:rsid w:val="00016745"/>
    <w:rsid w:val="00016750"/>
    <w:rsid w:val="00016807"/>
    <w:rsid w:val="00016DAE"/>
    <w:rsid w:val="0001707E"/>
    <w:rsid w:val="000171B0"/>
    <w:rsid w:val="0001755E"/>
    <w:rsid w:val="0001756F"/>
    <w:rsid w:val="00017627"/>
    <w:rsid w:val="0001768A"/>
    <w:rsid w:val="00017B2F"/>
    <w:rsid w:val="00017BBC"/>
    <w:rsid w:val="00017BFC"/>
    <w:rsid w:val="00017C57"/>
    <w:rsid w:val="00017C93"/>
    <w:rsid w:val="00017F36"/>
    <w:rsid w:val="00017F88"/>
    <w:rsid w:val="0002005E"/>
    <w:rsid w:val="00020063"/>
    <w:rsid w:val="000201F9"/>
    <w:rsid w:val="0002022B"/>
    <w:rsid w:val="0002056D"/>
    <w:rsid w:val="00020642"/>
    <w:rsid w:val="00020659"/>
    <w:rsid w:val="000206E8"/>
    <w:rsid w:val="000207FB"/>
    <w:rsid w:val="00020B06"/>
    <w:rsid w:val="00020B9F"/>
    <w:rsid w:val="00020C4F"/>
    <w:rsid w:val="00020D7F"/>
    <w:rsid w:val="00020E92"/>
    <w:rsid w:val="00020F74"/>
    <w:rsid w:val="0002129B"/>
    <w:rsid w:val="00021522"/>
    <w:rsid w:val="00021611"/>
    <w:rsid w:val="00021631"/>
    <w:rsid w:val="000216D6"/>
    <w:rsid w:val="000216EB"/>
    <w:rsid w:val="00021727"/>
    <w:rsid w:val="000218E1"/>
    <w:rsid w:val="0002199C"/>
    <w:rsid w:val="000219ED"/>
    <w:rsid w:val="00021A00"/>
    <w:rsid w:val="00021B82"/>
    <w:rsid w:val="00021C5D"/>
    <w:rsid w:val="00021DBB"/>
    <w:rsid w:val="00021DBE"/>
    <w:rsid w:val="00021DE1"/>
    <w:rsid w:val="00021E6C"/>
    <w:rsid w:val="00021F94"/>
    <w:rsid w:val="0002210A"/>
    <w:rsid w:val="0002219A"/>
    <w:rsid w:val="00022225"/>
    <w:rsid w:val="0002222C"/>
    <w:rsid w:val="00022316"/>
    <w:rsid w:val="00022332"/>
    <w:rsid w:val="00022367"/>
    <w:rsid w:val="000224E8"/>
    <w:rsid w:val="000227EB"/>
    <w:rsid w:val="00022814"/>
    <w:rsid w:val="00022885"/>
    <w:rsid w:val="000228F0"/>
    <w:rsid w:val="00022B45"/>
    <w:rsid w:val="00022C02"/>
    <w:rsid w:val="00022C6B"/>
    <w:rsid w:val="00022D07"/>
    <w:rsid w:val="00022D9D"/>
    <w:rsid w:val="00022DB2"/>
    <w:rsid w:val="00022ECB"/>
    <w:rsid w:val="00022F66"/>
    <w:rsid w:val="00023258"/>
    <w:rsid w:val="00023496"/>
    <w:rsid w:val="00023C3C"/>
    <w:rsid w:val="00023CA5"/>
    <w:rsid w:val="00023F0B"/>
    <w:rsid w:val="00023FB9"/>
    <w:rsid w:val="00024022"/>
    <w:rsid w:val="0002407C"/>
    <w:rsid w:val="00024281"/>
    <w:rsid w:val="000242F8"/>
    <w:rsid w:val="0002430F"/>
    <w:rsid w:val="000245B3"/>
    <w:rsid w:val="0002481A"/>
    <w:rsid w:val="00024B03"/>
    <w:rsid w:val="00024B4D"/>
    <w:rsid w:val="00024B56"/>
    <w:rsid w:val="00024CBC"/>
    <w:rsid w:val="00024D4A"/>
    <w:rsid w:val="00024D9C"/>
    <w:rsid w:val="00024EB8"/>
    <w:rsid w:val="0002513C"/>
    <w:rsid w:val="000251FD"/>
    <w:rsid w:val="0002540F"/>
    <w:rsid w:val="00025618"/>
    <w:rsid w:val="00025652"/>
    <w:rsid w:val="00025929"/>
    <w:rsid w:val="00025ABD"/>
    <w:rsid w:val="00025B1A"/>
    <w:rsid w:val="00025CF6"/>
    <w:rsid w:val="00025D7E"/>
    <w:rsid w:val="00025E2F"/>
    <w:rsid w:val="00025E9F"/>
    <w:rsid w:val="00025FCA"/>
    <w:rsid w:val="00026016"/>
    <w:rsid w:val="000260E0"/>
    <w:rsid w:val="0002654D"/>
    <w:rsid w:val="0002669E"/>
    <w:rsid w:val="00026862"/>
    <w:rsid w:val="000268B0"/>
    <w:rsid w:val="00026A10"/>
    <w:rsid w:val="00026B74"/>
    <w:rsid w:val="00026BAE"/>
    <w:rsid w:val="00026D88"/>
    <w:rsid w:val="00026DBC"/>
    <w:rsid w:val="00026E9E"/>
    <w:rsid w:val="00026FF1"/>
    <w:rsid w:val="000270A2"/>
    <w:rsid w:val="000271FB"/>
    <w:rsid w:val="000274C2"/>
    <w:rsid w:val="00027545"/>
    <w:rsid w:val="000276B1"/>
    <w:rsid w:val="0002774B"/>
    <w:rsid w:val="0002781B"/>
    <w:rsid w:val="00027877"/>
    <w:rsid w:val="00027A35"/>
    <w:rsid w:val="00027B91"/>
    <w:rsid w:val="00027B9A"/>
    <w:rsid w:val="00027BBD"/>
    <w:rsid w:val="00027C24"/>
    <w:rsid w:val="00027E77"/>
    <w:rsid w:val="0002FEFD"/>
    <w:rsid w:val="00030109"/>
    <w:rsid w:val="0003020B"/>
    <w:rsid w:val="000302E9"/>
    <w:rsid w:val="00030478"/>
    <w:rsid w:val="00030494"/>
    <w:rsid w:val="00030577"/>
    <w:rsid w:val="00030622"/>
    <w:rsid w:val="000306CE"/>
    <w:rsid w:val="00030A8D"/>
    <w:rsid w:val="00030C18"/>
    <w:rsid w:val="00030CCD"/>
    <w:rsid w:val="00030E4D"/>
    <w:rsid w:val="00031125"/>
    <w:rsid w:val="000311E3"/>
    <w:rsid w:val="00031327"/>
    <w:rsid w:val="00031335"/>
    <w:rsid w:val="00031429"/>
    <w:rsid w:val="0003148F"/>
    <w:rsid w:val="00031518"/>
    <w:rsid w:val="00031726"/>
    <w:rsid w:val="0003176E"/>
    <w:rsid w:val="0003181D"/>
    <w:rsid w:val="0003197E"/>
    <w:rsid w:val="00031A71"/>
    <w:rsid w:val="00031B3C"/>
    <w:rsid w:val="00031C89"/>
    <w:rsid w:val="00031C9F"/>
    <w:rsid w:val="00031CFA"/>
    <w:rsid w:val="00031DC1"/>
    <w:rsid w:val="00031DF2"/>
    <w:rsid w:val="00031E51"/>
    <w:rsid w:val="00031E6D"/>
    <w:rsid w:val="000320E9"/>
    <w:rsid w:val="000320F8"/>
    <w:rsid w:val="00032303"/>
    <w:rsid w:val="000324CD"/>
    <w:rsid w:val="00032610"/>
    <w:rsid w:val="000327AD"/>
    <w:rsid w:val="00032B3B"/>
    <w:rsid w:val="00032BFE"/>
    <w:rsid w:val="00032F61"/>
    <w:rsid w:val="0003307B"/>
    <w:rsid w:val="000330F9"/>
    <w:rsid w:val="0003310A"/>
    <w:rsid w:val="00033218"/>
    <w:rsid w:val="000332B7"/>
    <w:rsid w:val="000336D7"/>
    <w:rsid w:val="000337E2"/>
    <w:rsid w:val="000338E2"/>
    <w:rsid w:val="00033913"/>
    <w:rsid w:val="00033998"/>
    <w:rsid w:val="0003399F"/>
    <w:rsid w:val="00033B68"/>
    <w:rsid w:val="00033BB6"/>
    <w:rsid w:val="00033C4F"/>
    <w:rsid w:val="00033CAB"/>
    <w:rsid w:val="00033D96"/>
    <w:rsid w:val="00033DB5"/>
    <w:rsid w:val="00033E09"/>
    <w:rsid w:val="00033E40"/>
    <w:rsid w:val="00033E7B"/>
    <w:rsid w:val="00033EA9"/>
    <w:rsid w:val="00034068"/>
    <w:rsid w:val="0003412E"/>
    <w:rsid w:val="00034201"/>
    <w:rsid w:val="00034448"/>
    <w:rsid w:val="00034488"/>
    <w:rsid w:val="0003461C"/>
    <w:rsid w:val="00034671"/>
    <w:rsid w:val="00034674"/>
    <w:rsid w:val="00034676"/>
    <w:rsid w:val="0003471A"/>
    <w:rsid w:val="00034766"/>
    <w:rsid w:val="00034946"/>
    <w:rsid w:val="00034B12"/>
    <w:rsid w:val="00034B49"/>
    <w:rsid w:val="00034BA9"/>
    <w:rsid w:val="00034C51"/>
    <w:rsid w:val="00034C77"/>
    <w:rsid w:val="00034D04"/>
    <w:rsid w:val="00034E07"/>
    <w:rsid w:val="00034E20"/>
    <w:rsid w:val="00034F06"/>
    <w:rsid w:val="00034F53"/>
    <w:rsid w:val="000350F3"/>
    <w:rsid w:val="0003520D"/>
    <w:rsid w:val="00035448"/>
    <w:rsid w:val="00035601"/>
    <w:rsid w:val="0003574B"/>
    <w:rsid w:val="0003589A"/>
    <w:rsid w:val="000358CC"/>
    <w:rsid w:val="00035906"/>
    <w:rsid w:val="000359A6"/>
    <w:rsid w:val="00035CB5"/>
    <w:rsid w:val="00035CFF"/>
    <w:rsid w:val="00035F09"/>
    <w:rsid w:val="000361E2"/>
    <w:rsid w:val="0003647B"/>
    <w:rsid w:val="000364FF"/>
    <w:rsid w:val="00036533"/>
    <w:rsid w:val="000365AC"/>
    <w:rsid w:val="000365B7"/>
    <w:rsid w:val="00036616"/>
    <w:rsid w:val="0003670F"/>
    <w:rsid w:val="00036811"/>
    <w:rsid w:val="0003684C"/>
    <w:rsid w:val="00036886"/>
    <w:rsid w:val="0003691A"/>
    <w:rsid w:val="00036933"/>
    <w:rsid w:val="00036D73"/>
    <w:rsid w:val="00036E5B"/>
    <w:rsid w:val="00037474"/>
    <w:rsid w:val="0003756A"/>
    <w:rsid w:val="000378FB"/>
    <w:rsid w:val="000379AD"/>
    <w:rsid w:val="00037A0A"/>
    <w:rsid w:val="00037A7E"/>
    <w:rsid w:val="00037B0F"/>
    <w:rsid w:val="00037C09"/>
    <w:rsid w:val="00037C35"/>
    <w:rsid w:val="00037DD6"/>
    <w:rsid w:val="00037E56"/>
    <w:rsid w:val="00037F8B"/>
    <w:rsid w:val="00037FCE"/>
    <w:rsid w:val="00037FE2"/>
    <w:rsid w:val="00037FEC"/>
    <w:rsid w:val="000400BF"/>
    <w:rsid w:val="00040346"/>
    <w:rsid w:val="00040370"/>
    <w:rsid w:val="000403CE"/>
    <w:rsid w:val="00040408"/>
    <w:rsid w:val="000404D7"/>
    <w:rsid w:val="0004050B"/>
    <w:rsid w:val="00040896"/>
    <w:rsid w:val="00040BF0"/>
    <w:rsid w:val="00040C89"/>
    <w:rsid w:val="00040CCD"/>
    <w:rsid w:val="00040ECD"/>
    <w:rsid w:val="000411D6"/>
    <w:rsid w:val="00041238"/>
    <w:rsid w:val="00041417"/>
    <w:rsid w:val="00041427"/>
    <w:rsid w:val="00041500"/>
    <w:rsid w:val="00041549"/>
    <w:rsid w:val="0004172D"/>
    <w:rsid w:val="00041806"/>
    <w:rsid w:val="0004186F"/>
    <w:rsid w:val="00041C0F"/>
    <w:rsid w:val="00041C7C"/>
    <w:rsid w:val="00041F9E"/>
    <w:rsid w:val="00042039"/>
    <w:rsid w:val="000420E3"/>
    <w:rsid w:val="000421F6"/>
    <w:rsid w:val="000423FB"/>
    <w:rsid w:val="000426A4"/>
    <w:rsid w:val="0004270A"/>
    <w:rsid w:val="000429E1"/>
    <w:rsid w:val="000429FD"/>
    <w:rsid w:val="00042B5E"/>
    <w:rsid w:val="00042C63"/>
    <w:rsid w:val="00042C68"/>
    <w:rsid w:val="00042E22"/>
    <w:rsid w:val="00042E40"/>
    <w:rsid w:val="00042F87"/>
    <w:rsid w:val="0004303D"/>
    <w:rsid w:val="0004334F"/>
    <w:rsid w:val="00043381"/>
    <w:rsid w:val="00043403"/>
    <w:rsid w:val="00043481"/>
    <w:rsid w:val="000434A2"/>
    <w:rsid w:val="000434E3"/>
    <w:rsid w:val="0004362D"/>
    <w:rsid w:val="00043670"/>
    <w:rsid w:val="00043685"/>
    <w:rsid w:val="000436FB"/>
    <w:rsid w:val="000438C3"/>
    <w:rsid w:val="00043992"/>
    <w:rsid w:val="00043BF3"/>
    <w:rsid w:val="00043C03"/>
    <w:rsid w:val="00043C44"/>
    <w:rsid w:val="00043CEA"/>
    <w:rsid w:val="00043D93"/>
    <w:rsid w:val="00043F54"/>
    <w:rsid w:val="00043F89"/>
    <w:rsid w:val="00043FA2"/>
    <w:rsid w:val="00043FCE"/>
    <w:rsid w:val="000440AB"/>
    <w:rsid w:val="000441AF"/>
    <w:rsid w:val="000441BE"/>
    <w:rsid w:val="000443B5"/>
    <w:rsid w:val="00044420"/>
    <w:rsid w:val="00044432"/>
    <w:rsid w:val="0004455E"/>
    <w:rsid w:val="000447A4"/>
    <w:rsid w:val="000447EB"/>
    <w:rsid w:val="000449E2"/>
    <w:rsid w:val="00044CF3"/>
    <w:rsid w:val="00044D27"/>
    <w:rsid w:val="00044F14"/>
    <w:rsid w:val="000452D3"/>
    <w:rsid w:val="00045468"/>
    <w:rsid w:val="000454C5"/>
    <w:rsid w:val="0004553D"/>
    <w:rsid w:val="00045616"/>
    <w:rsid w:val="000456E6"/>
    <w:rsid w:val="00045878"/>
    <w:rsid w:val="00045921"/>
    <w:rsid w:val="000459CE"/>
    <w:rsid w:val="000459F3"/>
    <w:rsid w:val="00045B4A"/>
    <w:rsid w:val="00045DC9"/>
    <w:rsid w:val="00045F38"/>
    <w:rsid w:val="0004606E"/>
    <w:rsid w:val="000462C5"/>
    <w:rsid w:val="0004651C"/>
    <w:rsid w:val="00046551"/>
    <w:rsid w:val="0004662E"/>
    <w:rsid w:val="00046772"/>
    <w:rsid w:val="000468F3"/>
    <w:rsid w:val="00046A72"/>
    <w:rsid w:val="00046AE8"/>
    <w:rsid w:val="00046AEA"/>
    <w:rsid w:val="00046B57"/>
    <w:rsid w:val="00046B7D"/>
    <w:rsid w:val="00046C6A"/>
    <w:rsid w:val="00046C71"/>
    <w:rsid w:val="00046C7A"/>
    <w:rsid w:val="00046EDB"/>
    <w:rsid w:val="00046F9B"/>
    <w:rsid w:val="0004706C"/>
    <w:rsid w:val="00047241"/>
    <w:rsid w:val="00047293"/>
    <w:rsid w:val="000473C7"/>
    <w:rsid w:val="000473F8"/>
    <w:rsid w:val="00047514"/>
    <w:rsid w:val="00047525"/>
    <w:rsid w:val="000475A3"/>
    <w:rsid w:val="00047738"/>
    <w:rsid w:val="00047871"/>
    <w:rsid w:val="00047912"/>
    <w:rsid w:val="00047A34"/>
    <w:rsid w:val="00047ABF"/>
    <w:rsid w:val="00047C42"/>
    <w:rsid w:val="00047C71"/>
    <w:rsid w:val="00047CE4"/>
    <w:rsid w:val="00047D25"/>
    <w:rsid w:val="00047F87"/>
    <w:rsid w:val="0005000E"/>
    <w:rsid w:val="000505D0"/>
    <w:rsid w:val="000506BB"/>
    <w:rsid w:val="0005073B"/>
    <w:rsid w:val="0005088A"/>
    <w:rsid w:val="000508F1"/>
    <w:rsid w:val="000509F3"/>
    <w:rsid w:val="00050A92"/>
    <w:rsid w:val="00050E58"/>
    <w:rsid w:val="00050E7D"/>
    <w:rsid w:val="00051054"/>
    <w:rsid w:val="000510B4"/>
    <w:rsid w:val="00051376"/>
    <w:rsid w:val="00051494"/>
    <w:rsid w:val="00051499"/>
    <w:rsid w:val="000517E9"/>
    <w:rsid w:val="000517F5"/>
    <w:rsid w:val="00051AEC"/>
    <w:rsid w:val="00051DD1"/>
    <w:rsid w:val="00051ED8"/>
    <w:rsid w:val="0005222D"/>
    <w:rsid w:val="0005222E"/>
    <w:rsid w:val="000523F4"/>
    <w:rsid w:val="0005248C"/>
    <w:rsid w:val="0005257B"/>
    <w:rsid w:val="00052BAC"/>
    <w:rsid w:val="00052BD1"/>
    <w:rsid w:val="00052CD1"/>
    <w:rsid w:val="00052DF4"/>
    <w:rsid w:val="00052E8D"/>
    <w:rsid w:val="000532FD"/>
    <w:rsid w:val="0005336B"/>
    <w:rsid w:val="000533C4"/>
    <w:rsid w:val="0005381A"/>
    <w:rsid w:val="0005393A"/>
    <w:rsid w:val="00053A7D"/>
    <w:rsid w:val="00053BF4"/>
    <w:rsid w:val="00053E00"/>
    <w:rsid w:val="00053E21"/>
    <w:rsid w:val="00053E5F"/>
    <w:rsid w:val="00053E72"/>
    <w:rsid w:val="00053FDD"/>
    <w:rsid w:val="0005410C"/>
    <w:rsid w:val="00054139"/>
    <w:rsid w:val="00054197"/>
    <w:rsid w:val="00054298"/>
    <w:rsid w:val="0005431E"/>
    <w:rsid w:val="0005433F"/>
    <w:rsid w:val="00054379"/>
    <w:rsid w:val="0005475B"/>
    <w:rsid w:val="00054A10"/>
    <w:rsid w:val="00054BFF"/>
    <w:rsid w:val="00054C45"/>
    <w:rsid w:val="00054CA2"/>
    <w:rsid w:val="00054D8C"/>
    <w:rsid w:val="00054E43"/>
    <w:rsid w:val="00054F24"/>
    <w:rsid w:val="000550A0"/>
    <w:rsid w:val="000553F3"/>
    <w:rsid w:val="00055416"/>
    <w:rsid w:val="0005567E"/>
    <w:rsid w:val="0005568F"/>
    <w:rsid w:val="000556DA"/>
    <w:rsid w:val="00055889"/>
    <w:rsid w:val="00055D0B"/>
    <w:rsid w:val="00055DC0"/>
    <w:rsid w:val="00055EFE"/>
    <w:rsid w:val="00055F1B"/>
    <w:rsid w:val="00055F8D"/>
    <w:rsid w:val="00055F9B"/>
    <w:rsid w:val="00055FE1"/>
    <w:rsid w:val="0005633B"/>
    <w:rsid w:val="0005633F"/>
    <w:rsid w:val="000563E8"/>
    <w:rsid w:val="0005663B"/>
    <w:rsid w:val="000568CC"/>
    <w:rsid w:val="000568E2"/>
    <w:rsid w:val="00056984"/>
    <w:rsid w:val="000569D5"/>
    <w:rsid w:val="00056A68"/>
    <w:rsid w:val="00056B07"/>
    <w:rsid w:val="00056B93"/>
    <w:rsid w:val="00056E71"/>
    <w:rsid w:val="00056FA5"/>
    <w:rsid w:val="00056FB6"/>
    <w:rsid w:val="00056FD4"/>
    <w:rsid w:val="0005700C"/>
    <w:rsid w:val="000571CE"/>
    <w:rsid w:val="000573AE"/>
    <w:rsid w:val="00057678"/>
    <w:rsid w:val="00057711"/>
    <w:rsid w:val="00057849"/>
    <w:rsid w:val="0005794F"/>
    <w:rsid w:val="000579D5"/>
    <w:rsid w:val="00057A41"/>
    <w:rsid w:val="00057BCE"/>
    <w:rsid w:val="00057E2F"/>
    <w:rsid w:val="00057E8A"/>
    <w:rsid w:val="00057FEC"/>
    <w:rsid w:val="00060097"/>
    <w:rsid w:val="000600B6"/>
    <w:rsid w:val="000601B8"/>
    <w:rsid w:val="000601CB"/>
    <w:rsid w:val="000602D2"/>
    <w:rsid w:val="00060301"/>
    <w:rsid w:val="000603B9"/>
    <w:rsid w:val="000604BA"/>
    <w:rsid w:val="000604E0"/>
    <w:rsid w:val="0006069C"/>
    <w:rsid w:val="000606E1"/>
    <w:rsid w:val="00060878"/>
    <w:rsid w:val="0006087A"/>
    <w:rsid w:val="0006088B"/>
    <w:rsid w:val="00060AFF"/>
    <w:rsid w:val="00060CDC"/>
    <w:rsid w:val="00060CF3"/>
    <w:rsid w:val="00060E85"/>
    <w:rsid w:val="00060F47"/>
    <w:rsid w:val="00060F9F"/>
    <w:rsid w:val="00061098"/>
    <w:rsid w:val="0006134A"/>
    <w:rsid w:val="000615B7"/>
    <w:rsid w:val="000616EC"/>
    <w:rsid w:val="000617F5"/>
    <w:rsid w:val="0006181F"/>
    <w:rsid w:val="00061920"/>
    <w:rsid w:val="00061A6D"/>
    <w:rsid w:val="00061AA2"/>
    <w:rsid w:val="00061AF8"/>
    <w:rsid w:val="00061FA6"/>
    <w:rsid w:val="00061FD2"/>
    <w:rsid w:val="00062054"/>
    <w:rsid w:val="0006225B"/>
    <w:rsid w:val="00062391"/>
    <w:rsid w:val="000623D8"/>
    <w:rsid w:val="000624CA"/>
    <w:rsid w:val="000624EA"/>
    <w:rsid w:val="00062688"/>
    <w:rsid w:val="000626E0"/>
    <w:rsid w:val="00062754"/>
    <w:rsid w:val="00062862"/>
    <w:rsid w:val="000628CF"/>
    <w:rsid w:val="00062A5B"/>
    <w:rsid w:val="00062B84"/>
    <w:rsid w:val="00062C01"/>
    <w:rsid w:val="00062C22"/>
    <w:rsid w:val="00062C39"/>
    <w:rsid w:val="00062CA6"/>
    <w:rsid w:val="00062D36"/>
    <w:rsid w:val="00062E21"/>
    <w:rsid w:val="00062EC6"/>
    <w:rsid w:val="00062F7D"/>
    <w:rsid w:val="00062FE4"/>
    <w:rsid w:val="00062FFD"/>
    <w:rsid w:val="0006321B"/>
    <w:rsid w:val="0006326C"/>
    <w:rsid w:val="000632C4"/>
    <w:rsid w:val="000633D6"/>
    <w:rsid w:val="00063446"/>
    <w:rsid w:val="000634FE"/>
    <w:rsid w:val="000637A9"/>
    <w:rsid w:val="00063854"/>
    <w:rsid w:val="000638E6"/>
    <w:rsid w:val="00063A96"/>
    <w:rsid w:val="00063B13"/>
    <w:rsid w:val="00063BCF"/>
    <w:rsid w:val="00063C7D"/>
    <w:rsid w:val="00064007"/>
    <w:rsid w:val="00064175"/>
    <w:rsid w:val="00064445"/>
    <w:rsid w:val="000644D1"/>
    <w:rsid w:val="00064717"/>
    <w:rsid w:val="00064729"/>
    <w:rsid w:val="00064744"/>
    <w:rsid w:val="000647C7"/>
    <w:rsid w:val="000647EC"/>
    <w:rsid w:val="0006488C"/>
    <w:rsid w:val="0006491B"/>
    <w:rsid w:val="000649D3"/>
    <w:rsid w:val="00064A8D"/>
    <w:rsid w:val="00064B90"/>
    <w:rsid w:val="00064F70"/>
    <w:rsid w:val="000650B3"/>
    <w:rsid w:val="000651C0"/>
    <w:rsid w:val="000652FF"/>
    <w:rsid w:val="00065387"/>
    <w:rsid w:val="0006552D"/>
    <w:rsid w:val="00065675"/>
    <w:rsid w:val="00065686"/>
    <w:rsid w:val="00065797"/>
    <w:rsid w:val="000657BA"/>
    <w:rsid w:val="00065A02"/>
    <w:rsid w:val="00065CC9"/>
    <w:rsid w:val="00065E06"/>
    <w:rsid w:val="00066233"/>
    <w:rsid w:val="00066285"/>
    <w:rsid w:val="000662CE"/>
    <w:rsid w:val="000665F0"/>
    <w:rsid w:val="00066632"/>
    <w:rsid w:val="0006677B"/>
    <w:rsid w:val="00066AA9"/>
    <w:rsid w:val="00066AF0"/>
    <w:rsid w:val="00066B23"/>
    <w:rsid w:val="00066B62"/>
    <w:rsid w:val="00066C85"/>
    <w:rsid w:val="00066CB7"/>
    <w:rsid w:val="00066D23"/>
    <w:rsid w:val="00066E54"/>
    <w:rsid w:val="00067099"/>
    <w:rsid w:val="00067261"/>
    <w:rsid w:val="000672DF"/>
    <w:rsid w:val="0006744C"/>
    <w:rsid w:val="00067454"/>
    <w:rsid w:val="000675F4"/>
    <w:rsid w:val="00067716"/>
    <w:rsid w:val="000677A4"/>
    <w:rsid w:val="000677B6"/>
    <w:rsid w:val="000677F2"/>
    <w:rsid w:val="00067B62"/>
    <w:rsid w:val="00067C6F"/>
    <w:rsid w:val="00067EDF"/>
    <w:rsid w:val="00067FF5"/>
    <w:rsid w:val="00070149"/>
    <w:rsid w:val="00070253"/>
    <w:rsid w:val="00070412"/>
    <w:rsid w:val="00070414"/>
    <w:rsid w:val="000704C7"/>
    <w:rsid w:val="00070501"/>
    <w:rsid w:val="00070586"/>
    <w:rsid w:val="0007079B"/>
    <w:rsid w:val="0007086F"/>
    <w:rsid w:val="0007088E"/>
    <w:rsid w:val="00070988"/>
    <w:rsid w:val="00070A4C"/>
    <w:rsid w:val="00070AD1"/>
    <w:rsid w:val="00070B90"/>
    <w:rsid w:val="00070BFF"/>
    <w:rsid w:val="00070DA7"/>
    <w:rsid w:val="00070E8D"/>
    <w:rsid w:val="000710B0"/>
    <w:rsid w:val="00071103"/>
    <w:rsid w:val="0007120B"/>
    <w:rsid w:val="000712B4"/>
    <w:rsid w:val="00071360"/>
    <w:rsid w:val="00071484"/>
    <w:rsid w:val="0007177A"/>
    <w:rsid w:val="000718B7"/>
    <w:rsid w:val="00071990"/>
    <w:rsid w:val="00071C8F"/>
    <w:rsid w:val="00071DD4"/>
    <w:rsid w:val="00071E01"/>
    <w:rsid w:val="00071FB6"/>
    <w:rsid w:val="000720CE"/>
    <w:rsid w:val="00072106"/>
    <w:rsid w:val="00072380"/>
    <w:rsid w:val="00072437"/>
    <w:rsid w:val="00072530"/>
    <w:rsid w:val="0007277F"/>
    <w:rsid w:val="000727BD"/>
    <w:rsid w:val="000727CF"/>
    <w:rsid w:val="00072816"/>
    <w:rsid w:val="00072919"/>
    <w:rsid w:val="00072A00"/>
    <w:rsid w:val="00072B55"/>
    <w:rsid w:val="00072C74"/>
    <w:rsid w:val="00072CB9"/>
    <w:rsid w:val="00072CE7"/>
    <w:rsid w:val="00072E04"/>
    <w:rsid w:val="00072EBE"/>
    <w:rsid w:val="00072EC0"/>
    <w:rsid w:val="00072EC6"/>
    <w:rsid w:val="00072FEB"/>
    <w:rsid w:val="000730F8"/>
    <w:rsid w:val="000732A4"/>
    <w:rsid w:val="00073300"/>
    <w:rsid w:val="000734AC"/>
    <w:rsid w:val="000734DB"/>
    <w:rsid w:val="0007350D"/>
    <w:rsid w:val="0007351E"/>
    <w:rsid w:val="000736C2"/>
    <w:rsid w:val="0007376A"/>
    <w:rsid w:val="00073898"/>
    <w:rsid w:val="0007396E"/>
    <w:rsid w:val="00073A95"/>
    <w:rsid w:val="00073B47"/>
    <w:rsid w:val="00073BA2"/>
    <w:rsid w:val="00073BA9"/>
    <w:rsid w:val="00073BCB"/>
    <w:rsid w:val="00073E28"/>
    <w:rsid w:val="000742B9"/>
    <w:rsid w:val="00074304"/>
    <w:rsid w:val="00074460"/>
    <w:rsid w:val="000744F6"/>
    <w:rsid w:val="000746AB"/>
    <w:rsid w:val="00074981"/>
    <w:rsid w:val="00074994"/>
    <w:rsid w:val="00074B6C"/>
    <w:rsid w:val="00074D25"/>
    <w:rsid w:val="00075025"/>
    <w:rsid w:val="0007504E"/>
    <w:rsid w:val="00075096"/>
    <w:rsid w:val="00075143"/>
    <w:rsid w:val="00075201"/>
    <w:rsid w:val="00075223"/>
    <w:rsid w:val="00075263"/>
    <w:rsid w:val="0007541B"/>
    <w:rsid w:val="000754EF"/>
    <w:rsid w:val="0007558F"/>
    <w:rsid w:val="0007567F"/>
    <w:rsid w:val="0007568C"/>
    <w:rsid w:val="00075699"/>
    <w:rsid w:val="00075883"/>
    <w:rsid w:val="00075A66"/>
    <w:rsid w:val="00075D89"/>
    <w:rsid w:val="00075E8F"/>
    <w:rsid w:val="00075F34"/>
    <w:rsid w:val="00076001"/>
    <w:rsid w:val="0007613B"/>
    <w:rsid w:val="0007614A"/>
    <w:rsid w:val="000761D7"/>
    <w:rsid w:val="00076295"/>
    <w:rsid w:val="000762B3"/>
    <w:rsid w:val="00076391"/>
    <w:rsid w:val="000764AB"/>
    <w:rsid w:val="00076673"/>
    <w:rsid w:val="0007685B"/>
    <w:rsid w:val="00076A49"/>
    <w:rsid w:val="00076B32"/>
    <w:rsid w:val="00076D78"/>
    <w:rsid w:val="00076DCB"/>
    <w:rsid w:val="00076DF6"/>
    <w:rsid w:val="00076F1D"/>
    <w:rsid w:val="00076F31"/>
    <w:rsid w:val="0007726C"/>
    <w:rsid w:val="00077283"/>
    <w:rsid w:val="000772C5"/>
    <w:rsid w:val="00077629"/>
    <w:rsid w:val="0007762D"/>
    <w:rsid w:val="000777DF"/>
    <w:rsid w:val="00077B4B"/>
    <w:rsid w:val="00077C2B"/>
    <w:rsid w:val="00077CBA"/>
    <w:rsid w:val="00077DEC"/>
    <w:rsid w:val="00077F2E"/>
    <w:rsid w:val="00077F5C"/>
    <w:rsid w:val="00077FD4"/>
    <w:rsid w:val="00080006"/>
    <w:rsid w:val="0008034B"/>
    <w:rsid w:val="00080527"/>
    <w:rsid w:val="00080620"/>
    <w:rsid w:val="0008071D"/>
    <w:rsid w:val="0008077F"/>
    <w:rsid w:val="00080800"/>
    <w:rsid w:val="00080803"/>
    <w:rsid w:val="00080845"/>
    <w:rsid w:val="000809A1"/>
    <w:rsid w:val="00080B0B"/>
    <w:rsid w:val="00080BEB"/>
    <w:rsid w:val="00080D24"/>
    <w:rsid w:val="00080D70"/>
    <w:rsid w:val="00080D86"/>
    <w:rsid w:val="00080F10"/>
    <w:rsid w:val="00080F21"/>
    <w:rsid w:val="00080FAC"/>
    <w:rsid w:val="000810D0"/>
    <w:rsid w:val="0008152C"/>
    <w:rsid w:val="00081562"/>
    <w:rsid w:val="0008172C"/>
    <w:rsid w:val="000817B3"/>
    <w:rsid w:val="0008180D"/>
    <w:rsid w:val="0008193A"/>
    <w:rsid w:val="00081A1F"/>
    <w:rsid w:val="00081B2D"/>
    <w:rsid w:val="00081C0B"/>
    <w:rsid w:val="00081CF1"/>
    <w:rsid w:val="00081CF6"/>
    <w:rsid w:val="00081DEC"/>
    <w:rsid w:val="00081E93"/>
    <w:rsid w:val="00081E9F"/>
    <w:rsid w:val="000820B2"/>
    <w:rsid w:val="00082255"/>
    <w:rsid w:val="000822B4"/>
    <w:rsid w:val="000825EE"/>
    <w:rsid w:val="000826B6"/>
    <w:rsid w:val="000826B8"/>
    <w:rsid w:val="000827B9"/>
    <w:rsid w:val="000829ED"/>
    <w:rsid w:val="00082C20"/>
    <w:rsid w:val="00082C81"/>
    <w:rsid w:val="00082CD0"/>
    <w:rsid w:val="00082E25"/>
    <w:rsid w:val="00082F5F"/>
    <w:rsid w:val="000830E5"/>
    <w:rsid w:val="000833C7"/>
    <w:rsid w:val="00083455"/>
    <w:rsid w:val="000834F7"/>
    <w:rsid w:val="0008350B"/>
    <w:rsid w:val="000837AA"/>
    <w:rsid w:val="0008397B"/>
    <w:rsid w:val="000839C8"/>
    <w:rsid w:val="00083B76"/>
    <w:rsid w:val="00083C62"/>
    <w:rsid w:val="00083D7D"/>
    <w:rsid w:val="00083DFA"/>
    <w:rsid w:val="00083EAB"/>
    <w:rsid w:val="00083EF1"/>
    <w:rsid w:val="00083F9B"/>
    <w:rsid w:val="00083FF0"/>
    <w:rsid w:val="00083FF7"/>
    <w:rsid w:val="000841FC"/>
    <w:rsid w:val="00084286"/>
    <w:rsid w:val="000842C2"/>
    <w:rsid w:val="00084328"/>
    <w:rsid w:val="000843F4"/>
    <w:rsid w:val="00084421"/>
    <w:rsid w:val="0008446F"/>
    <w:rsid w:val="0008454E"/>
    <w:rsid w:val="00084694"/>
    <w:rsid w:val="0008496D"/>
    <w:rsid w:val="00084999"/>
    <w:rsid w:val="00084A40"/>
    <w:rsid w:val="00084B5B"/>
    <w:rsid w:val="00084B9A"/>
    <w:rsid w:val="00084C1F"/>
    <w:rsid w:val="00084DC4"/>
    <w:rsid w:val="00084DF3"/>
    <w:rsid w:val="0008524F"/>
    <w:rsid w:val="00085407"/>
    <w:rsid w:val="00085540"/>
    <w:rsid w:val="00085587"/>
    <w:rsid w:val="000855AA"/>
    <w:rsid w:val="000855E4"/>
    <w:rsid w:val="00085621"/>
    <w:rsid w:val="000856C0"/>
    <w:rsid w:val="000856DE"/>
    <w:rsid w:val="000857A1"/>
    <w:rsid w:val="00085A9D"/>
    <w:rsid w:val="00085B56"/>
    <w:rsid w:val="00085B67"/>
    <w:rsid w:val="00085B8B"/>
    <w:rsid w:val="00085C7F"/>
    <w:rsid w:val="00085CB8"/>
    <w:rsid w:val="00085D27"/>
    <w:rsid w:val="00085F53"/>
    <w:rsid w:val="00086063"/>
    <w:rsid w:val="000862EE"/>
    <w:rsid w:val="000864E7"/>
    <w:rsid w:val="0008661F"/>
    <w:rsid w:val="00086883"/>
    <w:rsid w:val="00086BFC"/>
    <w:rsid w:val="00086C6A"/>
    <w:rsid w:val="00086CC9"/>
    <w:rsid w:val="00086DC3"/>
    <w:rsid w:val="00086EA0"/>
    <w:rsid w:val="00086F7A"/>
    <w:rsid w:val="000872C3"/>
    <w:rsid w:val="00087727"/>
    <w:rsid w:val="00087794"/>
    <w:rsid w:val="0008786B"/>
    <w:rsid w:val="0008788A"/>
    <w:rsid w:val="00087AF1"/>
    <w:rsid w:val="00087C83"/>
    <w:rsid w:val="00090187"/>
    <w:rsid w:val="000901A8"/>
    <w:rsid w:val="000901B5"/>
    <w:rsid w:val="000901DD"/>
    <w:rsid w:val="000903A4"/>
    <w:rsid w:val="00090402"/>
    <w:rsid w:val="00090547"/>
    <w:rsid w:val="000905F7"/>
    <w:rsid w:val="000906B2"/>
    <w:rsid w:val="000906C5"/>
    <w:rsid w:val="000907E3"/>
    <w:rsid w:val="00090908"/>
    <w:rsid w:val="00090961"/>
    <w:rsid w:val="0009098E"/>
    <w:rsid w:val="00090994"/>
    <w:rsid w:val="00090AFC"/>
    <w:rsid w:val="00090BC8"/>
    <w:rsid w:val="00090BE2"/>
    <w:rsid w:val="00090D87"/>
    <w:rsid w:val="00090E60"/>
    <w:rsid w:val="00090F2D"/>
    <w:rsid w:val="00090F5F"/>
    <w:rsid w:val="00090FBE"/>
    <w:rsid w:val="00091008"/>
    <w:rsid w:val="000912F7"/>
    <w:rsid w:val="00091340"/>
    <w:rsid w:val="000913A5"/>
    <w:rsid w:val="00091552"/>
    <w:rsid w:val="000915D5"/>
    <w:rsid w:val="000916E6"/>
    <w:rsid w:val="0009183F"/>
    <w:rsid w:val="00091967"/>
    <w:rsid w:val="00091C76"/>
    <w:rsid w:val="00091E35"/>
    <w:rsid w:val="00092037"/>
    <w:rsid w:val="0009203C"/>
    <w:rsid w:val="00092142"/>
    <w:rsid w:val="00092162"/>
    <w:rsid w:val="00092605"/>
    <w:rsid w:val="00092651"/>
    <w:rsid w:val="00092743"/>
    <w:rsid w:val="000927B1"/>
    <w:rsid w:val="00092A27"/>
    <w:rsid w:val="00092B2C"/>
    <w:rsid w:val="00092C39"/>
    <w:rsid w:val="00092CF4"/>
    <w:rsid w:val="00092E67"/>
    <w:rsid w:val="00093036"/>
    <w:rsid w:val="000930C1"/>
    <w:rsid w:val="0009331F"/>
    <w:rsid w:val="000933D5"/>
    <w:rsid w:val="0009344D"/>
    <w:rsid w:val="000935F7"/>
    <w:rsid w:val="0009365B"/>
    <w:rsid w:val="00093773"/>
    <w:rsid w:val="00093860"/>
    <w:rsid w:val="00093AC5"/>
    <w:rsid w:val="00093B08"/>
    <w:rsid w:val="00093F8D"/>
    <w:rsid w:val="00093FEF"/>
    <w:rsid w:val="0009417A"/>
    <w:rsid w:val="00094272"/>
    <w:rsid w:val="000942D3"/>
    <w:rsid w:val="00094317"/>
    <w:rsid w:val="000944AF"/>
    <w:rsid w:val="00094515"/>
    <w:rsid w:val="000945D8"/>
    <w:rsid w:val="000945FE"/>
    <w:rsid w:val="00094893"/>
    <w:rsid w:val="00094923"/>
    <w:rsid w:val="00094A08"/>
    <w:rsid w:val="00094A8F"/>
    <w:rsid w:val="00094ABF"/>
    <w:rsid w:val="00094B10"/>
    <w:rsid w:val="00094C6B"/>
    <w:rsid w:val="00094CA2"/>
    <w:rsid w:val="00094F41"/>
    <w:rsid w:val="00094F57"/>
    <w:rsid w:val="00095119"/>
    <w:rsid w:val="00095163"/>
    <w:rsid w:val="0009519A"/>
    <w:rsid w:val="00095417"/>
    <w:rsid w:val="000954A7"/>
    <w:rsid w:val="0009558F"/>
    <w:rsid w:val="0009561F"/>
    <w:rsid w:val="000956F3"/>
    <w:rsid w:val="000957CD"/>
    <w:rsid w:val="00095B3C"/>
    <w:rsid w:val="00095B93"/>
    <w:rsid w:val="00095F69"/>
    <w:rsid w:val="00096175"/>
    <w:rsid w:val="000965D6"/>
    <w:rsid w:val="00096856"/>
    <w:rsid w:val="00096972"/>
    <w:rsid w:val="00096C15"/>
    <w:rsid w:val="00096E59"/>
    <w:rsid w:val="00096E80"/>
    <w:rsid w:val="00096EFA"/>
    <w:rsid w:val="00096F5B"/>
    <w:rsid w:val="000972B8"/>
    <w:rsid w:val="000972C5"/>
    <w:rsid w:val="000972EF"/>
    <w:rsid w:val="00097311"/>
    <w:rsid w:val="0009736E"/>
    <w:rsid w:val="00097433"/>
    <w:rsid w:val="0009755B"/>
    <w:rsid w:val="000975C4"/>
    <w:rsid w:val="000977F1"/>
    <w:rsid w:val="00097856"/>
    <w:rsid w:val="000978F9"/>
    <w:rsid w:val="00097BDE"/>
    <w:rsid w:val="00097C47"/>
    <w:rsid w:val="00097DCD"/>
    <w:rsid w:val="00097DF4"/>
    <w:rsid w:val="00097DFF"/>
    <w:rsid w:val="00097E84"/>
    <w:rsid w:val="00097F12"/>
    <w:rsid w:val="000A0160"/>
    <w:rsid w:val="000A020C"/>
    <w:rsid w:val="000A0386"/>
    <w:rsid w:val="000A04D4"/>
    <w:rsid w:val="000A04E7"/>
    <w:rsid w:val="000A0627"/>
    <w:rsid w:val="000A0653"/>
    <w:rsid w:val="000A06A2"/>
    <w:rsid w:val="000A06CC"/>
    <w:rsid w:val="000A06D2"/>
    <w:rsid w:val="000A0851"/>
    <w:rsid w:val="000A09B3"/>
    <w:rsid w:val="000A0A6E"/>
    <w:rsid w:val="000A0BE2"/>
    <w:rsid w:val="000A0D08"/>
    <w:rsid w:val="000A0E30"/>
    <w:rsid w:val="000A1143"/>
    <w:rsid w:val="000A11C0"/>
    <w:rsid w:val="000A1214"/>
    <w:rsid w:val="000A178B"/>
    <w:rsid w:val="000A17B5"/>
    <w:rsid w:val="000A17CF"/>
    <w:rsid w:val="000A184F"/>
    <w:rsid w:val="000A1A37"/>
    <w:rsid w:val="000A1A4A"/>
    <w:rsid w:val="000A1CDB"/>
    <w:rsid w:val="000A1D68"/>
    <w:rsid w:val="000A2038"/>
    <w:rsid w:val="000A2194"/>
    <w:rsid w:val="000A21C6"/>
    <w:rsid w:val="000A21CD"/>
    <w:rsid w:val="000A21D0"/>
    <w:rsid w:val="000A229F"/>
    <w:rsid w:val="000A22A6"/>
    <w:rsid w:val="000A2375"/>
    <w:rsid w:val="000A240E"/>
    <w:rsid w:val="000A2422"/>
    <w:rsid w:val="000A2579"/>
    <w:rsid w:val="000A2836"/>
    <w:rsid w:val="000A2874"/>
    <w:rsid w:val="000A2ACB"/>
    <w:rsid w:val="000A2AE9"/>
    <w:rsid w:val="000A2F54"/>
    <w:rsid w:val="000A318E"/>
    <w:rsid w:val="000A32A7"/>
    <w:rsid w:val="000A3494"/>
    <w:rsid w:val="000A3623"/>
    <w:rsid w:val="000A36A8"/>
    <w:rsid w:val="000A3719"/>
    <w:rsid w:val="000A3BED"/>
    <w:rsid w:val="000A3C61"/>
    <w:rsid w:val="000A3CA9"/>
    <w:rsid w:val="000A3F8C"/>
    <w:rsid w:val="000A413C"/>
    <w:rsid w:val="000A41C1"/>
    <w:rsid w:val="000A42B9"/>
    <w:rsid w:val="000A45B7"/>
    <w:rsid w:val="000A475E"/>
    <w:rsid w:val="000A47BF"/>
    <w:rsid w:val="000A48A4"/>
    <w:rsid w:val="000A4BFD"/>
    <w:rsid w:val="000A4C6D"/>
    <w:rsid w:val="000A4CFB"/>
    <w:rsid w:val="000A4E5B"/>
    <w:rsid w:val="000A50BD"/>
    <w:rsid w:val="000A50BF"/>
    <w:rsid w:val="000A51E6"/>
    <w:rsid w:val="000A5439"/>
    <w:rsid w:val="000A549F"/>
    <w:rsid w:val="000A5599"/>
    <w:rsid w:val="000A5822"/>
    <w:rsid w:val="000A5A0A"/>
    <w:rsid w:val="000A5A59"/>
    <w:rsid w:val="000A5D43"/>
    <w:rsid w:val="000A5DB3"/>
    <w:rsid w:val="000A61D0"/>
    <w:rsid w:val="000A629B"/>
    <w:rsid w:val="000A62DB"/>
    <w:rsid w:val="000A6608"/>
    <w:rsid w:val="000A6748"/>
    <w:rsid w:val="000A6A07"/>
    <w:rsid w:val="000A6A77"/>
    <w:rsid w:val="000A6AEA"/>
    <w:rsid w:val="000A6C4E"/>
    <w:rsid w:val="000A6E5E"/>
    <w:rsid w:val="000A7311"/>
    <w:rsid w:val="000A7330"/>
    <w:rsid w:val="000A743D"/>
    <w:rsid w:val="000A7441"/>
    <w:rsid w:val="000A7497"/>
    <w:rsid w:val="000A75DD"/>
    <w:rsid w:val="000A7682"/>
    <w:rsid w:val="000A76D6"/>
    <w:rsid w:val="000A77CA"/>
    <w:rsid w:val="000A7950"/>
    <w:rsid w:val="000A7F18"/>
    <w:rsid w:val="000A7FE6"/>
    <w:rsid w:val="000B00BD"/>
    <w:rsid w:val="000B0133"/>
    <w:rsid w:val="000B0195"/>
    <w:rsid w:val="000B04BC"/>
    <w:rsid w:val="000B0915"/>
    <w:rsid w:val="000B0BDA"/>
    <w:rsid w:val="000B0DAF"/>
    <w:rsid w:val="000B0E39"/>
    <w:rsid w:val="000B0EB6"/>
    <w:rsid w:val="000B0F6C"/>
    <w:rsid w:val="000B1077"/>
    <w:rsid w:val="000B1133"/>
    <w:rsid w:val="000B115C"/>
    <w:rsid w:val="000B1184"/>
    <w:rsid w:val="000B11A7"/>
    <w:rsid w:val="000B126B"/>
    <w:rsid w:val="000B12AA"/>
    <w:rsid w:val="000B1327"/>
    <w:rsid w:val="000B13AA"/>
    <w:rsid w:val="000B1484"/>
    <w:rsid w:val="000B14DD"/>
    <w:rsid w:val="000B1615"/>
    <w:rsid w:val="000B18F2"/>
    <w:rsid w:val="000B193C"/>
    <w:rsid w:val="000B19B0"/>
    <w:rsid w:val="000B1CD1"/>
    <w:rsid w:val="000B1E9C"/>
    <w:rsid w:val="000B1F15"/>
    <w:rsid w:val="000B1F6A"/>
    <w:rsid w:val="000B1FAF"/>
    <w:rsid w:val="000B1FE1"/>
    <w:rsid w:val="000B2277"/>
    <w:rsid w:val="000B2356"/>
    <w:rsid w:val="000B244A"/>
    <w:rsid w:val="000B248F"/>
    <w:rsid w:val="000B249B"/>
    <w:rsid w:val="000B2586"/>
    <w:rsid w:val="000B258F"/>
    <w:rsid w:val="000B269F"/>
    <w:rsid w:val="000B2713"/>
    <w:rsid w:val="000B2870"/>
    <w:rsid w:val="000B2874"/>
    <w:rsid w:val="000B28BB"/>
    <w:rsid w:val="000B2A29"/>
    <w:rsid w:val="000B2AAC"/>
    <w:rsid w:val="000B2ABF"/>
    <w:rsid w:val="000B2AE1"/>
    <w:rsid w:val="000B2D91"/>
    <w:rsid w:val="000B2E3D"/>
    <w:rsid w:val="000B2EF7"/>
    <w:rsid w:val="000B34EA"/>
    <w:rsid w:val="000B365A"/>
    <w:rsid w:val="000B366E"/>
    <w:rsid w:val="000B3870"/>
    <w:rsid w:val="000B39DB"/>
    <w:rsid w:val="000B3A8B"/>
    <w:rsid w:val="000B3B1B"/>
    <w:rsid w:val="000B3BAB"/>
    <w:rsid w:val="000B3BE8"/>
    <w:rsid w:val="000B3F9F"/>
    <w:rsid w:val="000B4023"/>
    <w:rsid w:val="000B40E4"/>
    <w:rsid w:val="000B42BF"/>
    <w:rsid w:val="000B42E5"/>
    <w:rsid w:val="000B4472"/>
    <w:rsid w:val="000B457D"/>
    <w:rsid w:val="000B4709"/>
    <w:rsid w:val="000B4843"/>
    <w:rsid w:val="000B487E"/>
    <w:rsid w:val="000B48C7"/>
    <w:rsid w:val="000B48F8"/>
    <w:rsid w:val="000B4903"/>
    <w:rsid w:val="000B4ADB"/>
    <w:rsid w:val="000B4B07"/>
    <w:rsid w:val="000B4B99"/>
    <w:rsid w:val="000B4C5D"/>
    <w:rsid w:val="000B4E0B"/>
    <w:rsid w:val="000B4F37"/>
    <w:rsid w:val="000B4F4B"/>
    <w:rsid w:val="000B50A8"/>
    <w:rsid w:val="000B5201"/>
    <w:rsid w:val="000B5269"/>
    <w:rsid w:val="000B52AC"/>
    <w:rsid w:val="000B5398"/>
    <w:rsid w:val="000B543A"/>
    <w:rsid w:val="000B5486"/>
    <w:rsid w:val="000B54B5"/>
    <w:rsid w:val="000B556B"/>
    <w:rsid w:val="000B5AA3"/>
    <w:rsid w:val="000B5AEB"/>
    <w:rsid w:val="000B5B49"/>
    <w:rsid w:val="000B5B74"/>
    <w:rsid w:val="000B5BFE"/>
    <w:rsid w:val="000B5D1B"/>
    <w:rsid w:val="000B5E32"/>
    <w:rsid w:val="000B5E92"/>
    <w:rsid w:val="000B5EA3"/>
    <w:rsid w:val="000B5FF5"/>
    <w:rsid w:val="000B602F"/>
    <w:rsid w:val="000B60A2"/>
    <w:rsid w:val="000B612A"/>
    <w:rsid w:val="000B6183"/>
    <w:rsid w:val="000B636C"/>
    <w:rsid w:val="000B636D"/>
    <w:rsid w:val="000B63BE"/>
    <w:rsid w:val="000B63E6"/>
    <w:rsid w:val="000B64FC"/>
    <w:rsid w:val="000B66DC"/>
    <w:rsid w:val="000B6721"/>
    <w:rsid w:val="000B675F"/>
    <w:rsid w:val="000B67DF"/>
    <w:rsid w:val="000B6963"/>
    <w:rsid w:val="000B6A11"/>
    <w:rsid w:val="000B6AB6"/>
    <w:rsid w:val="000B6B41"/>
    <w:rsid w:val="000B6B88"/>
    <w:rsid w:val="000B6D2E"/>
    <w:rsid w:val="000B6EB7"/>
    <w:rsid w:val="000B703C"/>
    <w:rsid w:val="000B707E"/>
    <w:rsid w:val="000B70FC"/>
    <w:rsid w:val="000B72AD"/>
    <w:rsid w:val="000B7429"/>
    <w:rsid w:val="000B7572"/>
    <w:rsid w:val="000B78F3"/>
    <w:rsid w:val="000B7B9C"/>
    <w:rsid w:val="000B7CBA"/>
    <w:rsid w:val="000B7DD4"/>
    <w:rsid w:val="000B7EB1"/>
    <w:rsid w:val="000B7F3E"/>
    <w:rsid w:val="000B7FFA"/>
    <w:rsid w:val="000BBF1E"/>
    <w:rsid w:val="000C006B"/>
    <w:rsid w:val="000C01CD"/>
    <w:rsid w:val="000C025A"/>
    <w:rsid w:val="000C043D"/>
    <w:rsid w:val="000C045D"/>
    <w:rsid w:val="000C06BC"/>
    <w:rsid w:val="000C07D4"/>
    <w:rsid w:val="000C07FF"/>
    <w:rsid w:val="000C0929"/>
    <w:rsid w:val="000C0B18"/>
    <w:rsid w:val="000C0C8F"/>
    <w:rsid w:val="000C0C9A"/>
    <w:rsid w:val="000C0DFD"/>
    <w:rsid w:val="000C0F8A"/>
    <w:rsid w:val="000C11ED"/>
    <w:rsid w:val="000C11F3"/>
    <w:rsid w:val="000C12DC"/>
    <w:rsid w:val="000C1352"/>
    <w:rsid w:val="000C135A"/>
    <w:rsid w:val="000C1411"/>
    <w:rsid w:val="000C1501"/>
    <w:rsid w:val="000C1634"/>
    <w:rsid w:val="000C17FE"/>
    <w:rsid w:val="000C182B"/>
    <w:rsid w:val="000C1A6A"/>
    <w:rsid w:val="000C1B78"/>
    <w:rsid w:val="000C1BB8"/>
    <w:rsid w:val="000C1D5E"/>
    <w:rsid w:val="000C1F90"/>
    <w:rsid w:val="000C1FF0"/>
    <w:rsid w:val="000C1FFE"/>
    <w:rsid w:val="000C2120"/>
    <w:rsid w:val="000C2146"/>
    <w:rsid w:val="000C21A7"/>
    <w:rsid w:val="000C2300"/>
    <w:rsid w:val="000C239F"/>
    <w:rsid w:val="000C25A8"/>
    <w:rsid w:val="000C27F9"/>
    <w:rsid w:val="000C2895"/>
    <w:rsid w:val="000C2959"/>
    <w:rsid w:val="000C29E6"/>
    <w:rsid w:val="000C2A71"/>
    <w:rsid w:val="000C2B4F"/>
    <w:rsid w:val="000C2B66"/>
    <w:rsid w:val="000C2C08"/>
    <w:rsid w:val="000C2D97"/>
    <w:rsid w:val="000C2E1D"/>
    <w:rsid w:val="000C2E91"/>
    <w:rsid w:val="000C32AE"/>
    <w:rsid w:val="000C3457"/>
    <w:rsid w:val="000C34DD"/>
    <w:rsid w:val="000C3545"/>
    <w:rsid w:val="000C362D"/>
    <w:rsid w:val="000C37C8"/>
    <w:rsid w:val="000C38BA"/>
    <w:rsid w:val="000C3B2C"/>
    <w:rsid w:val="000C3C41"/>
    <w:rsid w:val="000C3CF3"/>
    <w:rsid w:val="000C3E01"/>
    <w:rsid w:val="000C3E80"/>
    <w:rsid w:val="000C3EF4"/>
    <w:rsid w:val="000C401A"/>
    <w:rsid w:val="000C4049"/>
    <w:rsid w:val="000C4206"/>
    <w:rsid w:val="000C46DC"/>
    <w:rsid w:val="000C4734"/>
    <w:rsid w:val="000C4834"/>
    <w:rsid w:val="000C4927"/>
    <w:rsid w:val="000C497C"/>
    <w:rsid w:val="000C4CBF"/>
    <w:rsid w:val="000C4D87"/>
    <w:rsid w:val="000C4E4E"/>
    <w:rsid w:val="000C4FA1"/>
    <w:rsid w:val="000C4FC7"/>
    <w:rsid w:val="000C4FDA"/>
    <w:rsid w:val="000C5033"/>
    <w:rsid w:val="000C505B"/>
    <w:rsid w:val="000C533A"/>
    <w:rsid w:val="000C5365"/>
    <w:rsid w:val="000C53EE"/>
    <w:rsid w:val="000C542C"/>
    <w:rsid w:val="000C57BE"/>
    <w:rsid w:val="000C583F"/>
    <w:rsid w:val="000C5890"/>
    <w:rsid w:val="000C58AB"/>
    <w:rsid w:val="000C58E5"/>
    <w:rsid w:val="000C59F1"/>
    <w:rsid w:val="000C5B32"/>
    <w:rsid w:val="000C5B4A"/>
    <w:rsid w:val="000C5B75"/>
    <w:rsid w:val="000C5C54"/>
    <w:rsid w:val="000C60B3"/>
    <w:rsid w:val="000C6210"/>
    <w:rsid w:val="000C62BF"/>
    <w:rsid w:val="000C657E"/>
    <w:rsid w:val="000C660A"/>
    <w:rsid w:val="000C66BC"/>
    <w:rsid w:val="000C68BE"/>
    <w:rsid w:val="000C68DE"/>
    <w:rsid w:val="000C6BC6"/>
    <w:rsid w:val="000C6F34"/>
    <w:rsid w:val="000C6F47"/>
    <w:rsid w:val="000C70FE"/>
    <w:rsid w:val="000C7359"/>
    <w:rsid w:val="000C73C8"/>
    <w:rsid w:val="000C742D"/>
    <w:rsid w:val="000C7431"/>
    <w:rsid w:val="000C74B0"/>
    <w:rsid w:val="000C7794"/>
    <w:rsid w:val="000C77D3"/>
    <w:rsid w:val="000C7AED"/>
    <w:rsid w:val="000C7C93"/>
    <w:rsid w:val="000C7E78"/>
    <w:rsid w:val="000C7EC9"/>
    <w:rsid w:val="000C7F27"/>
    <w:rsid w:val="000D004D"/>
    <w:rsid w:val="000D00C2"/>
    <w:rsid w:val="000D01FC"/>
    <w:rsid w:val="000D0489"/>
    <w:rsid w:val="000D0643"/>
    <w:rsid w:val="000D07AC"/>
    <w:rsid w:val="000D07C1"/>
    <w:rsid w:val="000D07D0"/>
    <w:rsid w:val="000D0985"/>
    <w:rsid w:val="000D09AA"/>
    <w:rsid w:val="000D0A1B"/>
    <w:rsid w:val="000D0BC4"/>
    <w:rsid w:val="000D0BE7"/>
    <w:rsid w:val="000D0C79"/>
    <w:rsid w:val="000D0E4C"/>
    <w:rsid w:val="000D0F29"/>
    <w:rsid w:val="000D0FA9"/>
    <w:rsid w:val="000D10F4"/>
    <w:rsid w:val="000D1203"/>
    <w:rsid w:val="000D1358"/>
    <w:rsid w:val="000D13A1"/>
    <w:rsid w:val="000D13AA"/>
    <w:rsid w:val="000D1414"/>
    <w:rsid w:val="000D14A6"/>
    <w:rsid w:val="000D1513"/>
    <w:rsid w:val="000D1578"/>
    <w:rsid w:val="000D188A"/>
    <w:rsid w:val="000D1939"/>
    <w:rsid w:val="000D1C32"/>
    <w:rsid w:val="000D1D55"/>
    <w:rsid w:val="000D1E45"/>
    <w:rsid w:val="000D1F1D"/>
    <w:rsid w:val="000D1F63"/>
    <w:rsid w:val="000D202F"/>
    <w:rsid w:val="000D21FB"/>
    <w:rsid w:val="000D22F2"/>
    <w:rsid w:val="000D254F"/>
    <w:rsid w:val="000D25BF"/>
    <w:rsid w:val="000D2681"/>
    <w:rsid w:val="000D2686"/>
    <w:rsid w:val="000D268A"/>
    <w:rsid w:val="000D29DB"/>
    <w:rsid w:val="000D2A3E"/>
    <w:rsid w:val="000D2AEA"/>
    <w:rsid w:val="000D2CBF"/>
    <w:rsid w:val="000D311B"/>
    <w:rsid w:val="000D3175"/>
    <w:rsid w:val="000D3261"/>
    <w:rsid w:val="000D3742"/>
    <w:rsid w:val="000D3824"/>
    <w:rsid w:val="000D38A7"/>
    <w:rsid w:val="000D38E1"/>
    <w:rsid w:val="000D3BAB"/>
    <w:rsid w:val="000D3DD0"/>
    <w:rsid w:val="000D3E0C"/>
    <w:rsid w:val="000D3EDA"/>
    <w:rsid w:val="000D3F31"/>
    <w:rsid w:val="000D3FC9"/>
    <w:rsid w:val="000D40C8"/>
    <w:rsid w:val="000D42CA"/>
    <w:rsid w:val="000D430F"/>
    <w:rsid w:val="000D43B2"/>
    <w:rsid w:val="000D471B"/>
    <w:rsid w:val="000D4805"/>
    <w:rsid w:val="000D490F"/>
    <w:rsid w:val="000D49C2"/>
    <w:rsid w:val="000D49CD"/>
    <w:rsid w:val="000D4B47"/>
    <w:rsid w:val="000D4C5F"/>
    <w:rsid w:val="000D4D69"/>
    <w:rsid w:val="000D4D78"/>
    <w:rsid w:val="000D4D87"/>
    <w:rsid w:val="000D4DE5"/>
    <w:rsid w:val="000D4DF4"/>
    <w:rsid w:val="000D4F8C"/>
    <w:rsid w:val="000D4FC9"/>
    <w:rsid w:val="000D5065"/>
    <w:rsid w:val="000D5286"/>
    <w:rsid w:val="000D547A"/>
    <w:rsid w:val="000D5669"/>
    <w:rsid w:val="000D56BC"/>
    <w:rsid w:val="000D58D0"/>
    <w:rsid w:val="000D5BF0"/>
    <w:rsid w:val="000D5C6C"/>
    <w:rsid w:val="000D5D74"/>
    <w:rsid w:val="000D5DC0"/>
    <w:rsid w:val="000D5F57"/>
    <w:rsid w:val="000D5FD7"/>
    <w:rsid w:val="000D608E"/>
    <w:rsid w:val="000D648D"/>
    <w:rsid w:val="000D65F1"/>
    <w:rsid w:val="000D6700"/>
    <w:rsid w:val="000D6953"/>
    <w:rsid w:val="000D69B8"/>
    <w:rsid w:val="000D69ED"/>
    <w:rsid w:val="000D6A42"/>
    <w:rsid w:val="000D6ADD"/>
    <w:rsid w:val="000D6B91"/>
    <w:rsid w:val="000D6D74"/>
    <w:rsid w:val="000D6E4B"/>
    <w:rsid w:val="000D6E60"/>
    <w:rsid w:val="000D6F1B"/>
    <w:rsid w:val="000D6F5E"/>
    <w:rsid w:val="000D6F6A"/>
    <w:rsid w:val="000D6FA9"/>
    <w:rsid w:val="000D6FE8"/>
    <w:rsid w:val="000D726A"/>
    <w:rsid w:val="000D72F8"/>
    <w:rsid w:val="000D7355"/>
    <w:rsid w:val="000D73BA"/>
    <w:rsid w:val="000D73D1"/>
    <w:rsid w:val="000D77B5"/>
    <w:rsid w:val="000D7891"/>
    <w:rsid w:val="000D7892"/>
    <w:rsid w:val="000D79AC"/>
    <w:rsid w:val="000D7ACD"/>
    <w:rsid w:val="000D7BFF"/>
    <w:rsid w:val="000D7E2B"/>
    <w:rsid w:val="000D7FD4"/>
    <w:rsid w:val="000E00D3"/>
    <w:rsid w:val="000E00E7"/>
    <w:rsid w:val="000E0140"/>
    <w:rsid w:val="000E01D8"/>
    <w:rsid w:val="000E0230"/>
    <w:rsid w:val="000E02B5"/>
    <w:rsid w:val="000E02E0"/>
    <w:rsid w:val="000E033C"/>
    <w:rsid w:val="000E0396"/>
    <w:rsid w:val="000E0456"/>
    <w:rsid w:val="000E0631"/>
    <w:rsid w:val="000E0693"/>
    <w:rsid w:val="000E075A"/>
    <w:rsid w:val="000E0762"/>
    <w:rsid w:val="000E07FD"/>
    <w:rsid w:val="000E082D"/>
    <w:rsid w:val="000E0928"/>
    <w:rsid w:val="000E09D0"/>
    <w:rsid w:val="000E0A78"/>
    <w:rsid w:val="000E0E3C"/>
    <w:rsid w:val="000E10A2"/>
    <w:rsid w:val="000E1114"/>
    <w:rsid w:val="000E1157"/>
    <w:rsid w:val="000E12B5"/>
    <w:rsid w:val="000E1315"/>
    <w:rsid w:val="000E1348"/>
    <w:rsid w:val="000E1397"/>
    <w:rsid w:val="000E169C"/>
    <w:rsid w:val="000E1B00"/>
    <w:rsid w:val="000E1B1C"/>
    <w:rsid w:val="000E1BA7"/>
    <w:rsid w:val="000E1BA8"/>
    <w:rsid w:val="000E1C26"/>
    <w:rsid w:val="000E1DD9"/>
    <w:rsid w:val="000E1FD4"/>
    <w:rsid w:val="000E2029"/>
    <w:rsid w:val="000E2136"/>
    <w:rsid w:val="000E2168"/>
    <w:rsid w:val="000E2198"/>
    <w:rsid w:val="000E21EE"/>
    <w:rsid w:val="000E2358"/>
    <w:rsid w:val="000E241D"/>
    <w:rsid w:val="000E2525"/>
    <w:rsid w:val="000E2549"/>
    <w:rsid w:val="000E25A9"/>
    <w:rsid w:val="000E25D9"/>
    <w:rsid w:val="000E282A"/>
    <w:rsid w:val="000E295E"/>
    <w:rsid w:val="000E2A2A"/>
    <w:rsid w:val="000E2AB7"/>
    <w:rsid w:val="000E2AB9"/>
    <w:rsid w:val="000E2C9C"/>
    <w:rsid w:val="000E3086"/>
    <w:rsid w:val="000E3108"/>
    <w:rsid w:val="000E33DD"/>
    <w:rsid w:val="000E3404"/>
    <w:rsid w:val="000E345B"/>
    <w:rsid w:val="000E3512"/>
    <w:rsid w:val="000E35FF"/>
    <w:rsid w:val="000E3678"/>
    <w:rsid w:val="000E36E8"/>
    <w:rsid w:val="000E372B"/>
    <w:rsid w:val="000E373B"/>
    <w:rsid w:val="000E3796"/>
    <w:rsid w:val="000E38CE"/>
    <w:rsid w:val="000E3BD6"/>
    <w:rsid w:val="000E3C2E"/>
    <w:rsid w:val="000E3D99"/>
    <w:rsid w:val="000E3DAA"/>
    <w:rsid w:val="000E3EB5"/>
    <w:rsid w:val="000E3F9D"/>
    <w:rsid w:val="000E4059"/>
    <w:rsid w:val="000E461E"/>
    <w:rsid w:val="000E46F8"/>
    <w:rsid w:val="000E480D"/>
    <w:rsid w:val="000E48F0"/>
    <w:rsid w:val="000E49D6"/>
    <w:rsid w:val="000E4A6E"/>
    <w:rsid w:val="000E4B0D"/>
    <w:rsid w:val="000E4B54"/>
    <w:rsid w:val="000E4C12"/>
    <w:rsid w:val="000E4C2C"/>
    <w:rsid w:val="000E4F51"/>
    <w:rsid w:val="000E5060"/>
    <w:rsid w:val="000E5181"/>
    <w:rsid w:val="000E5260"/>
    <w:rsid w:val="000E5384"/>
    <w:rsid w:val="000E55BC"/>
    <w:rsid w:val="000E5601"/>
    <w:rsid w:val="000E5617"/>
    <w:rsid w:val="000E5765"/>
    <w:rsid w:val="000E5776"/>
    <w:rsid w:val="000E57FB"/>
    <w:rsid w:val="000E5B28"/>
    <w:rsid w:val="000E5B3C"/>
    <w:rsid w:val="000E5C79"/>
    <w:rsid w:val="000E5D14"/>
    <w:rsid w:val="000E5E32"/>
    <w:rsid w:val="000E607C"/>
    <w:rsid w:val="000E60A2"/>
    <w:rsid w:val="000E60A8"/>
    <w:rsid w:val="000E60FD"/>
    <w:rsid w:val="000E6487"/>
    <w:rsid w:val="000E65FD"/>
    <w:rsid w:val="000E677B"/>
    <w:rsid w:val="000E680B"/>
    <w:rsid w:val="000E6AE1"/>
    <w:rsid w:val="000E6AF2"/>
    <w:rsid w:val="000E6BA8"/>
    <w:rsid w:val="000E6BF5"/>
    <w:rsid w:val="000E6DB5"/>
    <w:rsid w:val="000E6DE8"/>
    <w:rsid w:val="000E6F8C"/>
    <w:rsid w:val="000E7174"/>
    <w:rsid w:val="000E727E"/>
    <w:rsid w:val="000E72A6"/>
    <w:rsid w:val="000E72AF"/>
    <w:rsid w:val="000E7566"/>
    <w:rsid w:val="000E7589"/>
    <w:rsid w:val="000E7595"/>
    <w:rsid w:val="000E763B"/>
    <w:rsid w:val="000E77F7"/>
    <w:rsid w:val="000E7A2A"/>
    <w:rsid w:val="000E7D32"/>
    <w:rsid w:val="000F00B3"/>
    <w:rsid w:val="000F0120"/>
    <w:rsid w:val="000F0138"/>
    <w:rsid w:val="000F019D"/>
    <w:rsid w:val="000F01AD"/>
    <w:rsid w:val="000F01EC"/>
    <w:rsid w:val="000F0241"/>
    <w:rsid w:val="000F033B"/>
    <w:rsid w:val="000F0558"/>
    <w:rsid w:val="000F071C"/>
    <w:rsid w:val="000F080B"/>
    <w:rsid w:val="000F08ED"/>
    <w:rsid w:val="000F091C"/>
    <w:rsid w:val="000F0C02"/>
    <w:rsid w:val="000F0C38"/>
    <w:rsid w:val="000F0E91"/>
    <w:rsid w:val="000F0E93"/>
    <w:rsid w:val="000F0EC3"/>
    <w:rsid w:val="000F119F"/>
    <w:rsid w:val="000F1235"/>
    <w:rsid w:val="000F129B"/>
    <w:rsid w:val="000F1457"/>
    <w:rsid w:val="000F14DB"/>
    <w:rsid w:val="000F15F2"/>
    <w:rsid w:val="000F169A"/>
    <w:rsid w:val="000F176F"/>
    <w:rsid w:val="000F1793"/>
    <w:rsid w:val="000F17E2"/>
    <w:rsid w:val="000F18EC"/>
    <w:rsid w:val="000F1CDF"/>
    <w:rsid w:val="000F20B9"/>
    <w:rsid w:val="000F20C5"/>
    <w:rsid w:val="000F21E2"/>
    <w:rsid w:val="000F2337"/>
    <w:rsid w:val="000F24E4"/>
    <w:rsid w:val="000F2548"/>
    <w:rsid w:val="000F2560"/>
    <w:rsid w:val="000F27CA"/>
    <w:rsid w:val="000F2879"/>
    <w:rsid w:val="000F28DE"/>
    <w:rsid w:val="000F2CAD"/>
    <w:rsid w:val="000F2CB7"/>
    <w:rsid w:val="000F2D60"/>
    <w:rsid w:val="000F2D85"/>
    <w:rsid w:val="000F2E10"/>
    <w:rsid w:val="000F2E1B"/>
    <w:rsid w:val="000F2E79"/>
    <w:rsid w:val="000F2EA4"/>
    <w:rsid w:val="000F3669"/>
    <w:rsid w:val="000F36F4"/>
    <w:rsid w:val="000F3718"/>
    <w:rsid w:val="000F3769"/>
    <w:rsid w:val="000F395D"/>
    <w:rsid w:val="000F3A80"/>
    <w:rsid w:val="000F3BED"/>
    <w:rsid w:val="000F3C2D"/>
    <w:rsid w:val="000F3D3A"/>
    <w:rsid w:val="000F409E"/>
    <w:rsid w:val="000F4229"/>
    <w:rsid w:val="000F42B7"/>
    <w:rsid w:val="000F4550"/>
    <w:rsid w:val="000F4566"/>
    <w:rsid w:val="000F46AA"/>
    <w:rsid w:val="000F4709"/>
    <w:rsid w:val="000F4749"/>
    <w:rsid w:val="000F4761"/>
    <w:rsid w:val="000F4848"/>
    <w:rsid w:val="000F4911"/>
    <w:rsid w:val="000F4934"/>
    <w:rsid w:val="000F495D"/>
    <w:rsid w:val="000F4ACD"/>
    <w:rsid w:val="000F4B39"/>
    <w:rsid w:val="000F4C21"/>
    <w:rsid w:val="000F4C23"/>
    <w:rsid w:val="000F4D81"/>
    <w:rsid w:val="000F50C0"/>
    <w:rsid w:val="000F5199"/>
    <w:rsid w:val="000F51AD"/>
    <w:rsid w:val="000F51B7"/>
    <w:rsid w:val="000F528A"/>
    <w:rsid w:val="000F5406"/>
    <w:rsid w:val="000F55C6"/>
    <w:rsid w:val="000F5635"/>
    <w:rsid w:val="000F5AE6"/>
    <w:rsid w:val="000F5B4E"/>
    <w:rsid w:val="000F5C3A"/>
    <w:rsid w:val="000F5C74"/>
    <w:rsid w:val="000F5DA0"/>
    <w:rsid w:val="000F5DE0"/>
    <w:rsid w:val="000F5E23"/>
    <w:rsid w:val="000F5EE5"/>
    <w:rsid w:val="000F601D"/>
    <w:rsid w:val="000F6036"/>
    <w:rsid w:val="000F6113"/>
    <w:rsid w:val="000F618F"/>
    <w:rsid w:val="000F6277"/>
    <w:rsid w:val="000F62BF"/>
    <w:rsid w:val="000F652B"/>
    <w:rsid w:val="000F652E"/>
    <w:rsid w:val="000F65C2"/>
    <w:rsid w:val="000F6625"/>
    <w:rsid w:val="000F6854"/>
    <w:rsid w:val="000F685F"/>
    <w:rsid w:val="000F6B60"/>
    <w:rsid w:val="000F6B86"/>
    <w:rsid w:val="000F6BB6"/>
    <w:rsid w:val="000F6C55"/>
    <w:rsid w:val="000F6DC8"/>
    <w:rsid w:val="000F6E36"/>
    <w:rsid w:val="000F6E6A"/>
    <w:rsid w:val="000F6F11"/>
    <w:rsid w:val="000F6FB1"/>
    <w:rsid w:val="000F7039"/>
    <w:rsid w:val="000F7052"/>
    <w:rsid w:val="000F70AD"/>
    <w:rsid w:val="000F713E"/>
    <w:rsid w:val="000F726A"/>
    <w:rsid w:val="000F7342"/>
    <w:rsid w:val="000F7356"/>
    <w:rsid w:val="000F738C"/>
    <w:rsid w:val="000F77D3"/>
    <w:rsid w:val="000F7AE3"/>
    <w:rsid w:val="000F7B5E"/>
    <w:rsid w:val="000F7B74"/>
    <w:rsid w:val="000F7BAA"/>
    <w:rsid w:val="000F7BBE"/>
    <w:rsid w:val="000F7C04"/>
    <w:rsid w:val="000F7D51"/>
    <w:rsid w:val="000F7EB0"/>
    <w:rsid w:val="000F7F41"/>
    <w:rsid w:val="000F7F4E"/>
    <w:rsid w:val="001002D9"/>
    <w:rsid w:val="00100318"/>
    <w:rsid w:val="0010054C"/>
    <w:rsid w:val="00100618"/>
    <w:rsid w:val="001007BD"/>
    <w:rsid w:val="001009CD"/>
    <w:rsid w:val="00100C2A"/>
    <w:rsid w:val="00100CE4"/>
    <w:rsid w:val="00100D6C"/>
    <w:rsid w:val="00100E2F"/>
    <w:rsid w:val="00100FA4"/>
    <w:rsid w:val="0010103B"/>
    <w:rsid w:val="0010117E"/>
    <w:rsid w:val="001014D2"/>
    <w:rsid w:val="0010158C"/>
    <w:rsid w:val="00101679"/>
    <w:rsid w:val="001016A8"/>
    <w:rsid w:val="001016DB"/>
    <w:rsid w:val="001018B5"/>
    <w:rsid w:val="001018D5"/>
    <w:rsid w:val="00101931"/>
    <w:rsid w:val="00101BE1"/>
    <w:rsid w:val="00101C14"/>
    <w:rsid w:val="00101D79"/>
    <w:rsid w:val="00101E42"/>
    <w:rsid w:val="00101F65"/>
    <w:rsid w:val="00101FA8"/>
    <w:rsid w:val="001021D8"/>
    <w:rsid w:val="00102288"/>
    <w:rsid w:val="001022F1"/>
    <w:rsid w:val="00102342"/>
    <w:rsid w:val="00102481"/>
    <w:rsid w:val="001024BA"/>
    <w:rsid w:val="001024CA"/>
    <w:rsid w:val="001024D0"/>
    <w:rsid w:val="001025B3"/>
    <w:rsid w:val="00102623"/>
    <w:rsid w:val="00102652"/>
    <w:rsid w:val="00102658"/>
    <w:rsid w:val="00102778"/>
    <w:rsid w:val="001027A6"/>
    <w:rsid w:val="00102830"/>
    <w:rsid w:val="00102CB0"/>
    <w:rsid w:val="00102D1E"/>
    <w:rsid w:val="00102E21"/>
    <w:rsid w:val="00102FCD"/>
    <w:rsid w:val="00103099"/>
    <w:rsid w:val="00103359"/>
    <w:rsid w:val="0010345D"/>
    <w:rsid w:val="00103527"/>
    <w:rsid w:val="0010355E"/>
    <w:rsid w:val="0010374C"/>
    <w:rsid w:val="0010388B"/>
    <w:rsid w:val="0010390F"/>
    <w:rsid w:val="00103C92"/>
    <w:rsid w:val="0010439E"/>
    <w:rsid w:val="00104481"/>
    <w:rsid w:val="00104665"/>
    <w:rsid w:val="0010472D"/>
    <w:rsid w:val="00104746"/>
    <w:rsid w:val="0010476B"/>
    <w:rsid w:val="0010491B"/>
    <w:rsid w:val="00104A07"/>
    <w:rsid w:val="00104A79"/>
    <w:rsid w:val="00104CC3"/>
    <w:rsid w:val="00104CC6"/>
    <w:rsid w:val="00104CEA"/>
    <w:rsid w:val="00104D85"/>
    <w:rsid w:val="001050C7"/>
    <w:rsid w:val="00105183"/>
    <w:rsid w:val="0010529F"/>
    <w:rsid w:val="001052A1"/>
    <w:rsid w:val="0010538D"/>
    <w:rsid w:val="001055E7"/>
    <w:rsid w:val="001056BB"/>
    <w:rsid w:val="001057D4"/>
    <w:rsid w:val="001057F6"/>
    <w:rsid w:val="00105834"/>
    <w:rsid w:val="00105A5D"/>
    <w:rsid w:val="00105F7F"/>
    <w:rsid w:val="001061BA"/>
    <w:rsid w:val="0010628F"/>
    <w:rsid w:val="001062AB"/>
    <w:rsid w:val="00106462"/>
    <w:rsid w:val="0010647F"/>
    <w:rsid w:val="001064C1"/>
    <w:rsid w:val="0010650B"/>
    <w:rsid w:val="001065E1"/>
    <w:rsid w:val="001066AD"/>
    <w:rsid w:val="00106755"/>
    <w:rsid w:val="0010678D"/>
    <w:rsid w:val="001067FD"/>
    <w:rsid w:val="00106872"/>
    <w:rsid w:val="001069B9"/>
    <w:rsid w:val="001069FF"/>
    <w:rsid w:val="00106BB3"/>
    <w:rsid w:val="00106BD2"/>
    <w:rsid w:val="00106CCC"/>
    <w:rsid w:val="00106E4B"/>
    <w:rsid w:val="00106E4F"/>
    <w:rsid w:val="00106EC6"/>
    <w:rsid w:val="00106EE2"/>
    <w:rsid w:val="00106F6A"/>
    <w:rsid w:val="00107079"/>
    <w:rsid w:val="0010707A"/>
    <w:rsid w:val="00107114"/>
    <w:rsid w:val="001071B6"/>
    <w:rsid w:val="001071BA"/>
    <w:rsid w:val="001071F7"/>
    <w:rsid w:val="001072D5"/>
    <w:rsid w:val="001073A1"/>
    <w:rsid w:val="00107546"/>
    <w:rsid w:val="001077E2"/>
    <w:rsid w:val="001079FB"/>
    <w:rsid w:val="00107B49"/>
    <w:rsid w:val="00107BEE"/>
    <w:rsid w:val="00107C34"/>
    <w:rsid w:val="00107CB8"/>
    <w:rsid w:val="00107CE2"/>
    <w:rsid w:val="00107DED"/>
    <w:rsid w:val="00107F81"/>
    <w:rsid w:val="00107FF7"/>
    <w:rsid w:val="00107FFE"/>
    <w:rsid w:val="001101B6"/>
    <w:rsid w:val="00110293"/>
    <w:rsid w:val="0011036F"/>
    <w:rsid w:val="001103DB"/>
    <w:rsid w:val="00110821"/>
    <w:rsid w:val="00110855"/>
    <w:rsid w:val="0011095F"/>
    <w:rsid w:val="00110961"/>
    <w:rsid w:val="001109AA"/>
    <w:rsid w:val="00110ADD"/>
    <w:rsid w:val="00110BDC"/>
    <w:rsid w:val="00110D23"/>
    <w:rsid w:val="00110DFF"/>
    <w:rsid w:val="00110E10"/>
    <w:rsid w:val="00110E18"/>
    <w:rsid w:val="0011102D"/>
    <w:rsid w:val="001110B6"/>
    <w:rsid w:val="001110E6"/>
    <w:rsid w:val="001110EB"/>
    <w:rsid w:val="0011118F"/>
    <w:rsid w:val="00111230"/>
    <w:rsid w:val="0011132E"/>
    <w:rsid w:val="001113D3"/>
    <w:rsid w:val="001113DD"/>
    <w:rsid w:val="001114D3"/>
    <w:rsid w:val="001114D9"/>
    <w:rsid w:val="001115FE"/>
    <w:rsid w:val="0011162C"/>
    <w:rsid w:val="0011164C"/>
    <w:rsid w:val="00111808"/>
    <w:rsid w:val="00111836"/>
    <w:rsid w:val="00111946"/>
    <w:rsid w:val="001119BE"/>
    <w:rsid w:val="00111BEE"/>
    <w:rsid w:val="00111EA5"/>
    <w:rsid w:val="00111F9F"/>
    <w:rsid w:val="00111FA2"/>
    <w:rsid w:val="0011237B"/>
    <w:rsid w:val="0011245C"/>
    <w:rsid w:val="00112463"/>
    <w:rsid w:val="00112553"/>
    <w:rsid w:val="00112554"/>
    <w:rsid w:val="001126CE"/>
    <w:rsid w:val="00112874"/>
    <w:rsid w:val="00112884"/>
    <w:rsid w:val="0011291C"/>
    <w:rsid w:val="00112990"/>
    <w:rsid w:val="001129A4"/>
    <w:rsid w:val="00112CE6"/>
    <w:rsid w:val="0011310E"/>
    <w:rsid w:val="001131D5"/>
    <w:rsid w:val="00113320"/>
    <w:rsid w:val="001135BD"/>
    <w:rsid w:val="0011368E"/>
    <w:rsid w:val="0011397E"/>
    <w:rsid w:val="00113A7B"/>
    <w:rsid w:val="00113B58"/>
    <w:rsid w:val="00113B61"/>
    <w:rsid w:val="00113B8D"/>
    <w:rsid w:val="00113CFA"/>
    <w:rsid w:val="00113EC5"/>
    <w:rsid w:val="00113EE9"/>
    <w:rsid w:val="00113F5C"/>
    <w:rsid w:val="00113F91"/>
    <w:rsid w:val="00113FCE"/>
    <w:rsid w:val="0011424E"/>
    <w:rsid w:val="001142E4"/>
    <w:rsid w:val="00114433"/>
    <w:rsid w:val="001145FB"/>
    <w:rsid w:val="00114622"/>
    <w:rsid w:val="0011467F"/>
    <w:rsid w:val="00114711"/>
    <w:rsid w:val="001148CF"/>
    <w:rsid w:val="001148F6"/>
    <w:rsid w:val="001149D6"/>
    <w:rsid w:val="00114A6A"/>
    <w:rsid w:val="00114C60"/>
    <w:rsid w:val="00114C9A"/>
    <w:rsid w:val="00114D9E"/>
    <w:rsid w:val="00114FE2"/>
    <w:rsid w:val="00115034"/>
    <w:rsid w:val="00115362"/>
    <w:rsid w:val="001155F6"/>
    <w:rsid w:val="00115676"/>
    <w:rsid w:val="00115797"/>
    <w:rsid w:val="001158E3"/>
    <w:rsid w:val="00115924"/>
    <w:rsid w:val="00115B65"/>
    <w:rsid w:val="00115B6F"/>
    <w:rsid w:val="00115C38"/>
    <w:rsid w:val="00115C5A"/>
    <w:rsid w:val="00115D05"/>
    <w:rsid w:val="00115E73"/>
    <w:rsid w:val="00115EB6"/>
    <w:rsid w:val="00115F1A"/>
    <w:rsid w:val="0011601B"/>
    <w:rsid w:val="00116041"/>
    <w:rsid w:val="001161F4"/>
    <w:rsid w:val="00116269"/>
    <w:rsid w:val="0011627E"/>
    <w:rsid w:val="001162A0"/>
    <w:rsid w:val="00116369"/>
    <w:rsid w:val="0011646F"/>
    <w:rsid w:val="0011688D"/>
    <w:rsid w:val="00116923"/>
    <w:rsid w:val="00116924"/>
    <w:rsid w:val="00116974"/>
    <w:rsid w:val="001169A4"/>
    <w:rsid w:val="00116AD6"/>
    <w:rsid w:val="00116AFB"/>
    <w:rsid w:val="00116B08"/>
    <w:rsid w:val="00116C55"/>
    <w:rsid w:val="00116E7A"/>
    <w:rsid w:val="001173F5"/>
    <w:rsid w:val="0011746A"/>
    <w:rsid w:val="0011746C"/>
    <w:rsid w:val="0011766E"/>
    <w:rsid w:val="001176AA"/>
    <w:rsid w:val="00117884"/>
    <w:rsid w:val="0011792F"/>
    <w:rsid w:val="0011797D"/>
    <w:rsid w:val="00117A12"/>
    <w:rsid w:val="00117AD0"/>
    <w:rsid w:val="00117C62"/>
    <w:rsid w:val="00117DD2"/>
    <w:rsid w:val="00120053"/>
    <w:rsid w:val="001202EC"/>
    <w:rsid w:val="001204C3"/>
    <w:rsid w:val="0012073C"/>
    <w:rsid w:val="0012074F"/>
    <w:rsid w:val="001209BB"/>
    <w:rsid w:val="001209D8"/>
    <w:rsid w:val="00120B2E"/>
    <w:rsid w:val="00120B43"/>
    <w:rsid w:val="00120B66"/>
    <w:rsid w:val="00120DCC"/>
    <w:rsid w:val="00120F82"/>
    <w:rsid w:val="00120F88"/>
    <w:rsid w:val="00120F8C"/>
    <w:rsid w:val="00120FCD"/>
    <w:rsid w:val="00121428"/>
    <w:rsid w:val="001214A4"/>
    <w:rsid w:val="00121570"/>
    <w:rsid w:val="001216DA"/>
    <w:rsid w:val="001219BC"/>
    <w:rsid w:val="00121AD5"/>
    <w:rsid w:val="00121DC0"/>
    <w:rsid w:val="00121EA3"/>
    <w:rsid w:val="00121FB8"/>
    <w:rsid w:val="00122131"/>
    <w:rsid w:val="00122199"/>
    <w:rsid w:val="00122219"/>
    <w:rsid w:val="00122220"/>
    <w:rsid w:val="0012223E"/>
    <w:rsid w:val="00122244"/>
    <w:rsid w:val="001222B8"/>
    <w:rsid w:val="001222EF"/>
    <w:rsid w:val="00122318"/>
    <w:rsid w:val="001223F7"/>
    <w:rsid w:val="001224AE"/>
    <w:rsid w:val="0012265C"/>
    <w:rsid w:val="0012284E"/>
    <w:rsid w:val="00122878"/>
    <w:rsid w:val="001228B3"/>
    <w:rsid w:val="00122A7C"/>
    <w:rsid w:val="00122A97"/>
    <w:rsid w:val="00122BC9"/>
    <w:rsid w:val="00122CA7"/>
    <w:rsid w:val="00122E29"/>
    <w:rsid w:val="0012310D"/>
    <w:rsid w:val="0012312A"/>
    <w:rsid w:val="001232D4"/>
    <w:rsid w:val="001232ED"/>
    <w:rsid w:val="00123376"/>
    <w:rsid w:val="0012363B"/>
    <w:rsid w:val="0012369B"/>
    <w:rsid w:val="00123783"/>
    <w:rsid w:val="001237E5"/>
    <w:rsid w:val="0012380E"/>
    <w:rsid w:val="0012385C"/>
    <w:rsid w:val="00123896"/>
    <w:rsid w:val="0012393B"/>
    <w:rsid w:val="001239B7"/>
    <w:rsid w:val="00123A88"/>
    <w:rsid w:val="00123B75"/>
    <w:rsid w:val="00123B9A"/>
    <w:rsid w:val="00123C59"/>
    <w:rsid w:val="00123E22"/>
    <w:rsid w:val="00123E3B"/>
    <w:rsid w:val="00124111"/>
    <w:rsid w:val="001241BE"/>
    <w:rsid w:val="00124215"/>
    <w:rsid w:val="001242F1"/>
    <w:rsid w:val="001242F4"/>
    <w:rsid w:val="00124443"/>
    <w:rsid w:val="00124466"/>
    <w:rsid w:val="001248B6"/>
    <w:rsid w:val="00124933"/>
    <w:rsid w:val="00124988"/>
    <w:rsid w:val="001249C7"/>
    <w:rsid w:val="00124A28"/>
    <w:rsid w:val="00124A47"/>
    <w:rsid w:val="00124BA2"/>
    <w:rsid w:val="00124BC0"/>
    <w:rsid w:val="00124C6D"/>
    <w:rsid w:val="00124C8B"/>
    <w:rsid w:val="00124E46"/>
    <w:rsid w:val="00124E97"/>
    <w:rsid w:val="00124EEC"/>
    <w:rsid w:val="00124F9B"/>
    <w:rsid w:val="00124FA9"/>
    <w:rsid w:val="00125076"/>
    <w:rsid w:val="00125277"/>
    <w:rsid w:val="001252A3"/>
    <w:rsid w:val="001252D5"/>
    <w:rsid w:val="00125360"/>
    <w:rsid w:val="001256E1"/>
    <w:rsid w:val="00125A09"/>
    <w:rsid w:val="00125A8D"/>
    <w:rsid w:val="00125ADB"/>
    <w:rsid w:val="00125B7F"/>
    <w:rsid w:val="00125C3F"/>
    <w:rsid w:val="00125D4E"/>
    <w:rsid w:val="00125E8C"/>
    <w:rsid w:val="00125F15"/>
    <w:rsid w:val="00126137"/>
    <w:rsid w:val="001261E2"/>
    <w:rsid w:val="00126523"/>
    <w:rsid w:val="0012655D"/>
    <w:rsid w:val="00126607"/>
    <w:rsid w:val="0012673A"/>
    <w:rsid w:val="00126839"/>
    <w:rsid w:val="001269AA"/>
    <w:rsid w:val="00126B3A"/>
    <w:rsid w:val="00126B70"/>
    <w:rsid w:val="00126B72"/>
    <w:rsid w:val="00126DDB"/>
    <w:rsid w:val="00126FC4"/>
    <w:rsid w:val="00127001"/>
    <w:rsid w:val="00127041"/>
    <w:rsid w:val="00127132"/>
    <w:rsid w:val="001271FC"/>
    <w:rsid w:val="00127211"/>
    <w:rsid w:val="001272BF"/>
    <w:rsid w:val="001276A5"/>
    <w:rsid w:val="001276CC"/>
    <w:rsid w:val="001276D6"/>
    <w:rsid w:val="00127818"/>
    <w:rsid w:val="00127859"/>
    <w:rsid w:val="001278C9"/>
    <w:rsid w:val="00127AD5"/>
    <w:rsid w:val="00127B76"/>
    <w:rsid w:val="00127D3A"/>
    <w:rsid w:val="00127ED8"/>
    <w:rsid w:val="00127F8A"/>
    <w:rsid w:val="00127FC5"/>
    <w:rsid w:val="00130195"/>
    <w:rsid w:val="001301B6"/>
    <w:rsid w:val="001301F3"/>
    <w:rsid w:val="00130350"/>
    <w:rsid w:val="00130667"/>
    <w:rsid w:val="001307BB"/>
    <w:rsid w:val="00130802"/>
    <w:rsid w:val="00130882"/>
    <w:rsid w:val="00130A42"/>
    <w:rsid w:val="00130E38"/>
    <w:rsid w:val="00130F69"/>
    <w:rsid w:val="00131096"/>
    <w:rsid w:val="0013142C"/>
    <w:rsid w:val="001314CC"/>
    <w:rsid w:val="001316F4"/>
    <w:rsid w:val="00131766"/>
    <w:rsid w:val="00131A71"/>
    <w:rsid w:val="00131B70"/>
    <w:rsid w:val="00131B94"/>
    <w:rsid w:val="00131CA1"/>
    <w:rsid w:val="00131F92"/>
    <w:rsid w:val="0013211E"/>
    <w:rsid w:val="00132259"/>
    <w:rsid w:val="001322FB"/>
    <w:rsid w:val="00132339"/>
    <w:rsid w:val="0013240D"/>
    <w:rsid w:val="001324D9"/>
    <w:rsid w:val="001325BE"/>
    <w:rsid w:val="0013260E"/>
    <w:rsid w:val="001328BB"/>
    <w:rsid w:val="001328F7"/>
    <w:rsid w:val="001329AD"/>
    <w:rsid w:val="00132AE9"/>
    <w:rsid w:val="00132B0A"/>
    <w:rsid w:val="00132B80"/>
    <w:rsid w:val="00132C7F"/>
    <w:rsid w:val="00132DD0"/>
    <w:rsid w:val="00132F58"/>
    <w:rsid w:val="00132FC7"/>
    <w:rsid w:val="001330AE"/>
    <w:rsid w:val="0013319A"/>
    <w:rsid w:val="00133342"/>
    <w:rsid w:val="001334CF"/>
    <w:rsid w:val="001335A8"/>
    <w:rsid w:val="001336E7"/>
    <w:rsid w:val="0013372D"/>
    <w:rsid w:val="001337EF"/>
    <w:rsid w:val="00133811"/>
    <w:rsid w:val="00133B23"/>
    <w:rsid w:val="00133CBE"/>
    <w:rsid w:val="00133DB2"/>
    <w:rsid w:val="00133F41"/>
    <w:rsid w:val="00134014"/>
    <w:rsid w:val="001340A2"/>
    <w:rsid w:val="001340E6"/>
    <w:rsid w:val="00134277"/>
    <w:rsid w:val="0013439E"/>
    <w:rsid w:val="00134518"/>
    <w:rsid w:val="001345C4"/>
    <w:rsid w:val="001348FD"/>
    <w:rsid w:val="0013492A"/>
    <w:rsid w:val="001349A8"/>
    <w:rsid w:val="00134B9B"/>
    <w:rsid w:val="00134BE0"/>
    <w:rsid w:val="00134C2B"/>
    <w:rsid w:val="00134D02"/>
    <w:rsid w:val="00134DEB"/>
    <w:rsid w:val="00134F40"/>
    <w:rsid w:val="00134FA8"/>
    <w:rsid w:val="00134FE0"/>
    <w:rsid w:val="0013501E"/>
    <w:rsid w:val="001352EB"/>
    <w:rsid w:val="00135473"/>
    <w:rsid w:val="00135752"/>
    <w:rsid w:val="001357B1"/>
    <w:rsid w:val="001357BB"/>
    <w:rsid w:val="00135935"/>
    <w:rsid w:val="0013596E"/>
    <w:rsid w:val="00135B54"/>
    <w:rsid w:val="00135C0E"/>
    <w:rsid w:val="00135D86"/>
    <w:rsid w:val="00135DC8"/>
    <w:rsid w:val="00135F21"/>
    <w:rsid w:val="0013602B"/>
    <w:rsid w:val="0013612C"/>
    <w:rsid w:val="001362B1"/>
    <w:rsid w:val="001362C2"/>
    <w:rsid w:val="0013632E"/>
    <w:rsid w:val="00136362"/>
    <w:rsid w:val="00136406"/>
    <w:rsid w:val="0013645C"/>
    <w:rsid w:val="00136571"/>
    <w:rsid w:val="001365EC"/>
    <w:rsid w:val="00136699"/>
    <w:rsid w:val="00136715"/>
    <w:rsid w:val="00136928"/>
    <w:rsid w:val="001369C2"/>
    <w:rsid w:val="00136A15"/>
    <w:rsid w:val="00136AB0"/>
    <w:rsid w:val="00136BD7"/>
    <w:rsid w:val="00136C3B"/>
    <w:rsid w:val="00136E7B"/>
    <w:rsid w:val="00136E7D"/>
    <w:rsid w:val="00136E98"/>
    <w:rsid w:val="00136EF9"/>
    <w:rsid w:val="0013701C"/>
    <w:rsid w:val="001370C7"/>
    <w:rsid w:val="00137141"/>
    <w:rsid w:val="001373A5"/>
    <w:rsid w:val="001373F4"/>
    <w:rsid w:val="001374D8"/>
    <w:rsid w:val="0013769A"/>
    <w:rsid w:val="001376DD"/>
    <w:rsid w:val="00137979"/>
    <w:rsid w:val="00137AB7"/>
    <w:rsid w:val="00137CD6"/>
    <w:rsid w:val="00137E70"/>
    <w:rsid w:val="00137F4B"/>
    <w:rsid w:val="00137FC3"/>
    <w:rsid w:val="001401B1"/>
    <w:rsid w:val="001403C7"/>
    <w:rsid w:val="001404A8"/>
    <w:rsid w:val="0014050D"/>
    <w:rsid w:val="00140693"/>
    <w:rsid w:val="0014071F"/>
    <w:rsid w:val="0014077B"/>
    <w:rsid w:val="00140784"/>
    <w:rsid w:val="001407C5"/>
    <w:rsid w:val="001407DE"/>
    <w:rsid w:val="001408FB"/>
    <w:rsid w:val="00140B3D"/>
    <w:rsid w:val="00140B58"/>
    <w:rsid w:val="00140B71"/>
    <w:rsid w:val="00140C65"/>
    <w:rsid w:val="00140C6C"/>
    <w:rsid w:val="00140D94"/>
    <w:rsid w:val="001410D4"/>
    <w:rsid w:val="001412CE"/>
    <w:rsid w:val="001414E4"/>
    <w:rsid w:val="00141562"/>
    <w:rsid w:val="00141698"/>
    <w:rsid w:val="0014193F"/>
    <w:rsid w:val="00141984"/>
    <w:rsid w:val="00141A81"/>
    <w:rsid w:val="00141B00"/>
    <w:rsid w:val="00141BD6"/>
    <w:rsid w:val="00141C85"/>
    <w:rsid w:val="00141CA1"/>
    <w:rsid w:val="00141E42"/>
    <w:rsid w:val="00141E6A"/>
    <w:rsid w:val="00141E72"/>
    <w:rsid w:val="00142021"/>
    <w:rsid w:val="00142030"/>
    <w:rsid w:val="0014208F"/>
    <w:rsid w:val="001420FE"/>
    <w:rsid w:val="00142133"/>
    <w:rsid w:val="001422EA"/>
    <w:rsid w:val="00142359"/>
    <w:rsid w:val="0014238C"/>
    <w:rsid w:val="001424ED"/>
    <w:rsid w:val="001425E9"/>
    <w:rsid w:val="00142819"/>
    <w:rsid w:val="00142855"/>
    <w:rsid w:val="00142868"/>
    <w:rsid w:val="001428FF"/>
    <w:rsid w:val="0014290C"/>
    <w:rsid w:val="001429D7"/>
    <w:rsid w:val="00142B89"/>
    <w:rsid w:val="00142BC0"/>
    <w:rsid w:val="00142D46"/>
    <w:rsid w:val="00142DAD"/>
    <w:rsid w:val="00142E62"/>
    <w:rsid w:val="00142E66"/>
    <w:rsid w:val="00142FB6"/>
    <w:rsid w:val="00143121"/>
    <w:rsid w:val="00143166"/>
    <w:rsid w:val="0014329F"/>
    <w:rsid w:val="001432E6"/>
    <w:rsid w:val="00143439"/>
    <w:rsid w:val="001437EB"/>
    <w:rsid w:val="00143988"/>
    <w:rsid w:val="001439DA"/>
    <w:rsid w:val="001439EC"/>
    <w:rsid w:val="00143D06"/>
    <w:rsid w:val="00143E18"/>
    <w:rsid w:val="00143F6D"/>
    <w:rsid w:val="00143F87"/>
    <w:rsid w:val="001441A4"/>
    <w:rsid w:val="001441E3"/>
    <w:rsid w:val="001442CE"/>
    <w:rsid w:val="001444B4"/>
    <w:rsid w:val="001444E0"/>
    <w:rsid w:val="001445AE"/>
    <w:rsid w:val="001446B1"/>
    <w:rsid w:val="0014487A"/>
    <w:rsid w:val="0014491A"/>
    <w:rsid w:val="00144A15"/>
    <w:rsid w:val="00144B26"/>
    <w:rsid w:val="00144BF2"/>
    <w:rsid w:val="00144D0B"/>
    <w:rsid w:val="00144E4A"/>
    <w:rsid w:val="00144EB6"/>
    <w:rsid w:val="00144F85"/>
    <w:rsid w:val="00145295"/>
    <w:rsid w:val="001452C3"/>
    <w:rsid w:val="0014552D"/>
    <w:rsid w:val="001455AF"/>
    <w:rsid w:val="00145675"/>
    <w:rsid w:val="0014576B"/>
    <w:rsid w:val="001459A8"/>
    <w:rsid w:val="001459AD"/>
    <w:rsid w:val="00145AC5"/>
    <w:rsid w:val="00145BDD"/>
    <w:rsid w:val="0014611C"/>
    <w:rsid w:val="001461F1"/>
    <w:rsid w:val="00146235"/>
    <w:rsid w:val="001462DF"/>
    <w:rsid w:val="0014632A"/>
    <w:rsid w:val="00146415"/>
    <w:rsid w:val="001464A6"/>
    <w:rsid w:val="001464D6"/>
    <w:rsid w:val="001469A3"/>
    <w:rsid w:val="00146AE4"/>
    <w:rsid w:val="00146BB1"/>
    <w:rsid w:val="00146BD0"/>
    <w:rsid w:val="00146E60"/>
    <w:rsid w:val="00146EF4"/>
    <w:rsid w:val="00146F06"/>
    <w:rsid w:val="00146FAB"/>
    <w:rsid w:val="0014720B"/>
    <w:rsid w:val="00147366"/>
    <w:rsid w:val="001473F7"/>
    <w:rsid w:val="001474CC"/>
    <w:rsid w:val="001475A4"/>
    <w:rsid w:val="001475FF"/>
    <w:rsid w:val="00147683"/>
    <w:rsid w:val="001476BC"/>
    <w:rsid w:val="0014776E"/>
    <w:rsid w:val="001477B2"/>
    <w:rsid w:val="001479ED"/>
    <w:rsid w:val="00147A21"/>
    <w:rsid w:val="00147BA6"/>
    <w:rsid w:val="00147BB8"/>
    <w:rsid w:val="00147C31"/>
    <w:rsid w:val="00147D39"/>
    <w:rsid w:val="00147D57"/>
    <w:rsid w:val="00147D62"/>
    <w:rsid w:val="00147D9D"/>
    <w:rsid w:val="00147E59"/>
    <w:rsid w:val="0015003F"/>
    <w:rsid w:val="001500A6"/>
    <w:rsid w:val="001501F3"/>
    <w:rsid w:val="00150268"/>
    <w:rsid w:val="001504E5"/>
    <w:rsid w:val="00150570"/>
    <w:rsid w:val="00150623"/>
    <w:rsid w:val="001508C8"/>
    <w:rsid w:val="001508E1"/>
    <w:rsid w:val="001509D9"/>
    <w:rsid w:val="00150AC0"/>
    <w:rsid w:val="00150B5F"/>
    <w:rsid w:val="00150E38"/>
    <w:rsid w:val="0015119D"/>
    <w:rsid w:val="001512B2"/>
    <w:rsid w:val="001512CC"/>
    <w:rsid w:val="001514AD"/>
    <w:rsid w:val="00151658"/>
    <w:rsid w:val="00151721"/>
    <w:rsid w:val="00151788"/>
    <w:rsid w:val="00151819"/>
    <w:rsid w:val="00151846"/>
    <w:rsid w:val="0015185C"/>
    <w:rsid w:val="00151946"/>
    <w:rsid w:val="001519BD"/>
    <w:rsid w:val="00151A3B"/>
    <w:rsid w:val="00151A66"/>
    <w:rsid w:val="00151B7C"/>
    <w:rsid w:val="00151BA0"/>
    <w:rsid w:val="00151BE1"/>
    <w:rsid w:val="00151D82"/>
    <w:rsid w:val="00151E29"/>
    <w:rsid w:val="00152006"/>
    <w:rsid w:val="0015204E"/>
    <w:rsid w:val="00152067"/>
    <w:rsid w:val="001520CD"/>
    <w:rsid w:val="001522E3"/>
    <w:rsid w:val="0015230A"/>
    <w:rsid w:val="0015268C"/>
    <w:rsid w:val="00152799"/>
    <w:rsid w:val="0015280B"/>
    <w:rsid w:val="00152823"/>
    <w:rsid w:val="001529E0"/>
    <w:rsid w:val="00152A4F"/>
    <w:rsid w:val="00152AD7"/>
    <w:rsid w:val="00152B77"/>
    <w:rsid w:val="00152C5F"/>
    <w:rsid w:val="0015304F"/>
    <w:rsid w:val="0015311C"/>
    <w:rsid w:val="00153176"/>
    <w:rsid w:val="001533A2"/>
    <w:rsid w:val="001533C3"/>
    <w:rsid w:val="0015347D"/>
    <w:rsid w:val="00153603"/>
    <w:rsid w:val="001536AF"/>
    <w:rsid w:val="00153732"/>
    <w:rsid w:val="001538D7"/>
    <w:rsid w:val="001539BD"/>
    <w:rsid w:val="00153AD3"/>
    <w:rsid w:val="00153B18"/>
    <w:rsid w:val="00153DD0"/>
    <w:rsid w:val="00153EDE"/>
    <w:rsid w:val="00153F00"/>
    <w:rsid w:val="001540AC"/>
    <w:rsid w:val="00154103"/>
    <w:rsid w:val="0015417F"/>
    <w:rsid w:val="001541AF"/>
    <w:rsid w:val="001543B7"/>
    <w:rsid w:val="001543D5"/>
    <w:rsid w:val="00154469"/>
    <w:rsid w:val="001546C5"/>
    <w:rsid w:val="00154838"/>
    <w:rsid w:val="00154B26"/>
    <w:rsid w:val="001551A8"/>
    <w:rsid w:val="00155385"/>
    <w:rsid w:val="00155480"/>
    <w:rsid w:val="00155548"/>
    <w:rsid w:val="00155695"/>
    <w:rsid w:val="001556A5"/>
    <w:rsid w:val="0015572C"/>
    <w:rsid w:val="00155765"/>
    <w:rsid w:val="0015578F"/>
    <w:rsid w:val="00155796"/>
    <w:rsid w:val="00155A0F"/>
    <w:rsid w:val="00155AA9"/>
    <w:rsid w:val="00155C2E"/>
    <w:rsid w:val="00155D05"/>
    <w:rsid w:val="00155D43"/>
    <w:rsid w:val="00155F5C"/>
    <w:rsid w:val="00155F8C"/>
    <w:rsid w:val="00155FB2"/>
    <w:rsid w:val="0015621F"/>
    <w:rsid w:val="00156220"/>
    <w:rsid w:val="001565A4"/>
    <w:rsid w:val="001565F1"/>
    <w:rsid w:val="00156807"/>
    <w:rsid w:val="001569C6"/>
    <w:rsid w:val="00156C21"/>
    <w:rsid w:val="00156D88"/>
    <w:rsid w:val="00156E75"/>
    <w:rsid w:val="00156FD6"/>
    <w:rsid w:val="00157038"/>
    <w:rsid w:val="0015716A"/>
    <w:rsid w:val="001571E6"/>
    <w:rsid w:val="001572F5"/>
    <w:rsid w:val="00157641"/>
    <w:rsid w:val="00157803"/>
    <w:rsid w:val="00157B08"/>
    <w:rsid w:val="00157B46"/>
    <w:rsid w:val="00157C1F"/>
    <w:rsid w:val="00157C50"/>
    <w:rsid w:val="00157CAE"/>
    <w:rsid w:val="00157D16"/>
    <w:rsid w:val="00157E3D"/>
    <w:rsid w:val="00157E4B"/>
    <w:rsid w:val="00157EB7"/>
    <w:rsid w:val="00157F74"/>
    <w:rsid w:val="00157F99"/>
    <w:rsid w:val="00160246"/>
    <w:rsid w:val="0016026D"/>
    <w:rsid w:val="0016028F"/>
    <w:rsid w:val="001602CD"/>
    <w:rsid w:val="0016048D"/>
    <w:rsid w:val="00160AAB"/>
    <w:rsid w:val="00160AC4"/>
    <w:rsid w:val="00160BB4"/>
    <w:rsid w:val="00160E0A"/>
    <w:rsid w:val="00160FAC"/>
    <w:rsid w:val="00161048"/>
    <w:rsid w:val="0016126F"/>
    <w:rsid w:val="001613D2"/>
    <w:rsid w:val="00161436"/>
    <w:rsid w:val="001615AE"/>
    <w:rsid w:val="001615B5"/>
    <w:rsid w:val="0016170E"/>
    <w:rsid w:val="00161717"/>
    <w:rsid w:val="001617D1"/>
    <w:rsid w:val="001618BF"/>
    <w:rsid w:val="00161967"/>
    <w:rsid w:val="00161B26"/>
    <w:rsid w:val="00161D1B"/>
    <w:rsid w:val="00161D34"/>
    <w:rsid w:val="00161DD8"/>
    <w:rsid w:val="00161E75"/>
    <w:rsid w:val="00161FC7"/>
    <w:rsid w:val="001620E7"/>
    <w:rsid w:val="001621F9"/>
    <w:rsid w:val="001622FE"/>
    <w:rsid w:val="0016230D"/>
    <w:rsid w:val="00162500"/>
    <w:rsid w:val="00162504"/>
    <w:rsid w:val="00162577"/>
    <w:rsid w:val="00162596"/>
    <w:rsid w:val="001628C6"/>
    <w:rsid w:val="001628EA"/>
    <w:rsid w:val="00162AEA"/>
    <w:rsid w:val="00162B39"/>
    <w:rsid w:val="00162BDF"/>
    <w:rsid w:val="00162C63"/>
    <w:rsid w:val="00162DA0"/>
    <w:rsid w:val="00162E01"/>
    <w:rsid w:val="00162F37"/>
    <w:rsid w:val="00163024"/>
    <w:rsid w:val="0016309B"/>
    <w:rsid w:val="001630C7"/>
    <w:rsid w:val="00163167"/>
    <w:rsid w:val="001632B4"/>
    <w:rsid w:val="00163395"/>
    <w:rsid w:val="001635BA"/>
    <w:rsid w:val="00163775"/>
    <w:rsid w:val="00163857"/>
    <w:rsid w:val="001638D2"/>
    <w:rsid w:val="001639C2"/>
    <w:rsid w:val="00163B3D"/>
    <w:rsid w:val="00163B84"/>
    <w:rsid w:val="00163D93"/>
    <w:rsid w:val="00163F57"/>
    <w:rsid w:val="00163F76"/>
    <w:rsid w:val="00164216"/>
    <w:rsid w:val="00164338"/>
    <w:rsid w:val="0016451A"/>
    <w:rsid w:val="00164648"/>
    <w:rsid w:val="001647DC"/>
    <w:rsid w:val="00164838"/>
    <w:rsid w:val="0016483F"/>
    <w:rsid w:val="00164905"/>
    <w:rsid w:val="00164923"/>
    <w:rsid w:val="00164B39"/>
    <w:rsid w:val="00164DF3"/>
    <w:rsid w:val="00164FEC"/>
    <w:rsid w:val="001650A5"/>
    <w:rsid w:val="00165175"/>
    <w:rsid w:val="001652AD"/>
    <w:rsid w:val="00165360"/>
    <w:rsid w:val="0016553A"/>
    <w:rsid w:val="0016553D"/>
    <w:rsid w:val="00165614"/>
    <w:rsid w:val="0016582C"/>
    <w:rsid w:val="0016597D"/>
    <w:rsid w:val="00165A9D"/>
    <w:rsid w:val="00165BD7"/>
    <w:rsid w:val="00165BD8"/>
    <w:rsid w:val="00165CC9"/>
    <w:rsid w:val="00165DCD"/>
    <w:rsid w:val="00165EA8"/>
    <w:rsid w:val="00165FE7"/>
    <w:rsid w:val="0016612A"/>
    <w:rsid w:val="00166527"/>
    <w:rsid w:val="001665B3"/>
    <w:rsid w:val="0016680B"/>
    <w:rsid w:val="00166920"/>
    <w:rsid w:val="00166A1D"/>
    <w:rsid w:val="00166E88"/>
    <w:rsid w:val="00166FF6"/>
    <w:rsid w:val="00167001"/>
    <w:rsid w:val="0016712A"/>
    <w:rsid w:val="001671D7"/>
    <w:rsid w:val="001671D9"/>
    <w:rsid w:val="00167207"/>
    <w:rsid w:val="0016732B"/>
    <w:rsid w:val="001675A7"/>
    <w:rsid w:val="001675D2"/>
    <w:rsid w:val="0016776D"/>
    <w:rsid w:val="00167798"/>
    <w:rsid w:val="001677F3"/>
    <w:rsid w:val="00167A79"/>
    <w:rsid w:val="00167B2E"/>
    <w:rsid w:val="00167B4D"/>
    <w:rsid w:val="00167C24"/>
    <w:rsid w:val="00167D55"/>
    <w:rsid w:val="00167F1B"/>
    <w:rsid w:val="00167FF9"/>
    <w:rsid w:val="0017015C"/>
    <w:rsid w:val="00170185"/>
    <w:rsid w:val="00170315"/>
    <w:rsid w:val="00170900"/>
    <w:rsid w:val="001709DC"/>
    <w:rsid w:val="00170B87"/>
    <w:rsid w:val="00170BBC"/>
    <w:rsid w:val="00170DC7"/>
    <w:rsid w:val="00171059"/>
    <w:rsid w:val="001710EF"/>
    <w:rsid w:val="00171101"/>
    <w:rsid w:val="00171115"/>
    <w:rsid w:val="001713E1"/>
    <w:rsid w:val="00171476"/>
    <w:rsid w:val="00171487"/>
    <w:rsid w:val="00171762"/>
    <w:rsid w:val="00171958"/>
    <w:rsid w:val="00171ABD"/>
    <w:rsid w:val="00171B7A"/>
    <w:rsid w:val="00171BB0"/>
    <w:rsid w:val="0017211F"/>
    <w:rsid w:val="00172201"/>
    <w:rsid w:val="0017223E"/>
    <w:rsid w:val="00172457"/>
    <w:rsid w:val="001724BC"/>
    <w:rsid w:val="001727E8"/>
    <w:rsid w:val="0017297A"/>
    <w:rsid w:val="00172CE1"/>
    <w:rsid w:val="00172F9F"/>
    <w:rsid w:val="00173154"/>
    <w:rsid w:val="0017338E"/>
    <w:rsid w:val="001733B0"/>
    <w:rsid w:val="00173519"/>
    <w:rsid w:val="001735B5"/>
    <w:rsid w:val="001735D2"/>
    <w:rsid w:val="00173663"/>
    <w:rsid w:val="001738B6"/>
    <w:rsid w:val="0017396E"/>
    <w:rsid w:val="001739BD"/>
    <w:rsid w:val="00173B0B"/>
    <w:rsid w:val="00173D54"/>
    <w:rsid w:val="00173E7D"/>
    <w:rsid w:val="0017403F"/>
    <w:rsid w:val="001740C2"/>
    <w:rsid w:val="0017423C"/>
    <w:rsid w:val="00174561"/>
    <w:rsid w:val="00174588"/>
    <w:rsid w:val="001745D4"/>
    <w:rsid w:val="00174668"/>
    <w:rsid w:val="001746FD"/>
    <w:rsid w:val="00174733"/>
    <w:rsid w:val="001747B4"/>
    <w:rsid w:val="0017484B"/>
    <w:rsid w:val="001749DE"/>
    <w:rsid w:val="00174D60"/>
    <w:rsid w:val="00174E76"/>
    <w:rsid w:val="00174E98"/>
    <w:rsid w:val="001750CE"/>
    <w:rsid w:val="0017513E"/>
    <w:rsid w:val="001755AD"/>
    <w:rsid w:val="00175638"/>
    <w:rsid w:val="001757EB"/>
    <w:rsid w:val="00175811"/>
    <w:rsid w:val="001758D1"/>
    <w:rsid w:val="00175ADC"/>
    <w:rsid w:val="00175ADE"/>
    <w:rsid w:val="00175C01"/>
    <w:rsid w:val="00175C1E"/>
    <w:rsid w:val="00175C39"/>
    <w:rsid w:val="00175C54"/>
    <w:rsid w:val="00175C62"/>
    <w:rsid w:val="00175D88"/>
    <w:rsid w:val="00175DBF"/>
    <w:rsid w:val="00175EBE"/>
    <w:rsid w:val="00175EED"/>
    <w:rsid w:val="00175F5D"/>
    <w:rsid w:val="001760F6"/>
    <w:rsid w:val="00176485"/>
    <w:rsid w:val="001764C3"/>
    <w:rsid w:val="0017652F"/>
    <w:rsid w:val="00176568"/>
    <w:rsid w:val="0017674B"/>
    <w:rsid w:val="00176848"/>
    <w:rsid w:val="0017696F"/>
    <w:rsid w:val="00176A1D"/>
    <w:rsid w:val="00176A3B"/>
    <w:rsid w:val="00176B37"/>
    <w:rsid w:val="00176C36"/>
    <w:rsid w:val="00176D49"/>
    <w:rsid w:val="00176E8E"/>
    <w:rsid w:val="00176EA4"/>
    <w:rsid w:val="00176EB4"/>
    <w:rsid w:val="00176FCA"/>
    <w:rsid w:val="00177019"/>
    <w:rsid w:val="00177053"/>
    <w:rsid w:val="00177072"/>
    <w:rsid w:val="001770A9"/>
    <w:rsid w:val="00177462"/>
    <w:rsid w:val="0017792E"/>
    <w:rsid w:val="00177931"/>
    <w:rsid w:val="00177A6C"/>
    <w:rsid w:val="00177DB7"/>
    <w:rsid w:val="00177E51"/>
    <w:rsid w:val="00180020"/>
    <w:rsid w:val="00180308"/>
    <w:rsid w:val="00180334"/>
    <w:rsid w:val="001803AC"/>
    <w:rsid w:val="001804F4"/>
    <w:rsid w:val="00180600"/>
    <w:rsid w:val="0018068B"/>
    <w:rsid w:val="00180762"/>
    <w:rsid w:val="001809A1"/>
    <w:rsid w:val="001809D4"/>
    <w:rsid w:val="00180CA0"/>
    <w:rsid w:val="00180CD2"/>
    <w:rsid w:val="00180CDA"/>
    <w:rsid w:val="00180DA3"/>
    <w:rsid w:val="00180EF2"/>
    <w:rsid w:val="00180F39"/>
    <w:rsid w:val="001813D6"/>
    <w:rsid w:val="00181528"/>
    <w:rsid w:val="0018158A"/>
    <w:rsid w:val="00181773"/>
    <w:rsid w:val="00181782"/>
    <w:rsid w:val="001819B1"/>
    <w:rsid w:val="00181A50"/>
    <w:rsid w:val="00181BD9"/>
    <w:rsid w:val="00181BDA"/>
    <w:rsid w:val="00181C7D"/>
    <w:rsid w:val="00181E9C"/>
    <w:rsid w:val="00181F27"/>
    <w:rsid w:val="0018216C"/>
    <w:rsid w:val="0018217C"/>
    <w:rsid w:val="00182203"/>
    <w:rsid w:val="001823C1"/>
    <w:rsid w:val="0018240B"/>
    <w:rsid w:val="001825E8"/>
    <w:rsid w:val="001825F7"/>
    <w:rsid w:val="00182620"/>
    <w:rsid w:val="00182627"/>
    <w:rsid w:val="001826A8"/>
    <w:rsid w:val="001827BF"/>
    <w:rsid w:val="0018285C"/>
    <w:rsid w:val="0018297B"/>
    <w:rsid w:val="001829C4"/>
    <w:rsid w:val="00182A31"/>
    <w:rsid w:val="00182BEA"/>
    <w:rsid w:val="00182DEF"/>
    <w:rsid w:val="001830FB"/>
    <w:rsid w:val="00183117"/>
    <w:rsid w:val="00183245"/>
    <w:rsid w:val="001832B4"/>
    <w:rsid w:val="00183387"/>
    <w:rsid w:val="001834BB"/>
    <w:rsid w:val="0018371A"/>
    <w:rsid w:val="00183768"/>
    <w:rsid w:val="001837AA"/>
    <w:rsid w:val="0018391C"/>
    <w:rsid w:val="001839B2"/>
    <w:rsid w:val="00183C7A"/>
    <w:rsid w:val="00183F0E"/>
    <w:rsid w:val="001840CC"/>
    <w:rsid w:val="00184118"/>
    <w:rsid w:val="0018415D"/>
    <w:rsid w:val="001842BA"/>
    <w:rsid w:val="0018434B"/>
    <w:rsid w:val="0018458D"/>
    <w:rsid w:val="001845E9"/>
    <w:rsid w:val="00184702"/>
    <w:rsid w:val="001847CC"/>
    <w:rsid w:val="00184823"/>
    <w:rsid w:val="001848E3"/>
    <w:rsid w:val="001848F2"/>
    <w:rsid w:val="00184A5A"/>
    <w:rsid w:val="00184ACC"/>
    <w:rsid w:val="00184AEC"/>
    <w:rsid w:val="00184B4E"/>
    <w:rsid w:val="00184B8A"/>
    <w:rsid w:val="00184D6B"/>
    <w:rsid w:val="00184E16"/>
    <w:rsid w:val="00184E77"/>
    <w:rsid w:val="00184F3A"/>
    <w:rsid w:val="00184FB4"/>
    <w:rsid w:val="001850B5"/>
    <w:rsid w:val="001850ED"/>
    <w:rsid w:val="0018526F"/>
    <w:rsid w:val="00185307"/>
    <w:rsid w:val="00185343"/>
    <w:rsid w:val="00185398"/>
    <w:rsid w:val="00185467"/>
    <w:rsid w:val="001854F4"/>
    <w:rsid w:val="0018569C"/>
    <w:rsid w:val="0018570E"/>
    <w:rsid w:val="00185804"/>
    <w:rsid w:val="00185807"/>
    <w:rsid w:val="00185950"/>
    <w:rsid w:val="001859A0"/>
    <w:rsid w:val="00185A18"/>
    <w:rsid w:val="00185AA4"/>
    <w:rsid w:val="00185AAF"/>
    <w:rsid w:val="001864AB"/>
    <w:rsid w:val="00186566"/>
    <w:rsid w:val="00186645"/>
    <w:rsid w:val="001868C5"/>
    <w:rsid w:val="00186AF5"/>
    <w:rsid w:val="00186D86"/>
    <w:rsid w:val="00186E74"/>
    <w:rsid w:val="00187089"/>
    <w:rsid w:val="0018709E"/>
    <w:rsid w:val="0018714A"/>
    <w:rsid w:val="00187168"/>
    <w:rsid w:val="001873C3"/>
    <w:rsid w:val="001874AD"/>
    <w:rsid w:val="00187698"/>
    <w:rsid w:val="00187770"/>
    <w:rsid w:val="00187815"/>
    <w:rsid w:val="00187880"/>
    <w:rsid w:val="001879AE"/>
    <w:rsid w:val="00187A71"/>
    <w:rsid w:val="00187C22"/>
    <w:rsid w:val="00187D4C"/>
    <w:rsid w:val="00187DCB"/>
    <w:rsid w:val="00187E6E"/>
    <w:rsid w:val="0019003E"/>
    <w:rsid w:val="0019009A"/>
    <w:rsid w:val="001900BB"/>
    <w:rsid w:val="001901A4"/>
    <w:rsid w:val="001901F8"/>
    <w:rsid w:val="001902CA"/>
    <w:rsid w:val="001903A7"/>
    <w:rsid w:val="001903A8"/>
    <w:rsid w:val="0019042D"/>
    <w:rsid w:val="001904D2"/>
    <w:rsid w:val="00190525"/>
    <w:rsid w:val="0019052B"/>
    <w:rsid w:val="0019052D"/>
    <w:rsid w:val="00190776"/>
    <w:rsid w:val="001908BC"/>
    <w:rsid w:val="001908E9"/>
    <w:rsid w:val="001909A1"/>
    <w:rsid w:val="00190A93"/>
    <w:rsid w:val="00190B72"/>
    <w:rsid w:val="00190C06"/>
    <w:rsid w:val="00190CB3"/>
    <w:rsid w:val="00190E8D"/>
    <w:rsid w:val="0019100A"/>
    <w:rsid w:val="001911DF"/>
    <w:rsid w:val="001913DB"/>
    <w:rsid w:val="00191457"/>
    <w:rsid w:val="0019148A"/>
    <w:rsid w:val="001914BD"/>
    <w:rsid w:val="00191550"/>
    <w:rsid w:val="0019157B"/>
    <w:rsid w:val="001915BB"/>
    <w:rsid w:val="00191682"/>
    <w:rsid w:val="001917C6"/>
    <w:rsid w:val="00191883"/>
    <w:rsid w:val="00191A37"/>
    <w:rsid w:val="00191AEB"/>
    <w:rsid w:val="00191F02"/>
    <w:rsid w:val="00192364"/>
    <w:rsid w:val="0019237A"/>
    <w:rsid w:val="0019238F"/>
    <w:rsid w:val="00192528"/>
    <w:rsid w:val="001926DA"/>
    <w:rsid w:val="00192885"/>
    <w:rsid w:val="001928EA"/>
    <w:rsid w:val="00192CF8"/>
    <w:rsid w:val="00192D10"/>
    <w:rsid w:val="00192D9C"/>
    <w:rsid w:val="00192FDE"/>
    <w:rsid w:val="00193007"/>
    <w:rsid w:val="0019303F"/>
    <w:rsid w:val="0019305F"/>
    <w:rsid w:val="0019306E"/>
    <w:rsid w:val="00193115"/>
    <w:rsid w:val="0019332D"/>
    <w:rsid w:val="00193394"/>
    <w:rsid w:val="00193418"/>
    <w:rsid w:val="00193427"/>
    <w:rsid w:val="0019366E"/>
    <w:rsid w:val="001936E4"/>
    <w:rsid w:val="00193711"/>
    <w:rsid w:val="00193987"/>
    <w:rsid w:val="00193BB4"/>
    <w:rsid w:val="00193BFD"/>
    <w:rsid w:val="00193DDC"/>
    <w:rsid w:val="00193EBC"/>
    <w:rsid w:val="00193ED3"/>
    <w:rsid w:val="00193FD3"/>
    <w:rsid w:val="00194138"/>
    <w:rsid w:val="00194142"/>
    <w:rsid w:val="0019441C"/>
    <w:rsid w:val="0019448D"/>
    <w:rsid w:val="001945EE"/>
    <w:rsid w:val="001946A5"/>
    <w:rsid w:val="001947BB"/>
    <w:rsid w:val="0019481F"/>
    <w:rsid w:val="001949B8"/>
    <w:rsid w:val="00194C0F"/>
    <w:rsid w:val="00194E52"/>
    <w:rsid w:val="00194EF4"/>
    <w:rsid w:val="00194F5D"/>
    <w:rsid w:val="00195283"/>
    <w:rsid w:val="0019539D"/>
    <w:rsid w:val="00195485"/>
    <w:rsid w:val="001954D7"/>
    <w:rsid w:val="001955B0"/>
    <w:rsid w:val="0019563D"/>
    <w:rsid w:val="00195694"/>
    <w:rsid w:val="001957BB"/>
    <w:rsid w:val="00195817"/>
    <w:rsid w:val="001958DA"/>
    <w:rsid w:val="00195990"/>
    <w:rsid w:val="00195A5D"/>
    <w:rsid w:val="00195C88"/>
    <w:rsid w:val="00195C92"/>
    <w:rsid w:val="00195D2A"/>
    <w:rsid w:val="00195F4C"/>
    <w:rsid w:val="00196033"/>
    <w:rsid w:val="00196122"/>
    <w:rsid w:val="0019614C"/>
    <w:rsid w:val="001964E2"/>
    <w:rsid w:val="001964E8"/>
    <w:rsid w:val="00196509"/>
    <w:rsid w:val="0019656E"/>
    <w:rsid w:val="0019657F"/>
    <w:rsid w:val="00196618"/>
    <w:rsid w:val="00196645"/>
    <w:rsid w:val="00196798"/>
    <w:rsid w:val="00196868"/>
    <w:rsid w:val="00196A10"/>
    <w:rsid w:val="00196B5C"/>
    <w:rsid w:val="00196CE1"/>
    <w:rsid w:val="00196F04"/>
    <w:rsid w:val="00197031"/>
    <w:rsid w:val="001973D1"/>
    <w:rsid w:val="00197402"/>
    <w:rsid w:val="001975F1"/>
    <w:rsid w:val="00197677"/>
    <w:rsid w:val="0019769B"/>
    <w:rsid w:val="0019774E"/>
    <w:rsid w:val="0019777D"/>
    <w:rsid w:val="001977ED"/>
    <w:rsid w:val="00197860"/>
    <w:rsid w:val="001979A3"/>
    <w:rsid w:val="001979C2"/>
    <w:rsid w:val="00197BC4"/>
    <w:rsid w:val="00197BDB"/>
    <w:rsid w:val="00197D30"/>
    <w:rsid w:val="001A00F4"/>
    <w:rsid w:val="001A0158"/>
    <w:rsid w:val="001A021B"/>
    <w:rsid w:val="001A0324"/>
    <w:rsid w:val="001A0353"/>
    <w:rsid w:val="001A0444"/>
    <w:rsid w:val="001A0484"/>
    <w:rsid w:val="001A04AE"/>
    <w:rsid w:val="001A060D"/>
    <w:rsid w:val="001A0645"/>
    <w:rsid w:val="001A07FA"/>
    <w:rsid w:val="001A0925"/>
    <w:rsid w:val="001A093F"/>
    <w:rsid w:val="001A0A68"/>
    <w:rsid w:val="001A0C0E"/>
    <w:rsid w:val="001A0CFD"/>
    <w:rsid w:val="001A109C"/>
    <w:rsid w:val="001A112C"/>
    <w:rsid w:val="001A11E3"/>
    <w:rsid w:val="001A125A"/>
    <w:rsid w:val="001A137C"/>
    <w:rsid w:val="001A1468"/>
    <w:rsid w:val="001A1484"/>
    <w:rsid w:val="001A14D2"/>
    <w:rsid w:val="001A151F"/>
    <w:rsid w:val="001A1568"/>
    <w:rsid w:val="001A1797"/>
    <w:rsid w:val="001A17AA"/>
    <w:rsid w:val="001A17BD"/>
    <w:rsid w:val="001A1AD1"/>
    <w:rsid w:val="001A1AF5"/>
    <w:rsid w:val="001A1B3E"/>
    <w:rsid w:val="001A1C20"/>
    <w:rsid w:val="001A1CAD"/>
    <w:rsid w:val="001A2005"/>
    <w:rsid w:val="001A2086"/>
    <w:rsid w:val="001A2364"/>
    <w:rsid w:val="001A23B8"/>
    <w:rsid w:val="001A24A8"/>
    <w:rsid w:val="001A264B"/>
    <w:rsid w:val="001A265A"/>
    <w:rsid w:val="001A26B0"/>
    <w:rsid w:val="001A2755"/>
    <w:rsid w:val="001A27A9"/>
    <w:rsid w:val="001A286B"/>
    <w:rsid w:val="001A2B1D"/>
    <w:rsid w:val="001A2B55"/>
    <w:rsid w:val="001A2E5D"/>
    <w:rsid w:val="001A30C8"/>
    <w:rsid w:val="001A3138"/>
    <w:rsid w:val="001A35CB"/>
    <w:rsid w:val="001A39B7"/>
    <w:rsid w:val="001A3AD0"/>
    <w:rsid w:val="001A3B62"/>
    <w:rsid w:val="001A3C28"/>
    <w:rsid w:val="001A3C72"/>
    <w:rsid w:val="001A3D7B"/>
    <w:rsid w:val="001A3F3E"/>
    <w:rsid w:val="001A3F74"/>
    <w:rsid w:val="001A3FAC"/>
    <w:rsid w:val="001A40BC"/>
    <w:rsid w:val="001A424D"/>
    <w:rsid w:val="001A4CC1"/>
    <w:rsid w:val="001A4D5C"/>
    <w:rsid w:val="001A4F24"/>
    <w:rsid w:val="001A529D"/>
    <w:rsid w:val="001A544E"/>
    <w:rsid w:val="001A5457"/>
    <w:rsid w:val="001A56BD"/>
    <w:rsid w:val="001A56F6"/>
    <w:rsid w:val="001A56FF"/>
    <w:rsid w:val="001A5784"/>
    <w:rsid w:val="001A57BA"/>
    <w:rsid w:val="001A590E"/>
    <w:rsid w:val="001A5922"/>
    <w:rsid w:val="001A5AB1"/>
    <w:rsid w:val="001A5D01"/>
    <w:rsid w:val="001A600E"/>
    <w:rsid w:val="001A6060"/>
    <w:rsid w:val="001A6196"/>
    <w:rsid w:val="001A636D"/>
    <w:rsid w:val="001A6819"/>
    <w:rsid w:val="001A6962"/>
    <w:rsid w:val="001A6B15"/>
    <w:rsid w:val="001A6C1B"/>
    <w:rsid w:val="001A6C8C"/>
    <w:rsid w:val="001A6D38"/>
    <w:rsid w:val="001A6DA1"/>
    <w:rsid w:val="001A7070"/>
    <w:rsid w:val="001A715D"/>
    <w:rsid w:val="001A7477"/>
    <w:rsid w:val="001A75FA"/>
    <w:rsid w:val="001A7629"/>
    <w:rsid w:val="001A7749"/>
    <w:rsid w:val="001A7995"/>
    <w:rsid w:val="001A7D77"/>
    <w:rsid w:val="001A7F5F"/>
    <w:rsid w:val="001B004C"/>
    <w:rsid w:val="001B0051"/>
    <w:rsid w:val="001B0063"/>
    <w:rsid w:val="001B0096"/>
    <w:rsid w:val="001B0161"/>
    <w:rsid w:val="001B0304"/>
    <w:rsid w:val="001B03D8"/>
    <w:rsid w:val="001B046D"/>
    <w:rsid w:val="001B047C"/>
    <w:rsid w:val="001B058B"/>
    <w:rsid w:val="001B0594"/>
    <w:rsid w:val="001B05D5"/>
    <w:rsid w:val="001B082F"/>
    <w:rsid w:val="001B08A1"/>
    <w:rsid w:val="001B08DD"/>
    <w:rsid w:val="001B0901"/>
    <w:rsid w:val="001B0A29"/>
    <w:rsid w:val="001B0B4E"/>
    <w:rsid w:val="001B0D40"/>
    <w:rsid w:val="001B0DD8"/>
    <w:rsid w:val="001B0E3D"/>
    <w:rsid w:val="001B0EC9"/>
    <w:rsid w:val="001B0FA4"/>
    <w:rsid w:val="001B116C"/>
    <w:rsid w:val="001B120D"/>
    <w:rsid w:val="001B126D"/>
    <w:rsid w:val="001B1496"/>
    <w:rsid w:val="001B15AE"/>
    <w:rsid w:val="001B15B1"/>
    <w:rsid w:val="001B1762"/>
    <w:rsid w:val="001B179C"/>
    <w:rsid w:val="001B19EE"/>
    <w:rsid w:val="001B1B4D"/>
    <w:rsid w:val="001B1E62"/>
    <w:rsid w:val="001B1F0A"/>
    <w:rsid w:val="001B2119"/>
    <w:rsid w:val="001B21FB"/>
    <w:rsid w:val="001B2263"/>
    <w:rsid w:val="001B2408"/>
    <w:rsid w:val="001B2532"/>
    <w:rsid w:val="001B25C4"/>
    <w:rsid w:val="001B27F5"/>
    <w:rsid w:val="001B2972"/>
    <w:rsid w:val="001B2A37"/>
    <w:rsid w:val="001B2B3A"/>
    <w:rsid w:val="001B2BBF"/>
    <w:rsid w:val="001B2C85"/>
    <w:rsid w:val="001B2D08"/>
    <w:rsid w:val="001B2D1F"/>
    <w:rsid w:val="001B2EC0"/>
    <w:rsid w:val="001B2ED5"/>
    <w:rsid w:val="001B2F4D"/>
    <w:rsid w:val="001B2F51"/>
    <w:rsid w:val="001B31A8"/>
    <w:rsid w:val="001B31BB"/>
    <w:rsid w:val="001B3369"/>
    <w:rsid w:val="001B3439"/>
    <w:rsid w:val="001B3500"/>
    <w:rsid w:val="001B358A"/>
    <w:rsid w:val="001B385D"/>
    <w:rsid w:val="001B3A35"/>
    <w:rsid w:val="001B3A4A"/>
    <w:rsid w:val="001B3AEF"/>
    <w:rsid w:val="001B3E31"/>
    <w:rsid w:val="001B4028"/>
    <w:rsid w:val="001B4044"/>
    <w:rsid w:val="001B42AA"/>
    <w:rsid w:val="001B42CA"/>
    <w:rsid w:val="001B43BB"/>
    <w:rsid w:val="001B4691"/>
    <w:rsid w:val="001B4722"/>
    <w:rsid w:val="001B474F"/>
    <w:rsid w:val="001B482C"/>
    <w:rsid w:val="001B4A77"/>
    <w:rsid w:val="001B4BD6"/>
    <w:rsid w:val="001B4DC4"/>
    <w:rsid w:val="001B4E06"/>
    <w:rsid w:val="001B4E34"/>
    <w:rsid w:val="001B4FA9"/>
    <w:rsid w:val="001B511F"/>
    <w:rsid w:val="001B5221"/>
    <w:rsid w:val="001B5404"/>
    <w:rsid w:val="001B5656"/>
    <w:rsid w:val="001B5687"/>
    <w:rsid w:val="001B59D7"/>
    <w:rsid w:val="001B59DC"/>
    <w:rsid w:val="001B5A18"/>
    <w:rsid w:val="001B5A8D"/>
    <w:rsid w:val="001B5C8E"/>
    <w:rsid w:val="001B5CCA"/>
    <w:rsid w:val="001B5D26"/>
    <w:rsid w:val="001B5E50"/>
    <w:rsid w:val="001B5F3C"/>
    <w:rsid w:val="001B6249"/>
    <w:rsid w:val="001B66EC"/>
    <w:rsid w:val="001B67B2"/>
    <w:rsid w:val="001B67CE"/>
    <w:rsid w:val="001B6A0D"/>
    <w:rsid w:val="001B6C91"/>
    <w:rsid w:val="001B70D6"/>
    <w:rsid w:val="001B72A3"/>
    <w:rsid w:val="001B7352"/>
    <w:rsid w:val="001B7369"/>
    <w:rsid w:val="001B73EA"/>
    <w:rsid w:val="001B7432"/>
    <w:rsid w:val="001B76DF"/>
    <w:rsid w:val="001B76F6"/>
    <w:rsid w:val="001B7721"/>
    <w:rsid w:val="001B7734"/>
    <w:rsid w:val="001B786E"/>
    <w:rsid w:val="001B7979"/>
    <w:rsid w:val="001B7B3B"/>
    <w:rsid w:val="001B7C7A"/>
    <w:rsid w:val="001B7E52"/>
    <w:rsid w:val="001B7F4A"/>
    <w:rsid w:val="001B7FCB"/>
    <w:rsid w:val="001B7FF9"/>
    <w:rsid w:val="001C0073"/>
    <w:rsid w:val="001C0552"/>
    <w:rsid w:val="001C09A0"/>
    <w:rsid w:val="001C09A1"/>
    <w:rsid w:val="001C0B87"/>
    <w:rsid w:val="001C0E7B"/>
    <w:rsid w:val="001C0EB9"/>
    <w:rsid w:val="001C0FB2"/>
    <w:rsid w:val="001C1161"/>
    <w:rsid w:val="001C1217"/>
    <w:rsid w:val="001C14C5"/>
    <w:rsid w:val="001C198C"/>
    <w:rsid w:val="001C19E6"/>
    <w:rsid w:val="001C19EC"/>
    <w:rsid w:val="001C1A63"/>
    <w:rsid w:val="001C1A9E"/>
    <w:rsid w:val="001C1DAD"/>
    <w:rsid w:val="001C1E27"/>
    <w:rsid w:val="001C1EC0"/>
    <w:rsid w:val="001C1F1B"/>
    <w:rsid w:val="001C1F3D"/>
    <w:rsid w:val="001C201B"/>
    <w:rsid w:val="001C21C7"/>
    <w:rsid w:val="001C221D"/>
    <w:rsid w:val="001C226F"/>
    <w:rsid w:val="001C2575"/>
    <w:rsid w:val="001C2582"/>
    <w:rsid w:val="001C2616"/>
    <w:rsid w:val="001C26CA"/>
    <w:rsid w:val="001C277B"/>
    <w:rsid w:val="001C2B47"/>
    <w:rsid w:val="001C2C36"/>
    <w:rsid w:val="001C2DC3"/>
    <w:rsid w:val="001C2F2F"/>
    <w:rsid w:val="001C3004"/>
    <w:rsid w:val="001C3056"/>
    <w:rsid w:val="001C315B"/>
    <w:rsid w:val="001C3267"/>
    <w:rsid w:val="001C32D7"/>
    <w:rsid w:val="001C3304"/>
    <w:rsid w:val="001C34AC"/>
    <w:rsid w:val="001C34EA"/>
    <w:rsid w:val="001C376A"/>
    <w:rsid w:val="001C37A9"/>
    <w:rsid w:val="001C3835"/>
    <w:rsid w:val="001C3919"/>
    <w:rsid w:val="001C3B83"/>
    <w:rsid w:val="001C3CC0"/>
    <w:rsid w:val="001C3D31"/>
    <w:rsid w:val="001C3F31"/>
    <w:rsid w:val="001C3FE6"/>
    <w:rsid w:val="001C4107"/>
    <w:rsid w:val="001C41BF"/>
    <w:rsid w:val="001C4315"/>
    <w:rsid w:val="001C44DC"/>
    <w:rsid w:val="001C467A"/>
    <w:rsid w:val="001C48C7"/>
    <w:rsid w:val="001C4A91"/>
    <w:rsid w:val="001C4C2B"/>
    <w:rsid w:val="001C4C32"/>
    <w:rsid w:val="001C4C3C"/>
    <w:rsid w:val="001C4CA9"/>
    <w:rsid w:val="001C4D7F"/>
    <w:rsid w:val="001C4DEA"/>
    <w:rsid w:val="001C4DF1"/>
    <w:rsid w:val="001C4E8D"/>
    <w:rsid w:val="001C525C"/>
    <w:rsid w:val="001C52FF"/>
    <w:rsid w:val="001C543D"/>
    <w:rsid w:val="001C547A"/>
    <w:rsid w:val="001C54EF"/>
    <w:rsid w:val="001C54FF"/>
    <w:rsid w:val="001C5538"/>
    <w:rsid w:val="001C566C"/>
    <w:rsid w:val="001C568D"/>
    <w:rsid w:val="001C59C7"/>
    <w:rsid w:val="001C5ACE"/>
    <w:rsid w:val="001C5B4E"/>
    <w:rsid w:val="001C5B7B"/>
    <w:rsid w:val="001C5B9E"/>
    <w:rsid w:val="001C5CA5"/>
    <w:rsid w:val="001C5CB8"/>
    <w:rsid w:val="001C5D96"/>
    <w:rsid w:val="001C5FE5"/>
    <w:rsid w:val="001C60DD"/>
    <w:rsid w:val="001C6149"/>
    <w:rsid w:val="001C61BB"/>
    <w:rsid w:val="001C6262"/>
    <w:rsid w:val="001C6295"/>
    <w:rsid w:val="001C633C"/>
    <w:rsid w:val="001C64FD"/>
    <w:rsid w:val="001C6522"/>
    <w:rsid w:val="001C655B"/>
    <w:rsid w:val="001C65A5"/>
    <w:rsid w:val="001C65CB"/>
    <w:rsid w:val="001C65CE"/>
    <w:rsid w:val="001C65DC"/>
    <w:rsid w:val="001C6646"/>
    <w:rsid w:val="001C672B"/>
    <w:rsid w:val="001C6871"/>
    <w:rsid w:val="001C6C52"/>
    <w:rsid w:val="001C6F2B"/>
    <w:rsid w:val="001C6FE7"/>
    <w:rsid w:val="001C7044"/>
    <w:rsid w:val="001C70F3"/>
    <w:rsid w:val="001C7112"/>
    <w:rsid w:val="001C7124"/>
    <w:rsid w:val="001C7163"/>
    <w:rsid w:val="001C7202"/>
    <w:rsid w:val="001C727B"/>
    <w:rsid w:val="001C7297"/>
    <w:rsid w:val="001C744C"/>
    <w:rsid w:val="001C770C"/>
    <w:rsid w:val="001C77A8"/>
    <w:rsid w:val="001C784E"/>
    <w:rsid w:val="001C79EC"/>
    <w:rsid w:val="001C7A8F"/>
    <w:rsid w:val="001C7C08"/>
    <w:rsid w:val="001C7D74"/>
    <w:rsid w:val="001C7F57"/>
    <w:rsid w:val="001C7F6F"/>
    <w:rsid w:val="001D0212"/>
    <w:rsid w:val="001D0251"/>
    <w:rsid w:val="001D02D9"/>
    <w:rsid w:val="001D05A2"/>
    <w:rsid w:val="001D0C47"/>
    <w:rsid w:val="001D0E89"/>
    <w:rsid w:val="001D0F51"/>
    <w:rsid w:val="001D1073"/>
    <w:rsid w:val="001D127B"/>
    <w:rsid w:val="001D137B"/>
    <w:rsid w:val="001D13E5"/>
    <w:rsid w:val="001D148A"/>
    <w:rsid w:val="001D15F2"/>
    <w:rsid w:val="001D16CB"/>
    <w:rsid w:val="001D172B"/>
    <w:rsid w:val="001D1921"/>
    <w:rsid w:val="001D1A23"/>
    <w:rsid w:val="001D1A79"/>
    <w:rsid w:val="001D1AA4"/>
    <w:rsid w:val="001D1AC5"/>
    <w:rsid w:val="001D1BA7"/>
    <w:rsid w:val="001D1C8C"/>
    <w:rsid w:val="001D1F12"/>
    <w:rsid w:val="001D1F1A"/>
    <w:rsid w:val="001D1F22"/>
    <w:rsid w:val="001D218A"/>
    <w:rsid w:val="001D2314"/>
    <w:rsid w:val="001D2701"/>
    <w:rsid w:val="001D27EA"/>
    <w:rsid w:val="001D295D"/>
    <w:rsid w:val="001D2B25"/>
    <w:rsid w:val="001D2F06"/>
    <w:rsid w:val="001D2F74"/>
    <w:rsid w:val="001D3261"/>
    <w:rsid w:val="001D3530"/>
    <w:rsid w:val="001D35EE"/>
    <w:rsid w:val="001D3679"/>
    <w:rsid w:val="001D3979"/>
    <w:rsid w:val="001D3A8C"/>
    <w:rsid w:val="001D3DEB"/>
    <w:rsid w:val="001D3F6E"/>
    <w:rsid w:val="001D4370"/>
    <w:rsid w:val="001D43C7"/>
    <w:rsid w:val="001D462F"/>
    <w:rsid w:val="001D4748"/>
    <w:rsid w:val="001D483F"/>
    <w:rsid w:val="001D49B3"/>
    <w:rsid w:val="001D4B4B"/>
    <w:rsid w:val="001D4B4D"/>
    <w:rsid w:val="001D4BAD"/>
    <w:rsid w:val="001D4DAF"/>
    <w:rsid w:val="001D4EE3"/>
    <w:rsid w:val="001D4F23"/>
    <w:rsid w:val="001D5007"/>
    <w:rsid w:val="001D50D3"/>
    <w:rsid w:val="001D510A"/>
    <w:rsid w:val="001D5176"/>
    <w:rsid w:val="001D534F"/>
    <w:rsid w:val="001D53AE"/>
    <w:rsid w:val="001D5445"/>
    <w:rsid w:val="001D5460"/>
    <w:rsid w:val="001D5536"/>
    <w:rsid w:val="001D55B2"/>
    <w:rsid w:val="001D578A"/>
    <w:rsid w:val="001D57D1"/>
    <w:rsid w:val="001D5920"/>
    <w:rsid w:val="001D5963"/>
    <w:rsid w:val="001D5A44"/>
    <w:rsid w:val="001D5B03"/>
    <w:rsid w:val="001D5B98"/>
    <w:rsid w:val="001D5C68"/>
    <w:rsid w:val="001D5C8E"/>
    <w:rsid w:val="001D5D6F"/>
    <w:rsid w:val="001D5E2B"/>
    <w:rsid w:val="001D5E8F"/>
    <w:rsid w:val="001D6110"/>
    <w:rsid w:val="001D6129"/>
    <w:rsid w:val="001D635C"/>
    <w:rsid w:val="001D637C"/>
    <w:rsid w:val="001D63CC"/>
    <w:rsid w:val="001D63E7"/>
    <w:rsid w:val="001D643B"/>
    <w:rsid w:val="001D64FA"/>
    <w:rsid w:val="001D653C"/>
    <w:rsid w:val="001D6765"/>
    <w:rsid w:val="001D6857"/>
    <w:rsid w:val="001D6A06"/>
    <w:rsid w:val="001D6B77"/>
    <w:rsid w:val="001D6C7C"/>
    <w:rsid w:val="001D6ECC"/>
    <w:rsid w:val="001D6F6A"/>
    <w:rsid w:val="001D6F76"/>
    <w:rsid w:val="001D6FCD"/>
    <w:rsid w:val="001D700F"/>
    <w:rsid w:val="001D70C9"/>
    <w:rsid w:val="001D72D8"/>
    <w:rsid w:val="001D7369"/>
    <w:rsid w:val="001D742B"/>
    <w:rsid w:val="001D74B6"/>
    <w:rsid w:val="001D7743"/>
    <w:rsid w:val="001D78A5"/>
    <w:rsid w:val="001D79F3"/>
    <w:rsid w:val="001D7AA2"/>
    <w:rsid w:val="001D7B9B"/>
    <w:rsid w:val="001D7BE6"/>
    <w:rsid w:val="001D7E6F"/>
    <w:rsid w:val="001D7F07"/>
    <w:rsid w:val="001D7F3C"/>
    <w:rsid w:val="001D7FFE"/>
    <w:rsid w:val="001E00B0"/>
    <w:rsid w:val="001E00EB"/>
    <w:rsid w:val="001E00EC"/>
    <w:rsid w:val="001E0186"/>
    <w:rsid w:val="001E0376"/>
    <w:rsid w:val="001E03BB"/>
    <w:rsid w:val="001E07A5"/>
    <w:rsid w:val="001E088D"/>
    <w:rsid w:val="001E08C0"/>
    <w:rsid w:val="001E091A"/>
    <w:rsid w:val="001E0A26"/>
    <w:rsid w:val="001E0AE4"/>
    <w:rsid w:val="001E0B53"/>
    <w:rsid w:val="001E0C32"/>
    <w:rsid w:val="001E0D0B"/>
    <w:rsid w:val="001E100A"/>
    <w:rsid w:val="001E11B8"/>
    <w:rsid w:val="001E136E"/>
    <w:rsid w:val="001E141D"/>
    <w:rsid w:val="001E14FC"/>
    <w:rsid w:val="001E163C"/>
    <w:rsid w:val="001E166C"/>
    <w:rsid w:val="001E1699"/>
    <w:rsid w:val="001E1708"/>
    <w:rsid w:val="001E17DF"/>
    <w:rsid w:val="001E17E2"/>
    <w:rsid w:val="001E19F7"/>
    <w:rsid w:val="001E1AC4"/>
    <w:rsid w:val="001E1B49"/>
    <w:rsid w:val="001E1B4D"/>
    <w:rsid w:val="001E1C32"/>
    <w:rsid w:val="001E1D1E"/>
    <w:rsid w:val="001E1E50"/>
    <w:rsid w:val="001E1E71"/>
    <w:rsid w:val="001E2098"/>
    <w:rsid w:val="001E21DB"/>
    <w:rsid w:val="001E22AA"/>
    <w:rsid w:val="001E22D3"/>
    <w:rsid w:val="001E2308"/>
    <w:rsid w:val="001E254F"/>
    <w:rsid w:val="001E26B0"/>
    <w:rsid w:val="001E2B23"/>
    <w:rsid w:val="001E2BB2"/>
    <w:rsid w:val="001E2CAC"/>
    <w:rsid w:val="001E2CDF"/>
    <w:rsid w:val="001E2D40"/>
    <w:rsid w:val="001E2D43"/>
    <w:rsid w:val="001E2FDC"/>
    <w:rsid w:val="001E32D6"/>
    <w:rsid w:val="001E352E"/>
    <w:rsid w:val="001E359C"/>
    <w:rsid w:val="001E36E2"/>
    <w:rsid w:val="001E37BA"/>
    <w:rsid w:val="001E38EB"/>
    <w:rsid w:val="001E38F6"/>
    <w:rsid w:val="001E3986"/>
    <w:rsid w:val="001E3C25"/>
    <w:rsid w:val="001E3DED"/>
    <w:rsid w:val="001E3E82"/>
    <w:rsid w:val="001E3F51"/>
    <w:rsid w:val="001E4004"/>
    <w:rsid w:val="001E417B"/>
    <w:rsid w:val="001E4373"/>
    <w:rsid w:val="001E45BD"/>
    <w:rsid w:val="001E473F"/>
    <w:rsid w:val="001E4846"/>
    <w:rsid w:val="001E49F9"/>
    <w:rsid w:val="001E4A61"/>
    <w:rsid w:val="001E4C8E"/>
    <w:rsid w:val="001E4CC7"/>
    <w:rsid w:val="001E4DFF"/>
    <w:rsid w:val="001E4E90"/>
    <w:rsid w:val="001E4F0F"/>
    <w:rsid w:val="001E4F3F"/>
    <w:rsid w:val="001E5103"/>
    <w:rsid w:val="001E5166"/>
    <w:rsid w:val="001E5625"/>
    <w:rsid w:val="001E5807"/>
    <w:rsid w:val="001E5D64"/>
    <w:rsid w:val="001E5DCD"/>
    <w:rsid w:val="001E5DD6"/>
    <w:rsid w:val="001E5DEC"/>
    <w:rsid w:val="001E5E5F"/>
    <w:rsid w:val="001E5ECE"/>
    <w:rsid w:val="001E6188"/>
    <w:rsid w:val="001E63DB"/>
    <w:rsid w:val="001E656B"/>
    <w:rsid w:val="001E6670"/>
    <w:rsid w:val="001E6774"/>
    <w:rsid w:val="001E69ED"/>
    <w:rsid w:val="001E6C14"/>
    <w:rsid w:val="001E6C32"/>
    <w:rsid w:val="001E6E2F"/>
    <w:rsid w:val="001E6EEB"/>
    <w:rsid w:val="001E6FE5"/>
    <w:rsid w:val="001E7007"/>
    <w:rsid w:val="001E7117"/>
    <w:rsid w:val="001E7353"/>
    <w:rsid w:val="001E73B1"/>
    <w:rsid w:val="001E74B1"/>
    <w:rsid w:val="001E7572"/>
    <w:rsid w:val="001E75E2"/>
    <w:rsid w:val="001E7761"/>
    <w:rsid w:val="001E78CC"/>
    <w:rsid w:val="001E78DB"/>
    <w:rsid w:val="001E7D11"/>
    <w:rsid w:val="001E7DBD"/>
    <w:rsid w:val="001E8C8F"/>
    <w:rsid w:val="001F0145"/>
    <w:rsid w:val="001F01E6"/>
    <w:rsid w:val="001F028F"/>
    <w:rsid w:val="001F04A6"/>
    <w:rsid w:val="001F07AE"/>
    <w:rsid w:val="001F0919"/>
    <w:rsid w:val="001F0AA4"/>
    <w:rsid w:val="001F0ACC"/>
    <w:rsid w:val="001F0F02"/>
    <w:rsid w:val="001F0F18"/>
    <w:rsid w:val="001F0F29"/>
    <w:rsid w:val="001F0FAD"/>
    <w:rsid w:val="001F0FF8"/>
    <w:rsid w:val="001F1011"/>
    <w:rsid w:val="001F11A4"/>
    <w:rsid w:val="001F11A9"/>
    <w:rsid w:val="001F1227"/>
    <w:rsid w:val="001F13AA"/>
    <w:rsid w:val="001F1543"/>
    <w:rsid w:val="001F155E"/>
    <w:rsid w:val="001F1689"/>
    <w:rsid w:val="001F1795"/>
    <w:rsid w:val="001F182D"/>
    <w:rsid w:val="001F1833"/>
    <w:rsid w:val="001F19D6"/>
    <w:rsid w:val="001F1B0B"/>
    <w:rsid w:val="001F1B2C"/>
    <w:rsid w:val="001F1C24"/>
    <w:rsid w:val="001F1E68"/>
    <w:rsid w:val="001F1EF7"/>
    <w:rsid w:val="001F1F1D"/>
    <w:rsid w:val="001F1F5B"/>
    <w:rsid w:val="001F201E"/>
    <w:rsid w:val="001F2053"/>
    <w:rsid w:val="001F21A8"/>
    <w:rsid w:val="001F21FD"/>
    <w:rsid w:val="001F242F"/>
    <w:rsid w:val="001F24E3"/>
    <w:rsid w:val="001F26CE"/>
    <w:rsid w:val="001F26F8"/>
    <w:rsid w:val="001F275E"/>
    <w:rsid w:val="001F276E"/>
    <w:rsid w:val="001F2875"/>
    <w:rsid w:val="001F28E9"/>
    <w:rsid w:val="001F2909"/>
    <w:rsid w:val="001F2B2B"/>
    <w:rsid w:val="001F2B92"/>
    <w:rsid w:val="001F2BCB"/>
    <w:rsid w:val="001F2C4E"/>
    <w:rsid w:val="001F2F1C"/>
    <w:rsid w:val="001F2F76"/>
    <w:rsid w:val="001F3125"/>
    <w:rsid w:val="001F32D2"/>
    <w:rsid w:val="001F3453"/>
    <w:rsid w:val="001F349F"/>
    <w:rsid w:val="001F34B0"/>
    <w:rsid w:val="001F34EA"/>
    <w:rsid w:val="001F36B2"/>
    <w:rsid w:val="001F3716"/>
    <w:rsid w:val="001F37FC"/>
    <w:rsid w:val="001F380E"/>
    <w:rsid w:val="001F3997"/>
    <w:rsid w:val="001F3A75"/>
    <w:rsid w:val="001F3EAC"/>
    <w:rsid w:val="001F40C5"/>
    <w:rsid w:val="001F40FA"/>
    <w:rsid w:val="001F41B0"/>
    <w:rsid w:val="001F423E"/>
    <w:rsid w:val="001F457D"/>
    <w:rsid w:val="001F4583"/>
    <w:rsid w:val="001F466C"/>
    <w:rsid w:val="001F475C"/>
    <w:rsid w:val="001F4766"/>
    <w:rsid w:val="001F486B"/>
    <w:rsid w:val="001F48EF"/>
    <w:rsid w:val="001F4943"/>
    <w:rsid w:val="001F497B"/>
    <w:rsid w:val="001F4A5C"/>
    <w:rsid w:val="001F4B9F"/>
    <w:rsid w:val="001F4C3E"/>
    <w:rsid w:val="001F4CAE"/>
    <w:rsid w:val="001F4E2B"/>
    <w:rsid w:val="001F4E8F"/>
    <w:rsid w:val="001F5060"/>
    <w:rsid w:val="001F50B2"/>
    <w:rsid w:val="001F50EF"/>
    <w:rsid w:val="001F50F6"/>
    <w:rsid w:val="001F540D"/>
    <w:rsid w:val="001F54F5"/>
    <w:rsid w:val="001F54FF"/>
    <w:rsid w:val="001F5708"/>
    <w:rsid w:val="001F5836"/>
    <w:rsid w:val="001F593C"/>
    <w:rsid w:val="001F596B"/>
    <w:rsid w:val="001F5A29"/>
    <w:rsid w:val="001F5B76"/>
    <w:rsid w:val="001F5DC8"/>
    <w:rsid w:val="001F626E"/>
    <w:rsid w:val="001F62C3"/>
    <w:rsid w:val="001F6317"/>
    <w:rsid w:val="001F637B"/>
    <w:rsid w:val="001F6448"/>
    <w:rsid w:val="001F64EA"/>
    <w:rsid w:val="001F64FF"/>
    <w:rsid w:val="001F6771"/>
    <w:rsid w:val="001F6A1B"/>
    <w:rsid w:val="001F6ACD"/>
    <w:rsid w:val="001F6B3B"/>
    <w:rsid w:val="001F6BC0"/>
    <w:rsid w:val="001F6BF8"/>
    <w:rsid w:val="001F6C1E"/>
    <w:rsid w:val="001F6C4A"/>
    <w:rsid w:val="001F6DA2"/>
    <w:rsid w:val="001F6E2A"/>
    <w:rsid w:val="001F6EEF"/>
    <w:rsid w:val="001F6F53"/>
    <w:rsid w:val="001F6F58"/>
    <w:rsid w:val="001F6FDC"/>
    <w:rsid w:val="001F7189"/>
    <w:rsid w:val="001F76AB"/>
    <w:rsid w:val="001F76D1"/>
    <w:rsid w:val="001F785C"/>
    <w:rsid w:val="001F795C"/>
    <w:rsid w:val="001F79AA"/>
    <w:rsid w:val="001F79AB"/>
    <w:rsid w:val="001F7B36"/>
    <w:rsid w:val="001F7B9A"/>
    <w:rsid w:val="001F7C99"/>
    <w:rsid w:val="001F7FDF"/>
    <w:rsid w:val="002000A9"/>
    <w:rsid w:val="0020013E"/>
    <w:rsid w:val="00200257"/>
    <w:rsid w:val="002003B4"/>
    <w:rsid w:val="002003C8"/>
    <w:rsid w:val="00200450"/>
    <w:rsid w:val="00200552"/>
    <w:rsid w:val="002008E4"/>
    <w:rsid w:val="002009A0"/>
    <w:rsid w:val="002009D0"/>
    <w:rsid w:val="00200B20"/>
    <w:rsid w:val="00200E46"/>
    <w:rsid w:val="00200EE2"/>
    <w:rsid w:val="00200F41"/>
    <w:rsid w:val="002010C2"/>
    <w:rsid w:val="00201205"/>
    <w:rsid w:val="00201326"/>
    <w:rsid w:val="002015F1"/>
    <w:rsid w:val="00201710"/>
    <w:rsid w:val="00201A08"/>
    <w:rsid w:val="00201CAF"/>
    <w:rsid w:val="00201CB5"/>
    <w:rsid w:val="00201DA8"/>
    <w:rsid w:val="00201EB8"/>
    <w:rsid w:val="00201F4C"/>
    <w:rsid w:val="00202166"/>
    <w:rsid w:val="002021C3"/>
    <w:rsid w:val="00202260"/>
    <w:rsid w:val="00202334"/>
    <w:rsid w:val="00202381"/>
    <w:rsid w:val="0020238C"/>
    <w:rsid w:val="002023DB"/>
    <w:rsid w:val="002023EA"/>
    <w:rsid w:val="00202405"/>
    <w:rsid w:val="00202425"/>
    <w:rsid w:val="00202472"/>
    <w:rsid w:val="002024BC"/>
    <w:rsid w:val="00202745"/>
    <w:rsid w:val="0020279A"/>
    <w:rsid w:val="0020281C"/>
    <w:rsid w:val="00202A23"/>
    <w:rsid w:val="00202A61"/>
    <w:rsid w:val="00202A95"/>
    <w:rsid w:val="00202C2E"/>
    <w:rsid w:val="00202CA9"/>
    <w:rsid w:val="00202D23"/>
    <w:rsid w:val="00202DAA"/>
    <w:rsid w:val="00202E23"/>
    <w:rsid w:val="00202E6A"/>
    <w:rsid w:val="00202E71"/>
    <w:rsid w:val="00202EFA"/>
    <w:rsid w:val="00202FA7"/>
    <w:rsid w:val="002030D7"/>
    <w:rsid w:val="00203105"/>
    <w:rsid w:val="00203120"/>
    <w:rsid w:val="0020313E"/>
    <w:rsid w:val="002031AB"/>
    <w:rsid w:val="0020325F"/>
    <w:rsid w:val="0020337E"/>
    <w:rsid w:val="002035B9"/>
    <w:rsid w:val="0020361C"/>
    <w:rsid w:val="002036BB"/>
    <w:rsid w:val="00203761"/>
    <w:rsid w:val="0020385A"/>
    <w:rsid w:val="00203891"/>
    <w:rsid w:val="002038C1"/>
    <w:rsid w:val="00203A07"/>
    <w:rsid w:val="00203BB3"/>
    <w:rsid w:val="00203C0C"/>
    <w:rsid w:val="00203CC5"/>
    <w:rsid w:val="00203CD0"/>
    <w:rsid w:val="00203FA4"/>
    <w:rsid w:val="00204085"/>
    <w:rsid w:val="00204277"/>
    <w:rsid w:val="00204338"/>
    <w:rsid w:val="00204447"/>
    <w:rsid w:val="0020460E"/>
    <w:rsid w:val="0020461D"/>
    <w:rsid w:val="00204649"/>
    <w:rsid w:val="002048CE"/>
    <w:rsid w:val="002048D5"/>
    <w:rsid w:val="00204907"/>
    <w:rsid w:val="00204A03"/>
    <w:rsid w:val="00204A45"/>
    <w:rsid w:val="00204D04"/>
    <w:rsid w:val="00204EBE"/>
    <w:rsid w:val="00204FC8"/>
    <w:rsid w:val="0020509E"/>
    <w:rsid w:val="002051BA"/>
    <w:rsid w:val="0020525E"/>
    <w:rsid w:val="00205273"/>
    <w:rsid w:val="002052C0"/>
    <w:rsid w:val="0020534D"/>
    <w:rsid w:val="002054A5"/>
    <w:rsid w:val="002055E9"/>
    <w:rsid w:val="0020563A"/>
    <w:rsid w:val="002056B3"/>
    <w:rsid w:val="002058C9"/>
    <w:rsid w:val="00205A5E"/>
    <w:rsid w:val="00205D65"/>
    <w:rsid w:val="00205DBE"/>
    <w:rsid w:val="00205E23"/>
    <w:rsid w:val="00205F94"/>
    <w:rsid w:val="00205FB1"/>
    <w:rsid w:val="00205FBD"/>
    <w:rsid w:val="00206096"/>
    <w:rsid w:val="0020628D"/>
    <w:rsid w:val="002062AC"/>
    <w:rsid w:val="002062E8"/>
    <w:rsid w:val="00206400"/>
    <w:rsid w:val="002065B5"/>
    <w:rsid w:val="0020660C"/>
    <w:rsid w:val="0020663D"/>
    <w:rsid w:val="002067A4"/>
    <w:rsid w:val="00206802"/>
    <w:rsid w:val="00206812"/>
    <w:rsid w:val="002069FE"/>
    <w:rsid w:val="00206A75"/>
    <w:rsid w:val="00206AF3"/>
    <w:rsid w:val="00206B76"/>
    <w:rsid w:val="00206C39"/>
    <w:rsid w:val="00206CF5"/>
    <w:rsid w:val="00206CFB"/>
    <w:rsid w:val="00206D8B"/>
    <w:rsid w:val="00206E7C"/>
    <w:rsid w:val="00206EFE"/>
    <w:rsid w:val="00206FDB"/>
    <w:rsid w:val="00206FE2"/>
    <w:rsid w:val="00207112"/>
    <w:rsid w:val="00207151"/>
    <w:rsid w:val="0020721F"/>
    <w:rsid w:val="00207249"/>
    <w:rsid w:val="002073F8"/>
    <w:rsid w:val="0020754C"/>
    <w:rsid w:val="0020763A"/>
    <w:rsid w:val="00207687"/>
    <w:rsid w:val="0020790D"/>
    <w:rsid w:val="00207950"/>
    <w:rsid w:val="00207A22"/>
    <w:rsid w:val="00207BA9"/>
    <w:rsid w:val="00207BCC"/>
    <w:rsid w:val="00207CE7"/>
    <w:rsid w:val="00207DAB"/>
    <w:rsid w:val="00207DEE"/>
    <w:rsid w:val="00207E85"/>
    <w:rsid w:val="00207EC2"/>
    <w:rsid w:val="00210045"/>
    <w:rsid w:val="00210297"/>
    <w:rsid w:val="00210562"/>
    <w:rsid w:val="0021071F"/>
    <w:rsid w:val="0021089F"/>
    <w:rsid w:val="002108E7"/>
    <w:rsid w:val="00210917"/>
    <w:rsid w:val="00210A7E"/>
    <w:rsid w:val="00210AE9"/>
    <w:rsid w:val="00210B41"/>
    <w:rsid w:val="00210BC1"/>
    <w:rsid w:val="00210C56"/>
    <w:rsid w:val="00210D80"/>
    <w:rsid w:val="00210DD1"/>
    <w:rsid w:val="00210E96"/>
    <w:rsid w:val="002110C0"/>
    <w:rsid w:val="002110D4"/>
    <w:rsid w:val="002110DF"/>
    <w:rsid w:val="002111B8"/>
    <w:rsid w:val="002111BE"/>
    <w:rsid w:val="002112A2"/>
    <w:rsid w:val="00211354"/>
    <w:rsid w:val="0021179B"/>
    <w:rsid w:val="002117BA"/>
    <w:rsid w:val="00211840"/>
    <w:rsid w:val="0021192B"/>
    <w:rsid w:val="00211972"/>
    <w:rsid w:val="0021198A"/>
    <w:rsid w:val="00211998"/>
    <w:rsid w:val="002119AA"/>
    <w:rsid w:val="00211A2A"/>
    <w:rsid w:val="00211B15"/>
    <w:rsid w:val="00211B16"/>
    <w:rsid w:val="00211B3B"/>
    <w:rsid w:val="00211C37"/>
    <w:rsid w:val="00211CCE"/>
    <w:rsid w:val="00211ED7"/>
    <w:rsid w:val="00211F07"/>
    <w:rsid w:val="00212091"/>
    <w:rsid w:val="002120F2"/>
    <w:rsid w:val="00212189"/>
    <w:rsid w:val="0021239B"/>
    <w:rsid w:val="0021254F"/>
    <w:rsid w:val="00212582"/>
    <w:rsid w:val="00212638"/>
    <w:rsid w:val="00212748"/>
    <w:rsid w:val="002127F7"/>
    <w:rsid w:val="00212824"/>
    <w:rsid w:val="00212A49"/>
    <w:rsid w:val="00212CF5"/>
    <w:rsid w:val="00212D0E"/>
    <w:rsid w:val="00212EF1"/>
    <w:rsid w:val="00212F12"/>
    <w:rsid w:val="00212FE2"/>
    <w:rsid w:val="0021326A"/>
    <w:rsid w:val="00213310"/>
    <w:rsid w:val="0021339A"/>
    <w:rsid w:val="00213570"/>
    <w:rsid w:val="0021373C"/>
    <w:rsid w:val="00213745"/>
    <w:rsid w:val="00213839"/>
    <w:rsid w:val="00213A95"/>
    <w:rsid w:val="00213B91"/>
    <w:rsid w:val="00213BEE"/>
    <w:rsid w:val="00213D54"/>
    <w:rsid w:val="00213E20"/>
    <w:rsid w:val="00213EA9"/>
    <w:rsid w:val="00214048"/>
    <w:rsid w:val="00214138"/>
    <w:rsid w:val="002141D5"/>
    <w:rsid w:val="00214374"/>
    <w:rsid w:val="002144FC"/>
    <w:rsid w:val="00214635"/>
    <w:rsid w:val="002148A9"/>
    <w:rsid w:val="00214906"/>
    <w:rsid w:val="002149A9"/>
    <w:rsid w:val="00214A3E"/>
    <w:rsid w:val="00214A6C"/>
    <w:rsid w:val="00214B81"/>
    <w:rsid w:val="00214C2C"/>
    <w:rsid w:val="00214DD1"/>
    <w:rsid w:val="00214FD8"/>
    <w:rsid w:val="0021514C"/>
    <w:rsid w:val="00215254"/>
    <w:rsid w:val="00215476"/>
    <w:rsid w:val="00215625"/>
    <w:rsid w:val="00215734"/>
    <w:rsid w:val="00215762"/>
    <w:rsid w:val="002157A6"/>
    <w:rsid w:val="00215899"/>
    <w:rsid w:val="002158C9"/>
    <w:rsid w:val="00215A42"/>
    <w:rsid w:val="00215B80"/>
    <w:rsid w:val="00215BCC"/>
    <w:rsid w:val="00215BFD"/>
    <w:rsid w:val="00215CD1"/>
    <w:rsid w:val="00215DC1"/>
    <w:rsid w:val="00215EAA"/>
    <w:rsid w:val="00215EE5"/>
    <w:rsid w:val="00215F15"/>
    <w:rsid w:val="00215F62"/>
    <w:rsid w:val="00216003"/>
    <w:rsid w:val="00216015"/>
    <w:rsid w:val="002160BC"/>
    <w:rsid w:val="00216295"/>
    <w:rsid w:val="0021637E"/>
    <w:rsid w:val="00216594"/>
    <w:rsid w:val="0021687D"/>
    <w:rsid w:val="00216AB8"/>
    <w:rsid w:val="00216B58"/>
    <w:rsid w:val="00216BDB"/>
    <w:rsid w:val="00216C0C"/>
    <w:rsid w:val="00216F06"/>
    <w:rsid w:val="00217041"/>
    <w:rsid w:val="0021708A"/>
    <w:rsid w:val="002171B1"/>
    <w:rsid w:val="002171FF"/>
    <w:rsid w:val="002172BA"/>
    <w:rsid w:val="0021730D"/>
    <w:rsid w:val="00217361"/>
    <w:rsid w:val="00217409"/>
    <w:rsid w:val="00217463"/>
    <w:rsid w:val="00217507"/>
    <w:rsid w:val="002175C0"/>
    <w:rsid w:val="0021767F"/>
    <w:rsid w:val="002176B3"/>
    <w:rsid w:val="002178BE"/>
    <w:rsid w:val="002179F3"/>
    <w:rsid w:val="00217C1D"/>
    <w:rsid w:val="00217C29"/>
    <w:rsid w:val="00220063"/>
    <w:rsid w:val="00220105"/>
    <w:rsid w:val="0022026C"/>
    <w:rsid w:val="002202E1"/>
    <w:rsid w:val="002202F3"/>
    <w:rsid w:val="0022042D"/>
    <w:rsid w:val="0022048C"/>
    <w:rsid w:val="00220540"/>
    <w:rsid w:val="002206C5"/>
    <w:rsid w:val="002209A9"/>
    <w:rsid w:val="00220D3F"/>
    <w:rsid w:val="00220DDD"/>
    <w:rsid w:val="00220E51"/>
    <w:rsid w:val="00220F63"/>
    <w:rsid w:val="00220F71"/>
    <w:rsid w:val="00220F8D"/>
    <w:rsid w:val="00221098"/>
    <w:rsid w:val="002211B3"/>
    <w:rsid w:val="002211CE"/>
    <w:rsid w:val="00221451"/>
    <w:rsid w:val="00221459"/>
    <w:rsid w:val="002214BF"/>
    <w:rsid w:val="00221961"/>
    <w:rsid w:val="00221B8F"/>
    <w:rsid w:val="00221BE9"/>
    <w:rsid w:val="00221CC6"/>
    <w:rsid w:val="00221D55"/>
    <w:rsid w:val="00222286"/>
    <w:rsid w:val="002223B9"/>
    <w:rsid w:val="0022246F"/>
    <w:rsid w:val="00222597"/>
    <w:rsid w:val="00222734"/>
    <w:rsid w:val="002227D4"/>
    <w:rsid w:val="002228AE"/>
    <w:rsid w:val="0022290C"/>
    <w:rsid w:val="00222B89"/>
    <w:rsid w:val="00222C4D"/>
    <w:rsid w:val="00222DEF"/>
    <w:rsid w:val="00222E02"/>
    <w:rsid w:val="00222E4A"/>
    <w:rsid w:val="00222F39"/>
    <w:rsid w:val="00223044"/>
    <w:rsid w:val="00223170"/>
    <w:rsid w:val="0022336A"/>
    <w:rsid w:val="002233D8"/>
    <w:rsid w:val="002234AD"/>
    <w:rsid w:val="002234E1"/>
    <w:rsid w:val="0022380B"/>
    <w:rsid w:val="00223884"/>
    <w:rsid w:val="002238FB"/>
    <w:rsid w:val="00223963"/>
    <w:rsid w:val="00223978"/>
    <w:rsid w:val="00223A0D"/>
    <w:rsid w:val="00223D54"/>
    <w:rsid w:val="00223E2B"/>
    <w:rsid w:val="00224031"/>
    <w:rsid w:val="002241D6"/>
    <w:rsid w:val="0022429A"/>
    <w:rsid w:val="00224442"/>
    <w:rsid w:val="00224444"/>
    <w:rsid w:val="0022449B"/>
    <w:rsid w:val="00224520"/>
    <w:rsid w:val="0022463E"/>
    <w:rsid w:val="00224723"/>
    <w:rsid w:val="002248F9"/>
    <w:rsid w:val="00224C61"/>
    <w:rsid w:val="00224D5F"/>
    <w:rsid w:val="0022508A"/>
    <w:rsid w:val="00225264"/>
    <w:rsid w:val="002252CF"/>
    <w:rsid w:val="00225526"/>
    <w:rsid w:val="0022579D"/>
    <w:rsid w:val="002259F3"/>
    <w:rsid w:val="00225AAA"/>
    <w:rsid w:val="00225AAB"/>
    <w:rsid w:val="00225B24"/>
    <w:rsid w:val="00225B86"/>
    <w:rsid w:val="00225BCC"/>
    <w:rsid w:val="00225CAF"/>
    <w:rsid w:val="00225E66"/>
    <w:rsid w:val="00225EAD"/>
    <w:rsid w:val="00225EB3"/>
    <w:rsid w:val="00226162"/>
    <w:rsid w:val="002262FA"/>
    <w:rsid w:val="00226329"/>
    <w:rsid w:val="002263EB"/>
    <w:rsid w:val="002263F5"/>
    <w:rsid w:val="00226644"/>
    <w:rsid w:val="002268F5"/>
    <w:rsid w:val="00226A43"/>
    <w:rsid w:val="00226D40"/>
    <w:rsid w:val="00226EEC"/>
    <w:rsid w:val="00226EFA"/>
    <w:rsid w:val="002270E7"/>
    <w:rsid w:val="002270F3"/>
    <w:rsid w:val="002271DF"/>
    <w:rsid w:val="0022725C"/>
    <w:rsid w:val="002272B7"/>
    <w:rsid w:val="002273AA"/>
    <w:rsid w:val="0022763F"/>
    <w:rsid w:val="002276D8"/>
    <w:rsid w:val="0022773E"/>
    <w:rsid w:val="002277DD"/>
    <w:rsid w:val="002279A6"/>
    <w:rsid w:val="00227B37"/>
    <w:rsid w:val="00227B46"/>
    <w:rsid w:val="00227DB3"/>
    <w:rsid w:val="00227DC1"/>
    <w:rsid w:val="00227E74"/>
    <w:rsid w:val="00227F79"/>
    <w:rsid w:val="00227FDE"/>
    <w:rsid w:val="0023001C"/>
    <w:rsid w:val="0023019F"/>
    <w:rsid w:val="002301D8"/>
    <w:rsid w:val="002302A3"/>
    <w:rsid w:val="002304E4"/>
    <w:rsid w:val="002305B9"/>
    <w:rsid w:val="00230743"/>
    <w:rsid w:val="002309A7"/>
    <w:rsid w:val="00230B23"/>
    <w:rsid w:val="00230D0D"/>
    <w:rsid w:val="00230E39"/>
    <w:rsid w:val="00230EBA"/>
    <w:rsid w:val="00230EEF"/>
    <w:rsid w:val="00230F06"/>
    <w:rsid w:val="00230FF0"/>
    <w:rsid w:val="00231243"/>
    <w:rsid w:val="00231363"/>
    <w:rsid w:val="002313C4"/>
    <w:rsid w:val="00231471"/>
    <w:rsid w:val="00231523"/>
    <w:rsid w:val="002316CB"/>
    <w:rsid w:val="002316F8"/>
    <w:rsid w:val="00231770"/>
    <w:rsid w:val="00231836"/>
    <w:rsid w:val="002319FC"/>
    <w:rsid w:val="00231A6C"/>
    <w:rsid w:val="00231B4E"/>
    <w:rsid w:val="00231B76"/>
    <w:rsid w:val="00231BCC"/>
    <w:rsid w:val="00231C59"/>
    <w:rsid w:val="00231E52"/>
    <w:rsid w:val="00231EA4"/>
    <w:rsid w:val="00232159"/>
    <w:rsid w:val="00232169"/>
    <w:rsid w:val="002321CC"/>
    <w:rsid w:val="00232318"/>
    <w:rsid w:val="002323E0"/>
    <w:rsid w:val="0023257A"/>
    <w:rsid w:val="002325D7"/>
    <w:rsid w:val="00232871"/>
    <w:rsid w:val="00232A87"/>
    <w:rsid w:val="00232B45"/>
    <w:rsid w:val="00232B6A"/>
    <w:rsid w:val="00232CFD"/>
    <w:rsid w:val="00232D63"/>
    <w:rsid w:val="00232DAE"/>
    <w:rsid w:val="00232E6C"/>
    <w:rsid w:val="00232ED3"/>
    <w:rsid w:val="00232FCF"/>
    <w:rsid w:val="00232FE6"/>
    <w:rsid w:val="002330B9"/>
    <w:rsid w:val="0023323F"/>
    <w:rsid w:val="002337C0"/>
    <w:rsid w:val="00233A44"/>
    <w:rsid w:val="00233A6E"/>
    <w:rsid w:val="00233C98"/>
    <w:rsid w:val="00233CDA"/>
    <w:rsid w:val="00233E3B"/>
    <w:rsid w:val="00233ECF"/>
    <w:rsid w:val="00233F05"/>
    <w:rsid w:val="00233F27"/>
    <w:rsid w:val="002341CA"/>
    <w:rsid w:val="002342BA"/>
    <w:rsid w:val="00234311"/>
    <w:rsid w:val="00234373"/>
    <w:rsid w:val="00234491"/>
    <w:rsid w:val="0023470A"/>
    <w:rsid w:val="00234834"/>
    <w:rsid w:val="0023485F"/>
    <w:rsid w:val="0023489C"/>
    <w:rsid w:val="002348B5"/>
    <w:rsid w:val="00234931"/>
    <w:rsid w:val="0023498D"/>
    <w:rsid w:val="00234A46"/>
    <w:rsid w:val="00234AA7"/>
    <w:rsid w:val="00234AF4"/>
    <w:rsid w:val="00234AFE"/>
    <w:rsid w:val="00234B87"/>
    <w:rsid w:val="00234BB8"/>
    <w:rsid w:val="00234D0E"/>
    <w:rsid w:val="00234E0F"/>
    <w:rsid w:val="00234F81"/>
    <w:rsid w:val="00235005"/>
    <w:rsid w:val="00235068"/>
    <w:rsid w:val="00235244"/>
    <w:rsid w:val="002354EF"/>
    <w:rsid w:val="0023558E"/>
    <w:rsid w:val="002355B9"/>
    <w:rsid w:val="0023562E"/>
    <w:rsid w:val="0023588B"/>
    <w:rsid w:val="00235985"/>
    <w:rsid w:val="002359C7"/>
    <w:rsid w:val="002359E0"/>
    <w:rsid w:val="00235C53"/>
    <w:rsid w:val="00235D2C"/>
    <w:rsid w:val="00235D63"/>
    <w:rsid w:val="00235DB4"/>
    <w:rsid w:val="00236065"/>
    <w:rsid w:val="0023607E"/>
    <w:rsid w:val="00236156"/>
    <w:rsid w:val="0023630D"/>
    <w:rsid w:val="002363CC"/>
    <w:rsid w:val="00236478"/>
    <w:rsid w:val="00236521"/>
    <w:rsid w:val="002365AC"/>
    <w:rsid w:val="00236672"/>
    <w:rsid w:val="002366BD"/>
    <w:rsid w:val="002366D4"/>
    <w:rsid w:val="0023678B"/>
    <w:rsid w:val="002368BE"/>
    <w:rsid w:val="002368F1"/>
    <w:rsid w:val="002369E0"/>
    <w:rsid w:val="00236B5C"/>
    <w:rsid w:val="00236DF4"/>
    <w:rsid w:val="00236ED4"/>
    <w:rsid w:val="00236F24"/>
    <w:rsid w:val="00237067"/>
    <w:rsid w:val="00237093"/>
    <w:rsid w:val="00237098"/>
    <w:rsid w:val="00237101"/>
    <w:rsid w:val="00237243"/>
    <w:rsid w:val="0023724D"/>
    <w:rsid w:val="002372A1"/>
    <w:rsid w:val="0023750A"/>
    <w:rsid w:val="002375D5"/>
    <w:rsid w:val="002376DA"/>
    <w:rsid w:val="00237731"/>
    <w:rsid w:val="002379EC"/>
    <w:rsid w:val="00237BA6"/>
    <w:rsid w:val="00237C78"/>
    <w:rsid w:val="00237E9A"/>
    <w:rsid w:val="00237ED2"/>
    <w:rsid w:val="00240029"/>
    <w:rsid w:val="002400BE"/>
    <w:rsid w:val="002401A0"/>
    <w:rsid w:val="00240292"/>
    <w:rsid w:val="002402EC"/>
    <w:rsid w:val="002403EB"/>
    <w:rsid w:val="002404D1"/>
    <w:rsid w:val="00240A34"/>
    <w:rsid w:val="00240A54"/>
    <w:rsid w:val="00240A5C"/>
    <w:rsid w:val="00240C5B"/>
    <w:rsid w:val="00240DBD"/>
    <w:rsid w:val="00240DC3"/>
    <w:rsid w:val="00240E11"/>
    <w:rsid w:val="00240EFC"/>
    <w:rsid w:val="0024105E"/>
    <w:rsid w:val="002413FE"/>
    <w:rsid w:val="00241425"/>
    <w:rsid w:val="00241429"/>
    <w:rsid w:val="0024142B"/>
    <w:rsid w:val="002414F9"/>
    <w:rsid w:val="002417B8"/>
    <w:rsid w:val="00241952"/>
    <w:rsid w:val="00241961"/>
    <w:rsid w:val="0024198B"/>
    <w:rsid w:val="00241A66"/>
    <w:rsid w:val="00241AA9"/>
    <w:rsid w:val="00241B20"/>
    <w:rsid w:val="00241F9E"/>
    <w:rsid w:val="0024211C"/>
    <w:rsid w:val="002422D3"/>
    <w:rsid w:val="002425C9"/>
    <w:rsid w:val="00242702"/>
    <w:rsid w:val="00242766"/>
    <w:rsid w:val="00242A6B"/>
    <w:rsid w:val="00242D75"/>
    <w:rsid w:val="00242DEC"/>
    <w:rsid w:val="00242F23"/>
    <w:rsid w:val="00242FCD"/>
    <w:rsid w:val="00242FF9"/>
    <w:rsid w:val="0024301D"/>
    <w:rsid w:val="0024308B"/>
    <w:rsid w:val="0024316D"/>
    <w:rsid w:val="00243397"/>
    <w:rsid w:val="002434BD"/>
    <w:rsid w:val="00243591"/>
    <w:rsid w:val="0024366A"/>
    <w:rsid w:val="00243786"/>
    <w:rsid w:val="00243806"/>
    <w:rsid w:val="00243811"/>
    <w:rsid w:val="0024384B"/>
    <w:rsid w:val="0024391F"/>
    <w:rsid w:val="002439F9"/>
    <w:rsid w:val="00243B08"/>
    <w:rsid w:val="00243B9F"/>
    <w:rsid w:val="00243BAE"/>
    <w:rsid w:val="00243F76"/>
    <w:rsid w:val="00243FA6"/>
    <w:rsid w:val="00244109"/>
    <w:rsid w:val="002442B8"/>
    <w:rsid w:val="002442EB"/>
    <w:rsid w:val="0024441E"/>
    <w:rsid w:val="0024454C"/>
    <w:rsid w:val="00244712"/>
    <w:rsid w:val="00244797"/>
    <w:rsid w:val="002447B6"/>
    <w:rsid w:val="00244994"/>
    <w:rsid w:val="00244A26"/>
    <w:rsid w:val="00244A43"/>
    <w:rsid w:val="00244C11"/>
    <w:rsid w:val="00245020"/>
    <w:rsid w:val="0024505E"/>
    <w:rsid w:val="00245281"/>
    <w:rsid w:val="00245288"/>
    <w:rsid w:val="0024541A"/>
    <w:rsid w:val="002454A2"/>
    <w:rsid w:val="002454AA"/>
    <w:rsid w:val="00245699"/>
    <w:rsid w:val="002456BD"/>
    <w:rsid w:val="002456EC"/>
    <w:rsid w:val="002457E6"/>
    <w:rsid w:val="00245BAD"/>
    <w:rsid w:val="00245EE5"/>
    <w:rsid w:val="00245F1E"/>
    <w:rsid w:val="00245FBA"/>
    <w:rsid w:val="002461A5"/>
    <w:rsid w:val="00246428"/>
    <w:rsid w:val="0024643C"/>
    <w:rsid w:val="00246476"/>
    <w:rsid w:val="00246727"/>
    <w:rsid w:val="00246899"/>
    <w:rsid w:val="002468B2"/>
    <w:rsid w:val="002468E7"/>
    <w:rsid w:val="00246A53"/>
    <w:rsid w:val="00246AB0"/>
    <w:rsid w:val="00246ADD"/>
    <w:rsid w:val="00246B54"/>
    <w:rsid w:val="00246C5E"/>
    <w:rsid w:val="00246C86"/>
    <w:rsid w:val="00246CA3"/>
    <w:rsid w:val="00246D1A"/>
    <w:rsid w:val="00246D95"/>
    <w:rsid w:val="00246E01"/>
    <w:rsid w:val="00246EF8"/>
    <w:rsid w:val="00246F85"/>
    <w:rsid w:val="0024706F"/>
    <w:rsid w:val="002471E1"/>
    <w:rsid w:val="002472FF"/>
    <w:rsid w:val="00247409"/>
    <w:rsid w:val="00247505"/>
    <w:rsid w:val="002477D3"/>
    <w:rsid w:val="0024784F"/>
    <w:rsid w:val="002479BB"/>
    <w:rsid w:val="00247A0C"/>
    <w:rsid w:val="00247BE1"/>
    <w:rsid w:val="00247CB8"/>
    <w:rsid w:val="002500A5"/>
    <w:rsid w:val="0025019A"/>
    <w:rsid w:val="002502A6"/>
    <w:rsid w:val="00250335"/>
    <w:rsid w:val="0025037A"/>
    <w:rsid w:val="0025037F"/>
    <w:rsid w:val="002503BA"/>
    <w:rsid w:val="00250404"/>
    <w:rsid w:val="00250466"/>
    <w:rsid w:val="0025053C"/>
    <w:rsid w:val="0025058F"/>
    <w:rsid w:val="00250910"/>
    <w:rsid w:val="002509BD"/>
    <w:rsid w:val="00250A3A"/>
    <w:rsid w:val="00250AB6"/>
    <w:rsid w:val="00250AE5"/>
    <w:rsid w:val="00250B47"/>
    <w:rsid w:val="00250B8E"/>
    <w:rsid w:val="00250B9A"/>
    <w:rsid w:val="00250BA9"/>
    <w:rsid w:val="00250C91"/>
    <w:rsid w:val="00250CAB"/>
    <w:rsid w:val="00250EB7"/>
    <w:rsid w:val="00250F60"/>
    <w:rsid w:val="00250FAF"/>
    <w:rsid w:val="002513B5"/>
    <w:rsid w:val="0025149E"/>
    <w:rsid w:val="0025155E"/>
    <w:rsid w:val="002516C9"/>
    <w:rsid w:val="002516FB"/>
    <w:rsid w:val="00251705"/>
    <w:rsid w:val="0025181A"/>
    <w:rsid w:val="00251A24"/>
    <w:rsid w:val="00251AC2"/>
    <w:rsid w:val="00251D88"/>
    <w:rsid w:val="00251EB1"/>
    <w:rsid w:val="0025201E"/>
    <w:rsid w:val="002520D7"/>
    <w:rsid w:val="00252256"/>
    <w:rsid w:val="0025228D"/>
    <w:rsid w:val="0025234C"/>
    <w:rsid w:val="0025238A"/>
    <w:rsid w:val="0025243A"/>
    <w:rsid w:val="00252592"/>
    <w:rsid w:val="002525B7"/>
    <w:rsid w:val="00252609"/>
    <w:rsid w:val="00252653"/>
    <w:rsid w:val="002528BB"/>
    <w:rsid w:val="002529BE"/>
    <w:rsid w:val="00252A3C"/>
    <w:rsid w:val="00252CDE"/>
    <w:rsid w:val="00252D6F"/>
    <w:rsid w:val="00252D8C"/>
    <w:rsid w:val="00252E93"/>
    <w:rsid w:val="00252F42"/>
    <w:rsid w:val="00253127"/>
    <w:rsid w:val="002533EC"/>
    <w:rsid w:val="00253453"/>
    <w:rsid w:val="0025351A"/>
    <w:rsid w:val="0025362E"/>
    <w:rsid w:val="002536B2"/>
    <w:rsid w:val="0025374E"/>
    <w:rsid w:val="002538EC"/>
    <w:rsid w:val="00253972"/>
    <w:rsid w:val="00253A12"/>
    <w:rsid w:val="00253BF8"/>
    <w:rsid w:val="00253E5F"/>
    <w:rsid w:val="00253F67"/>
    <w:rsid w:val="002543CB"/>
    <w:rsid w:val="0025440F"/>
    <w:rsid w:val="00254424"/>
    <w:rsid w:val="002544DF"/>
    <w:rsid w:val="00254601"/>
    <w:rsid w:val="002546BC"/>
    <w:rsid w:val="00254AA3"/>
    <w:rsid w:val="00254C0C"/>
    <w:rsid w:val="00254D7C"/>
    <w:rsid w:val="00254DE6"/>
    <w:rsid w:val="002550AC"/>
    <w:rsid w:val="002551AD"/>
    <w:rsid w:val="0025544B"/>
    <w:rsid w:val="0025548B"/>
    <w:rsid w:val="00255619"/>
    <w:rsid w:val="00255961"/>
    <w:rsid w:val="002559CA"/>
    <w:rsid w:val="00255A32"/>
    <w:rsid w:val="00255BEE"/>
    <w:rsid w:val="00255D23"/>
    <w:rsid w:val="00255DC9"/>
    <w:rsid w:val="00255F02"/>
    <w:rsid w:val="00256053"/>
    <w:rsid w:val="00256099"/>
    <w:rsid w:val="002560A4"/>
    <w:rsid w:val="00256434"/>
    <w:rsid w:val="00256467"/>
    <w:rsid w:val="0025647E"/>
    <w:rsid w:val="002564DE"/>
    <w:rsid w:val="00256522"/>
    <w:rsid w:val="00256650"/>
    <w:rsid w:val="002566C7"/>
    <w:rsid w:val="0025676C"/>
    <w:rsid w:val="00256940"/>
    <w:rsid w:val="00256A29"/>
    <w:rsid w:val="00256B65"/>
    <w:rsid w:val="00256D70"/>
    <w:rsid w:val="00256E63"/>
    <w:rsid w:val="00256E99"/>
    <w:rsid w:val="00257014"/>
    <w:rsid w:val="002570CA"/>
    <w:rsid w:val="0025711B"/>
    <w:rsid w:val="002571F2"/>
    <w:rsid w:val="00257327"/>
    <w:rsid w:val="0025771B"/>
    <w:rsid w:val="0025778F"/>
    <w:rsid w:val="00257CBB"/>
    <w:rsid w:val="00257CD8"/>
    <w:rsid w:val="00257FB0"/>
    <w:rsid w:val="0026016F"/>
    <w:rsid w:val="002603CE"/>
    <w:rsid w:val="00260421"/>
    <w:rsid w:val="002604AE"/>
    <w:rsid w:val="002604D9"/>
    <w:rsid w:val="00260941"/>
    <w:rsid w:val="00260A10"/>
    <w:rsid w:val="00260B63"/>
    <w:rsid w:val="00260D9C"/>
    <w:rsid w:val="002611A1"/>
    <w:rsid w:val="00261554"/>
    <w:rsid w:val="002616FD"/>
    <w:rsid w:val="002617C2"/>
    <w:rsid w:val="002617D6"/>
    <w:rsid w:val="0026185B"/>
    <w:rsid w:val="00261945"/>
    <w:rsid w:val="00261AF6"/>
    <w:rsid w:val="00261AFE"/>
    <w:rsid w:val="00261BBC"/>
    <w:rsid w:val="00261C22"/>
    <w:rsid w:val="00261CE5"/>
    <w:rsid w:val="00261D43"/>
    <w:rsid w:val="00261E12"/>
    <w:rsid w:val="00261F7C"/>
    <w:rsid w:val="00261FBD"/>
    <w:rsid w:val="00261FC8"/>
    <w:rsid w:val="00262001"/>
    <w:rsid w:val="00262063"/>
    <w:rsid w:val="002621E0"/>
    <w:rsid w:val="0026223A"/>
    <w:rsid w:val="002622B6"/>
    <w:rsid w:val="002625AF"/>
    <w:rsid w:val="00262661"/>
    <w:rsid w:val="0026298A"/>
    <w:rsid w:val="00262A23"/>
    <w:rsid w:val="00262C04"/>
    <w:rsid w:val="00262C39"/>
    <w:rsid w:val="00262D3C"/>
    <w:rsid w:val="00262D4B"/>
    <w:rsid w:val="00262D62"/>
    <w:rsid w:val="00262DD3"/>
    <w:rsid w:val="00262E51"/>
    <w:rsid w:val="00262EB1"/>
    <w:rsid w:val="00262F80"/>
    <w:rsid w:val="00263695"/>
    <w:rsid w:val="00263728"/>
    <w:rsid w:val="002638C2"/>
    <w:rsid w:val="00263D8F"/>
    <w:rsid w:val="00263E42"/>
    <w:rsid w:val="00263FA6"/>
    <w:rsid w:val="00264254"/>
    <w:rsid w:val="002644C5"/>
    <w:rsid w:val="00264751"/>
    <w:rsid w:val="00264788"/>
    <w:rsid w:val="002647C6"/>
    <w:rsid w:val="002647F9"/>
    <w:rsid w:val="00264890"/>
    <w:rsid w:val="002649FB"/>
    <w:rsid w:val="00264BEF"/>
    <w:rsid w:val="00264C97"/>
    <w:rsid w:val="00264D0F"/>
    <w:rsid w:val="00264DB0"/>
    <w:rsid w:val="00264DD7"/>
    <w:rsid w:val="00265210"/>
    <w:rsid w:val="0026522A"/>
    <w:rsid w:val="00265234"/>
    <w:rsid w:val="002652FC"/>
    <w:rsid w:val="00265438"/>
    <w:rsid w:val="00265491"/>
    <w:rsid w:val="002655D9"/>
    <w:rsid w:val="00265758"/>
    <w:rsid w:val="00265792"/>
    <w:rsid w:val="002659FC"/>
    <w:rsid w:val="00265A99"/>
    <w:rsid w:val="00265CFC"/>
    <w:rsid w:val="00265D17"/>
    <w:rsid w:val="00265E47"/>
    <w:rsid w:val="00265FE7"/>
    <w:rsid w:val="002660FD"/>
    <w:rsid w:val="0026610A"/>
    <w:rsid w:val="002661FC"/>
    <w:rsid w:val="0026622E"/>
    <w:rsid w:val="00266270"/>
    <w:rsid w:val="00266510"/>
    <w:rsid w:val="0026654D"/>
    <w:rsid w:val="00266555"/>
    <w:rsid w:val="00266640"/>
    <w:rsid w:val="00266643"/>
    <w:rsid w:val="00266808"/>
    <w:rsid w:val="00266838"/>
    <w:rsid w:val="00266997"/>
    <w:rsid w:val="00266AB4"/>
    <w:rsid w:val="00266B8B"/>
    <w:rsid w:val="00266F40"/>
    <w:rsid w:val="00266FC5"/>
    <w:rsid w:val="00267362"/>
    <w:rsid w:val="002673B1"/>
    <w:rsid w:val="0026741A"/>
    <w:rsid w:val="0026753E"/>
    <w:rsid w:val="00267555"/>
    <w:rsid w:val="0026766C"/>
    <w:rsid w:val="00267672"/>
    <w:rsid w:val="002676C3"/>
    <w:rsid w:val="00267A2C"/>
    <w:rsid w:val="00267A75"/>
    <w:rsid w:val="00267BC1"/>
    <w:rsid w:val="00267C46"/>
    <w:rsid w:val="00267D92"/>
    <w:rsid w:val="00267E83"/>
    <w:rsid w:val="00267E8F"/>
    <w:rsid w:val="00267F60"/>
    <w:rsid w:val="0027008D"/>
    <w:rsid w:val="0027017A"/>
    <w:rsid w:val="0027022E"/>
    <w:rsid w:val="0027025C"/>
    <w:rsid w:val="00270370"/>
    <w:rsid w:val="0027037C"/>
    <w:rsid w:val="002706F2"/>
    <w:rsid w:val="0027078F"/>
    <w:rsid w:val="00270B99"/>
    <w:rsid w:val="00270BA1"/>
    <w:rsid w:val="00270C05"/>
    <w:rsid w:val="00270D08"/>
    <w:rsid w:val="00270D58"/>
    <w:rsid w:val="00270DBD"/>
    <w:rsid w:val="00270E75"/>
    <w:rsid w:val="00270FC8"/>
    <w:rsid w:val="00271058"/>
    <w:rsid w:val="00271195"/>
    <w:rsid w:val="002711C9"/>
    <w:rsid w:val="002711FD"/>
    <w:rsid w:val="00271280"/>
    <w:rsid w:val="0027138A"/>
    <w:rsid w:val="002714C4"/>
    <w:rsid w:val="00271573"/>
    <w:rsid w:val="002715A5"/>
    <w:rsid w:val="002717C8"/>
    <w:rsid w:val="002717CA"/>
    <w:rsid w:val="00271ABB"/>
    <w:rsid w:val="00271C5B"/>
    <w:rsid w:val="00271CEA"/>
    <w:rsid w:val="00271FB9"/>
    <w:rsid w:val="002720F5"/>
    <w:rsid w:val="00272183"/>
    <w:rsid w:val="00272343"/>
    <w:rsid w:val="002724E0"/>
    <w:rsid w:val="00272589"/>
    <w:rsid w:val="00272663"/>
    <w:rsid w:val="00272816"/>
    <w:rsid w:val="002728F1"/>
    <w:rsid w:val="00272905"/>
    <w:rsid w:val="002729BB"/>
    <w:rsid w:val="00272BEE"/>
    <w:rsid w:val="00272E26"/>
    <w:rsid w:val="00272F82"/>
    <w:rsid w:val="00272FB8"/>
    <w:rsid w:val="00273166"/>
    <w:rsid w:val="0027319D"/>
    <w:rsid w:val="002731DB"/>
    <w:rsid w:val="0027333A"/>
    <w:rsid w:val="002733F3"/>
    <w:rsid w:val="0027356E"/>
    <w:rsid w:val="002738F7"/>
    <w:rsid w:val="002739CC"/>
    <w:rsid w:val="00273A4C"/>
    <w:rsid w:val="00273ABB"/>
    <w:rsid w:val="00273CE6"/>
    <w:rsid w:val="00273D5D"/>
    <w:rsid w:val="00273E0E"/>
    <w:rsid w:val="00273F49"/>
    <w:rsid w:val="00273F4D"/>
    <w:rsid w:val="0027408A"/>
    <w:rsid w:val="002740FA"/>
    <w:rsid w:val="0027429E"/>
    <w:rsid w:val="00274349"/>
    <w:rsid w:val="0027454A"/>
    <w:rsid w:val="002745CD"/>
    <w:rsid w:val="00274673"/>
    <w:rsid w:val="002748ED"/>
    <w:rsid w:val="00274965"/>
    <w:rsid w:val="00274B40"/>
    <w:rsid w:val="00274BAE"/>
    <w:rsid w:val="00274C5A"/>
    <w:rsid w:val="00274DB6"/>
    <w:rsid w:val="00274E67"/>
    <w:rsid w:val="00274F3D"/>
    <w:rsid w:val="0027506B"/>
    <w:rsid w:val="0027511F"/>
    <w:rsid w:val="00275217"/>
    <w:rsid w:val="00275263"/>
    <w:rsid w:val="002754C0"/>
    <w:rsid w:val="002754EE"/>
    <w:rsid w:val="00275665"/>
    <w:rsid w:val="0027581A"/>
    <w:rsid w:val="0027583C"/>
    <w:rsid w:val="00275958"/>
    <w:rsid w:val="002759EE"/>
    <w:rsid w:val="00275B1B"/>
    <w:rsid w:val="00275BA8"/>
    <w:rsid w:val="00275D6C"/>
    <w:rsid w:val="00275D9E"/>
    <w:rsid w:val="00275DF3"/>
    <w:rsid w:val="00276251"/>
    <w:rsid w:val="0027666E"/>
    <w:rsid w:val="002767C0"/>
    <w:rsid w:val="0027682A"/>
    <w:rsid w:val="00276942"/>
    <w:rsid w:val="0027694B"/>
    <w:rsid w:val="00276A8F"/>
    <w:rsid w:val="00276AB5"/>
    <w:rsid w:val="00276AD4"/>
    <w:rsid w:val="00276B2E"/>
    <w:rsid w:val="00276BFD"/>
    <w:rsid w:val="00276C19"/>
    <w:rsid w:val="00276C88"/>
    <w:rsid w:val="00276D9F"/>
    <w:rsid w:val="00276E40"/>
    <w:rsid w:val="00276E46"/>
    <w:rsid w:val="00277229"/>
    <w:rsid w:val="002775CF"/>
    <w:rsid w:val="00277AAB"/>
    <w:rsid w:val="00277ADC"/>
    <w:rsid w:val="00277B61"/>
    <w:rsid w:val="00277BF9"/>
    <w:rsid w:val="00277C41"/>
    <w:rsid w:val="00277CDD"/>
    <w:rsid w:val="00277CE5"/>
    <w:rsid w:val="00277D2F"/>
    <w:rsid w:val="00277E76"/>
    <w:rsid w:val="00280153"/>
    <w:rsid w:val="002801A1"/>
    <w:rsid w:val="002802C0"/>
    <w:rsid w:val="00280394"/>
    <w:rsid w:val="002804C9"/>
    <w:rsid w:val="002804F8"/>
    <w:rsid w:val="002808F7"/>
    <w:rsid w:val="00280C36"/>
    <w:rsid w:val="00280CF8"/>
    <w:rsid w:val="00280D3B"/>
    <w:rsid w:val="00280D9D"/>
    <w:rsid w:val="00280E2A"/>
    <w:rsid w:val="00280F09"/>
    <w:rsid w:val="00280FED"/>
    <w:rsid w:val="0028113D"/>
    <w:rsid w:val="00281185"/>
    <w:rsid w:val="00281216"/>
    <w:rsid w:val="00281285"/>
    <w:rsid w:val="002812EA"/>
    <w:rsid w:val="002814A5"/>
    <w:rsid w:val="002814D5"/>
    <w:rsid w:val="00281573"/>
    <w:rsid w:val="00281691"/>
    <w:rsid w:val="0028169B"/>
    <w:rsid w:val="002817F6"/>
    <w:rsid w:val="00281848"/>
    <w:rsid w:val="0028199C"/>
    <w:rsid w:val="00281BF4"/>
    <w:rsid w:val="00281C91"/>
    <w:rsid w:val="00281D10"/>
    <w:rsid w:val="00281D5A"/>
    <w:rsid w:val="00281DEE"/>
    <w:rsid w:val="00281F28"/>
    <w:rsid w:val="00282002"/>
    <w:rsid w:val="00282159"/>
    <w:rsid w:val="002821FF"/>
    <w:rsid w:val="00282251"/>
    <w:rsid w:val="002822A6"/>
    <w:rsid w:val="002822F0"/>
    <w:rsid w:val="0028241B"/>
    <w:rsid w:val="00282449"/>
    <w:rsid w:val="002827FE"/>
    <w:rsid w:val="0028289B"/>
    <w:rsid w:val="00282A19"/>
    <w:rsid w:val="00282AAA"/>
    <w:rsid w:val="00282AF7"/>
    <w:rsid w:val="00282B5E"/>
    <w:rsid w:val="00282F0B"/>
    <w:rsid w:val="00283049"/>
    <w:rsid w:val="00283200"/>
    <w:rsid w:val="0028320F"/>
    <w:rsid w:val="0028321E"/>
    <w:rsid w:val="0028327E"/>
    <w:rsid w:val="00283455"/>
    <w:rsid w:val="002834AD"/>
    <w:rsid w:val="00283528"/>
    <w:rsid w:val="00283549"/>
    <w:rsid w:val="00283649"/>
    <w:rsid w:val="00283849"/>
    <w:rsid w:val="00283870"/>
    <w:rsid w:val="00283914"/>
    <w:rsid w:val="00283993"/>
    <w:rsid w:val="00283A0F"/>
    <w:rsid w:val="00283AE3"/>
    <w:rsid w:val="00283BAF"/>
    <w:rsid w:val="00283CAA"/>
    <w:rsid w:val="00283D49"/>
    <w:rsid w:val="00283DEB"/>
    <w:rsid w:val="00283E16"/>
    <w:rsid w:val="00283EC0"/>
    <w:rsid w:val="00283EC5"/>
    <w:rsid w:val="0028407D"/>
    <w:rsid w:val="002845E7"/>
    <w:rsid w:val="0028472B"/>
    <w:rsid w:val="002848A1"/>
    <w:rsid w:val="002848B4"/>
    <w:rsid w:val="00284B73"/>
    <w:rsid w:val="00284C34"/>
    <w:rsid w:val="00284CA3"/>
    <w:rsid w:val="00284DD1"/>
    <w:rsid w:val="00284E5E"/>
    <w:rsid w:val="00284F61"/>
    <w:rsid w:val="002852BC"/>
    <w:rsid w:val="00285341"/>
    <w:rsid w:val="00285441"/>
    <w:rsid w:val="0028563D"/>
    <w:rsid w:val="00285649"/>
    <w:rsid w:val="002856A1"/>
    <w:rsid w:val="0028579D"/>
    <w:rsid w:val="00285904"/>
    <w:rsid w:val="00285968"/>
    <w:rsid w:val="00285B10"/>
    <w:rsid w:val="00285DA2"/>
    <w:rsid w:val="00285E9C"/>
    <w:rsid w:val="0028615D"/>
    <w:rsid w:val="002861E2"/>
    <w:rsid w:val="00286272"/>
    <w:rsid w:val="002864E0"/>
    <w:rsid w:val="002866BF"/>
    <w:rsid w:val="00286747"/>
    <w:rsid w:val="00286759"/>
    <w:rsid w:val="0028685E"/>
    <w:rsid w:val="00286B13"/>
    <w:rsid w:val="00286B38"/>
    <w:rsid w:val="00286B92"/>
    <w:rsid w:val="00286CD5"/>
    <w:rsid w:val="00286D1B"/>
    <w:rsid w:val="002870CF"/>
    <w:rsid w:val="002870F4"/>
    <w:rsid w:val="00287288"/>
    <w:rsid w:val="002872D4"/>
    <w:rsid w:val="002872E5"/>
    <w:rsid w:val="0028774D"/>
    <w:rsid w:val="00287770"/>
    <w:rsid w:val="002877C8"/>
    <w:rsid w:val="002878C6"/>
    <w:rsid w:val="00287A58"/>
    <w:rsid w:val="00287A79"/>
    <w:rsid w:val="00287A7F"/>
    <w:rsid w:val="00287A9D"/>
    <w:rsid w:val="00287B98"/>
    <w:rsid w:val="00287E78"/>
    <w:rsid w:val="00287EB0"/>
    <w:rsid w:val="00287FD4"/>
    <w:rsid w:val="002900D1"/>
    <w:rsid w:val="002901C6"/>
    <w:rsid w:val="002903DA"/>
    <w:rsid w:val="0029055C"/>
    <w:rsid w:val="002906ED"/>
    <w:rsid w:val="00290826"/>
    <w:rsid w:val="00290897"/>
    <w:rsid w:val="002908A9"/>
    <w:rsid w:val="00290966"/>
    <w:rsid w:val="0029096B"/>
    <w:rsid w:val="00290C35"/>
    <w:rsid w:val="00290C63"/>
    <w:rsid w:val="00290E20"/>
    <w:rsid w:val="0029106F"/>
    <w:rsid w:val="002910D8"/>
    <w:rsid w:val="002912B7"/>
    <w:rsid w:val="002913F7"/>
    <w:rsid w:val="002914B3"/>
    <w:rsid w:val="002914EB"/>
    <w:rsid w:val="00291574"/>
    <w:rsid w:val="002915AB"/>
    <w:rsid w:val="00291651"/>
    <w:rsid w:val="00291662"/>
    <w:rsid w:val="002917B3"/>
    <w:rsid w:val="00291828"/>
    <w:rsid w:val="00291966"/>
    <w:rsid w:val="0029198A"/>
    <w:rsid w:val="00291A63"/>
    <w:rsid w:val="00291AE6"/>
    <w:rsid w:val="00291CAE"/>
    <w:rsid w:val="00291CEA"/>
    <w:rsid w:val="00291DFA"/>
    <w:rsid w:val="00291E66"/>
    <w:rsid w:val="00292193"/>
    <w:rsid w:val="002923D0"/>
    <w:rsid w:val="00292507"/>
    <w:rsid w:val="002926CC"/>
    <w:rsid w:val="00292782"/>
    <w:rsid w:val="002928D4"/>
    <w:rsid w:val="00292900"/>
    <w:rsid w:val="00292949"/>
    <w:rsid w:val="00292C37"/>
    <w:rsid w:val="00292C45"/>
    <w:rsid w:val="00292DB7"/>
    <w:rsid w:val="00292E04"/>
    <w:rsid w:val="00292E57"/>
    <w:rsid w:val="00292E86"/>
    <w:rsid w:val="00292E90"/>
    <w:rsid w:val="00292E91"/>
    <w:rsid w:val="00292EC9"/>
    <w:rsid w:val="00292EE4"/>
    <w:rsid w:val="00292F9F"/>
    <w:rsid w:val="0029302D"/>
    <w:rsid w:val="00293109"/>
    <w:rsid w:val="0029333F"/>
    <w:rsid w:val="0029335E"/>
    <w:rsid w:val="002935B7"/>
    <w:rsid w:val="0029362B"/>
    <w:rsid w:val="002936D0"/>
    <w:rsid w:val="00293772"/>
    <w:rsid w:val="00293805"/>
    <w:rsid w:val="002938D3"/>
    <w:rsid w:val="00293A6D"/>
    <w:rsid w:val="00293B4E"/>
    <w:rsid w:val="00293FEB"/>
    <w:rsid w:val="00294062"/>
    <w:rsid w:val="002940FB"/>
    <w:rsid w:val="0029420C"/>
    <w:rsid w:val="0029422C"/>
    <w:rsid w:val="002942C2"/>
    <w:rsid w:val="00294319"/>
    <w:rsid w:val="00294437"/>
    <w:rsid w:val="002944B6"/>
    <w:rsid w:val="0029460F"/>
    <w:rsid w:val="00294619"/>
    <w:rsid w:val="00294789"/>
    <w:rsid w:val="00294798"/>
    <w:rsid w:val="00294810"/>
    <w:rsid w:val="002948EC"/>
    <w:rsid w:val="00294A58"/>
    <w:rsid w:val="00294A9D"/>
    <w:rsid w:val="00294AF5"/>
    <w:rsid w:val="00294BA1"/>
    <w:rsid w:val="00294CE5"/>
    <w:rsid w:val="00294D5F"/>
    <w:rsid w:val="00294E2D"/>
    <w:rsid w:val="00294E5C"/>
    <w:rsid w:val="00294E81"/>
    <w:rsid w:val="00294F20"/>
    <w:rsid w:val="00295062"/>
    <w:rsid w:val="0029519F"/>
    <w:rsid w:val="002952B7"/>
    <w:rsid w:val="002953A9"/>
    <w:rsid w:val="00295414"/>
    <w:rsid w:val="00295451"/>
    <w:rsid w:val="0029552D"/>
    <w:rsid w:val="002958D9"/>
    <w:rsid w:val="00295991"/>
    <w:rsid w:val="00295C9F"/>
    <w:rsid w:val="00295D62"/>
    <w:rsid w:val="00295D75"/>
    <w:rsid w:val="00295F34"/>
    <w:rsid w:val="00295F83"/>
    <w:rsid w:val="00296077"/>
    <w:rsid w:val="002960B8"/>
    <w:rsid w:val="002960C7"/>
    <w:rsid w:val="00296185"/>
    <w:rsid w:val="002961B2"/>
    <w:rsid w:val="002962A9"/>
    <w:rsid w:val="002962B4"/>
    <w:rsid w:val="002962D8"/>
    <w:rsid w:val="00296467"/>
    <w:rsid w:val="002964CC"/>
    <w:rsid w:val="00296536"/>
    <w:rsid w:val="0029658C"/>
    <w:rsid w:val="002968F1"/>
    <w:rsid w:val="002969BA"/>
    <w:rsid w:val="00296AC1"/>
    <w:rsid w:val="00296B20"/>
    <w:rsid w:val="00296C1E"/>
    <w:rsid w:val="00296C7C"/>
    <w:rsid w:val="00296C7E"/>
    <w:rsid w:val="00296CAC"/>
    <w:rsid w:val="00296CD8"/>
    <w:rsid w:val="00296D09"/>
    <w:rsid w:val="00296D98"/>
    <w:rsid w:val="00296E7E"/>
    <w:rsid w:val="00296EA3"/>
    <w:rsid w:val="00297087"/>
    <w:rsid w:val="00297251"/>
    <w:rsid w:val="0029725F"/>
    <w:rsid w:val="00297394"/>
    <w:rsid w:val="00297494"/>
    <w:rsid w:val="0029764E"/>
    <w:rsid w:val="002976EE"/>
    <w:rsid w:val="0029794D"/>
    <w:rsid w:val="00297C93"/>
    <w:rsid w:val="00297CCA"/>
    <w:rsid w:val="00297D01"/>
    <w:rsid w:val="00297E39"/>
    <w:rsid w:val="00297F90"/>
    <w:rsid w:val="00297FF7"/>
    <w:rsid w:val="0029E332"/>
    <w:rsid w:val="002A00B9"/>
    <w:rsid w:val="002A01DE"/>
    <w:rsid w:val="002A0317"/>
    <w:rsid w:val="002A0443"/>
    <w:rsid w:val="002A0516"/>
    <w:rsid w:val="002A05A0"/>
    <w:rsid w:val="002A0AFF"/>
    <w:rsid w:val="002A0BE2"/>
    <w:rsid w:val="002A0CDC"/>
    <w:rsid w:val="002A0D29"/>
    <w:rsid w:val="002A127D"/>
    <w:rsid w:val="002A133F"/>
    <w:rsid w:val="002A1342"/>
    <w:rsid w:val="002A13D1"/>
    <w:rsid w:val="002A1419"/>
    <w:rsid w:val="002A16A9"/>
    <w:rsid w:val="002A1720"/>
    <w:rsid w:val="002A1759"/>
    <w:rsid w:val="002A1852"/>
    <w:rsid w:val="002A18EA"/>
    <w:rsid w:val="002A18FA"/>
    <w:rsid w:val="002A19CA"/>
    <w:rsid w:val="002A1BD7"/>
    <w:rsid w:val="002A1C25"/>
    <w:rsid w:val="002A1DEF"/>
    <w:rsid w:val="002A1E82"/>
    <w:rsid w:val="002A1F2B"/>
    <w:rsid w:val="002A215D"/>
    <w:rsid w:val="002A21FB"/>
    <w:rsid w:val="002A2342"/>
    <w:rsid w:val="002A23BB"/>
    <w:rsid w:val="002A2928"/>
    <w:rsid w:val="002A29DC"/>
    <w:rsid w:val="002A2CD3"/>
    <w:rsid w:val="002A2E38"/>
    <w:rsid w:val="002A2E94"/>
    <w:rsid w:val="002A2F6A"/>
    <w:rsid w:val="002A3127"/>
    <w:rsid w:val="002A32B4"/>
    <w:rsid w:val="002A3338"/>
    <w:rsid w:val="002A333E"/>
    <w:rsid w:val="002A3409"/>
    <w:rsid w:val="002A3516"/>
    <w:rsid w:val="002A351D"/>
    <w:rsid w:val="002A353C"/>
    <w:rsid w:val="002A3732"/>
    <w:rsid w:val="002A38EA"/>
    <w:rsid w:val="002A39A3"/>
    <w:rsid w:val="002A3A41"/>
    <w:rsid w:val="002A3AE3"/>
    <w:rsid w:val="002A40EE"/>
    <w:rsid w:val="002A41CD"/>
    <w:rsid w:val="002A4314"/>
    <w:rsid w:val="002A4347"/>
    <w:rsid w:val="002A435D"/>
    <w:rsid w:val="002A444A"/>
    <w:rsid w:val="002A476D"/>
    <w:rsid w:val="002A4984"/>
    <w:rsid w:val="002A49BD"/>
    <w:rsid w:val="002A49C7"/>
    <w:rsid w:val="002A4A3D"/>
    <w:rsid w:val="002A4B1E"/>
    <w:rsid w:val="002A4B70"/>
    <w:rsid w:val="002A4BE7"/>
    <w:rsid w:val="002A4C96"/>
    <w:rsid w:val="002A4DFB"/>
    <w:rsid w:val="002A4FCD"/>
    <w:rsid w:val="002A527D"/>
    <w:rsid w:val="002A5356"/>
    <w:rsid w:val="002A538A"/>
    <w:rsid w:val="002A54C8"/>
    <w:rsid w:val="002A5547"/>
    <w:rsid w:val="002A5551"/>
    <w:rsid w:val="002A56D3"/>
    <w:rsid w:val="002A5746"/>
    <w:rsid w:val="002A5930"/>
    <w:rsid w:val="002A59F0"/>
    <w:rsid w:val="002A5A5E"/>
    <w:rsid w:val="002A5B79"/>
    <w:rsid w:val="002A5D05"/>
    <w:rsid w:val="002A5EAE"/>
    <w:rsid w:val="002A5FB0"/>
    <w:rsid w:val="002A60A8"/>
    <w:rsid w:val="002A60F0"/>
    <w:rsid w:val="002A615E"/>
    <w:rsid w:val="002A6247"/>
    <w:rsid w:val="002A6359"/>
    <w:rsid w:val="002A6530"/>
    <w:rsid w:val="002A65AD"/>
    <w:rsid w:val="002A66A3"/>
    <w:rsid w:val="002A66E0"/>
    <w:rsid w:val="002A673D"/>
    <w:rsid w:val="002A67B4"/>
    <w:rsid w:val="002A67CC"/>
    <w:rsid w:val="002A690E"/>
    <w:rsid w:val="002A6B03"/>
    <w:rsid w:val="002A6BD1"/>
    <w:rsid w:val="002A709C"/>
    <w:rsid w:val="002A70F9"/>
    <w:rsid w:val="002A7184"/>
    <w:rsid w:val="002A735D"/>
    <w:rsid w:val="002A7372"/>
    <w:rsid w:val="002A75B8"/>
    <w:rsid w:val="002A7646"/>
    <w:rsid w:val="002A7768"/>
    <w:rsid w:val="002A789A"/>
    <w:rsid w:val="002A7AD0"/>
    <w:rsid w:val="002A7AE5"/>
    <w:rsid w:val="002A7B18"/>
    <w:rsid w:val="002A7B4E"/>
    <w:rsid w:val="002A7B6C"/>
    <w:rsid w:val="002A7BF2"/>
    <w:rsid w:val="002A7DC8"/>
    <w:rsid w:val="002A7E04"/>
    <w:rsid w:val="002A7E30"/>
    <w:rsid w:val="002A7EA3"/>
    <w:rsid w:val="002B0036"/>
    <w:rsid w:val="002B003B"/>
    <w:rsid w:val="002B0130"/>
    <w:rsid w:val="002B026F"/>
    <w:rsid w:val="002B028E"/>
    <w:rsid w:val="002B02CA"/>
    <w:rsid w:val="002B02E8"/>
    <w:rsid w:val="002B0550"/>
    <w:rsid w:val="002B0907"/>
    <w:rsid w:val="002B0A83"/>
    <w:rsid w:val="002B0C43"/>
    <w:rsid w:val="002B0E7B"/>
    <w:rsid w:val="002B0F41"/>
    <w:rsid w:val="002B1063"/>
    <w:rsid w:val="002B112A"/>
    <w:rsid w:val="002B1200"/>
    <w:rsid w:val="002B1208"/>
    <w:rsid w:val="002B14B4"/>
    <w:rsid w:val="002B166E"/>
    <w:rsid w:val="002B1696"/>
    <w:rsid w:val="002B16FF"/>
    <w:rsid w:val="002B17AC"/>
    <w:rsid w:val="002B1AA1"/>
    <w:rsid w:val="002B1BD7"/>
    <w:rsid w:val="002B1C62"/>
    <w:rsid w:val="002B1D56"/>
    <w:rsid w:val="002B201D"/>
    <w:rsid w:val="002B2354"/>
    <w:rsid w:val="002B2361"/>
    <w:rsid w:val="002B239E"/>
    <w:rsid w:val="002B23FF"/>
    <w:rsid w:val="002B2452"/>
    <w:rsid w:val="002B2577"/>
    <w:rsid w:val="002B2692"/>
    <w:rsid w:val="002B27B5"/>
    <w:rsid w:val="002B2AB3"/>
    <w:rsid w:val="002B2B38"/>
    <w:rsid w:val="002B2CAE"/>
    <w:rsid w:val="002B2D36"/>
    <w:rsid w:val="002B2E8B"/>
    <w:rsid w:val="002B2F56"/>
    <w:rsid w:val="002B3118"/>
    <w:rsid w:val="002B3194"/>
    <w:rsid w:val="002B3210"/>
    <w:rsid w:val="002B3222"/>
    <w:rsid w:val="002B323A"/>
    <w:rsid w:val="002B32A8"/>
    <w:rsid w:val="002B34DF"/>
    <w:rsid w:val="002B35CD"/>
    <w:rsid w:val="002B37B6"/>
    <w:rsid w:val="002B38EA"/>
    <w:rsid w:val="002B3915"/>
    <w:rsid w:val="002B3B8B"/>
    <w:rsid w:val="002B3CFD"/>
    <w:rsid w:val="002B3EEA"/>
    <w:rsid w:val="002B3F4B"/>
    <w:rsid w:val="002B406E"/>
    <w:rsid w:val="002B40BA"/>
    <w:rsid w:val="002B40DF"/>
    <w:rsid w:val="002B4145"/>
    <w:rsid w:val="002B42F1"/>
    <w:rsid w:val="002B4499"/>
    <w:rsid w:val="002B45AE"/>
    <w:rsid w:val="002B4771"/>
    <w:rsid w:val="002B47EE"/>
    <w:rsid w:val="002B47F6"/>
    <w:rsid w:val="002B487A"/>
    <w:rsid w:val="002B4880"/>
    <w:rsid w:val="002B4A45"/>
    <w:rsid w:val="002B4A4D"/>
    <w:rsid w:val="002B4ADC"/>
    <w:rsid w:val="002B4B44"/>
    <w:rsid w:val="002B4BCB"/>
    <w:rsid w:val="002B4D2E"/>
    <w:rsid w:val="002B509A"/>
    <w:rsid w:val="002B50A8"/>
    <w:rsid w:val="002B51A9"/>
    <w:rsid w:val="002B5289"/>
    <w:rsid w:val="002B53C6"/>
    <w:rsid w:val="002B53F8"/>
    <w:rsid w:val="002B540B"/>
    <w:rsid w:val="002B564B"/>
    <w:rsid w:val="002B5865"/>
    <w:rsid w:val="002B5903"/>
    <w:rsid w:val="002B5CD3"/>
    <w:rsid w:val="002B5E20"/>
    <w:rsid w:val="002B5F23"/>
    <w:rsid w:val="002B6066"/>
    <w:rsid w:val="002B60A2"/>
    <w:rsid w:val="002B60AC"/>
    <w:rsid w:val="002B6209"/>
    <w:rsid w:val="002B6243"/>
    <w:rsid w:val="002B67B8"/>
    <w:rsid w:val="002B6860"/>
    <w:rsid w:val="002B689D"/>
    <w:rsid w:val="002B69A1"/>
    <w:rsid w:val="002B6AF6"/>
    <w:rsid w:val="002B6B08"/>
    <w:rsid w:val="002B6B1F"/>
    <w:rsid w:val="002B6C91"/>
    <w:rsid w:val="002B6EBA"/>
    <w:rsid w:val="002B6F41"/>
    <w:rsid w:val="002B6FBD"/>
    <w:rsid w:val="002B70CB"/>
    <w:rsid w:val="002B70DF"/>
    <w:rsid w:val="002B7111"/>
    <w:rsid w:val="002B7190"/>
    <w:rsid w:val="002B71CB"/>
    <w:rsid w:val="002B71DF"/>
    <w:rsid w:val="002B7401"/>
    <w:rsid w:val="002B7498"/>
    <w:rsid w:val="002B75DD"/>
    <w:rsid w:val="002B7733"/>
    <w:rsid w:val="002B78D8"/>
    <w:rsid w:val="002B78EE"/>
    <w:rsid w:val="002B78F8"/>
    <w:rsid w:val="002B7984"/>
    <w:rsid w:val="002B79AE"/>
    <w:rsid w:val="002B79DE"/>
    <w:rsid w:val="002B79E7"/>
    <w:rsid w:val="002B7A33"/>
    <w:rsid w:val="002B7CB5"/>
    <w:rsid w:val="002B7E2E"/>
    <w:rsid w:val="002B7E74"/>
    <w:rsid w:val="002B7EDD"/>
    <w:rsid w:val="002B7EFD"/>
    <w:rsid w:val="002C002A"/>
    <w:rsid w:val="002C0083"/>
    <w:rsid w:val="002C01A2"/>
    <w:rsid w:val="002C0308"/>
    <w:rsid w:val="002C04B4"/>
    <w:rsid w:val="002C054B"/>
    <w:rsid w:val="002C0609"/>
    <w:rsid w:val="002C0685"/>
    <w:rsid w:val="002C06DF"/>
    <w:rsid w:val="002C0770"/>
    <w:rsid w:val="002C08D7"/>
    <w:rsid w:val="002C09BB"/>
    <w:rsid w:val="002C0BB4"/>
    <w:rsid w:val="002C0C85"/>
    <w:rsid w:val="002C0D90"/>
    <w:rsid w:val="002C0DA6"/>
    <w:rsid w:val="002C0DEF"/>
    <w:rsid w:val="002C1046"/>
    <w:rsid w:val="002C1171"/>
    <w:rsid w:val="002C119B"/>
    <w:rsid w:val="002C11AC"/>
    <w:rsid w:val="002C122F"/>
    <w:rsid w:val="002C12AA"/>
    <w:rsid w:val="002C13E2"/>
    <w:rsid w:val="002C13F8"/>
    <w:rsid w:val="002C1770"/>
    <w:rsid w:val="002C18B9"/>
    <w:rsid w:val="002C1944"/>
    <w:rsid w:val="002C1A92"/>
    <w:rsid w:val="002C1C39"/>
    <w:rsid w:val="002C1F88"/>
    <w:rsid w:val="002C218C"/>
    <w:rsid w:val="002C21B9"/>
    <w:rsid w:val="002C2215"/>
    <w:rsid w:val="002C225E"/>
    <w:rsid w:val="002C22F4"/>
    <w:rsid w:val="002C2363"/>
    <w:rsid w:val="002C23B6"/>
    <w:rsid w:val="002C23C7"/>
    <w:rsid w:val="002C23CE"/>
    <w:rsid w:val="002C246C"/>
    <w:rsid w:val="002C25E2"/>
    <w:rsid w:val="002C26DA"/>
    <w:rsid w:val="002C26EF"/>
    <w:rsid w:val="002C2806"/>
    <w:rsid w:val="002C2A36"/>
    <w:rsid w:val="002C2A3A"/>
    <w:rsid w:val="002C2AC2"/>
    <w:rsid w:val="002C2B64"/>
    <w:rsid w:val="002C2C13"/>
    <w:rsid w:val="002C2CBD"/>
    <w:rsid w:val="002C2E41"/>
    <w:rsid w:val="002C2EB3"/>
    <w:rsid w:val="002C2F8C"/>
    <w:rsid w:val="002C31F2"/>
    <w:rsid w:val="002C3274"/>
    <w:rsid w:val="002C333E"/>
    <w:rsid w:val="002C379F"/>
    <w:rsid w:val="002C3ACD"/>
    <w:rsid w:val="002C3D33"/>
    <w:rsid w:val="002C3D78"/>
    <w:rsid w:val="002C3D9B"/>
    <w:rsid w:val="002C3DD5"/>
    <w:rsid w:val="002C3F9E"/>
    <w:rsid w:val="002C3FF0"/>
    <w:rsid w:val="002C41C8"/>
    <w:rsid w:val="002C4273"/>
    <w:rsid w:val="002C439F"/>
    <w:rsid w:val="002C43B8"/>
    <w:rsid w:val="002C44A5"/>
    <w:rsid w:val="002C4505"/>
    <w:rsid w:val="002C486A"/>
    <w:rsid w:val="002C491B"/>
    <w:rsid w:val="002C497C"/>
    <w:rsid w:val="002C4A16"/>
    <w:rsid w:val="002C4BFB"/>
    <w:rsid w:val="002C4DFE"/>
    <w:rsid w:val="002C50CE"/>
    <w:rsid w:val="002C50FD"/>
    <w:rsid w:val="002C52EE"/>
    <w:rsid w:val="002C5418"/>
    <w:rsid w:val="002C541C"/>
    <w:rsid w:val="002C56DC"/>
    <w:rsid w:val="002C576C"/>
    <w:rsid w:val="002C5881"/>
    <w:rsid w:val="002C5971"/>
    <w:rsid w:val="002C5D57"/>
    <w:rsid w:val="002C62D6"/>
    <w:rsid w:val="002C62DC"/>
    <w:rsid w:val="002C63E8"/>
    <w:rsid w:val="002C640C"/>
    <w:rsid w:val="002C64E2"/>
    <w:rsid w:val="002C67B1"/>
    <w:rsid w:val="002C6996"/>
    <w:rsid w:val="002C6A86"/>
    <w:rsid w:val="002C6CB3"/>
    <w:rsid w:val="002C6D42"/>
    <w:rsid w:val="002C6DA8"/>
    <w:rsid w:val="002C6E0B"/>
    <w:rsid w:val="002C6FCE"/>
    <w:rsid w:val="002C732B"/>
    <w:rsid w:val="002C73D3"/>
    <w:rsid w:val="002C74AB"/>
    <w:rsid w:val="002C74CF"/>
    <w:rsid w:val="002C751F"/>
    <w:rsid w:val="002C779C"/>
    <w:rsid w:val="002C78F7"/>
    <w:rsid w:val="002C7A8F"/>
    <w:rsid w:val="002C7B59"/>
    <w:rsid w:val="002C7B9B"/>
    <w:rsid w:val="002C7C48"/>
    <w:rsid w:val="002C7C8D"/>
    <w:rsid w:val="002C7D42"/>
    <w:rsid w:val="002C7DEB"/>
    <w:rsid w:val="002D014A"/>
    <w:rsid w:val="002D01C1"/>
    <w:rsid w:val="002D01F8"/>
    <w:rsid w:val="002D0229"/>
    <w:rsid w:val="002D0260"/>
    <w:rsid w:val="002D0436"/>
    <w:rsid w:val="002D058F"/>
    <w:rsid w:val="002D0666"/>
    <w:rsid w:val="002D069D"/>
    <w:rsid w:val="002D073E"/>
    <w:rsid w:val="002D0860"/>
    <w:rsid w:val="002D096E"/>
    <w:rsid w:val="002D098F"/>
    <w:rsid w:val="002D09D6"/>
    <w:rsid w:val="002D0A78"/>
    <w:rsid w:val="002D0AAE"/>
    <w:rsid w:val="002D0BFB"/>
    <w:rsid w:val="002D0C10"/>
    <w:rsid w:val="002D0C3E"/>
    <w:rsid w:val="002D0C48"/>
    <w:rsid w:val="002D0C69"/>
    <w:rsid w:val="002D0C98"/>
    <w:rsid w:val="002D0D0E"/>
    <w:rsid w:val="002D0E38"/>
    <w:rsid w:val="002D1140"/>
    <w:rsid w:val="002D1297"/>
    <w:rsid w:val="002D13A8"/>
    <w:rsid w:val="002D143D"/>
    <w:rsid w:val="002D147B"/>
    <w:rsid w:val="002D1677"/>
    <w:rsid w:val="002D16B6"/>
    <w:rsid w:val="002D17A3"/>
    <w:rsid w:val="002D17D6"/>
    <w:rsid w:val="002D1A6A"/>
    <w:rsid w:val="002D1BBB"/>
    <w:rsid w:val="002D1BD6"/>
    <w:rsid w:val="002D1C2F"/>
    <w:rsid w:val="002D1CAC"/>
    <w:rsid w:val="002D1E4E"/>
    <w:rsid w:val="002D2020"/>
    <w:rsid w:val="002D2186"/>
    <w:rsid w:val="002D22CF"/>
    <w:rsid w:val="002D231E"/>
    <w:rsid w:val="002D2400"/>
    <w:rsid w:val="002D2619"/>
    <w:rsid w:val="002D2730"/>
    <w:rsid w:val="002D290D"/>
    <w:rsid w:val="002D2A16"/>
    <w:rsid w:val="002D2B5B"/>
    <w:rsid w:val="002D2BDD"/>
    <w:rsid w:val="002D2C02"/>
    <w:rsid w:val="002D2C47"/>
    <w:rsid w:val="002D2CC2"/>
    <w:rsid w:val="002D2CD8"/>
    <w:rsid w:val="002D2DA4"/>
    <w:rsid w:val="002D2DE8"/>
    <w:rsid w:val="002D2E96"/>
    <w:rsid w:val="002D2EAB"/>
    <w:rsid w:val="002D2ED3"/>
    <w:rsid w:val="002D2FA8"/>
    <w:rsid w:val="002D3137"/>
    <w:rsid w:val="002D315D"/>
    <w:rsid w:val="002D319C"/>
    <w:rsid w:val="002D320E"/>
    <w:rsid w:val="002D3238"/>
    <w:rsid w:val="002D32EA"/>
    <w:rsid w:val="002D3424"/>
    <w:rsid w:val="002D3575"/>
    <w:rsid w:val="002D35AD"/>
    <w:rsid w:val="002D3657"/>
    <w:rsid w:val="002D38B4"/>
    <w:rsid w:val="002D3B44"/>
    <w:rsid w:val="002D3B86"/>
    <w:rsid w:val="002D3C43"/>
    <w:rsid w:val="002D3CEA"/>
    <w:rsid w:val="002D3CFD"/>
    <w:rsid w:val="002D3F3D"/>
    <w:rsid w:val="002D3F70"/>
    <w:rsid w:val="002D3FA2"/>
    <w:rsid w:val="002D3FB4"/>
    <w:rsid w:val="002D40C3"/>
    <w:rsid w:val="002D418B"/>
    <w:rsid w:val="002D419A"/>
    <w:rsid w:val="002D42A1"/>
    <w:rsid w:val="002D46E2"/>
    <w:rsid w:val="002D48A4"/>
    <w:rsid w:val="002D4917"/>
    <w:rsid w:val="002D4A9F"/>
    <w:rsid w:val="002D4B60"/>
    <w:rsid w:val="002D4D8C"/>
    <w:rsid w:val="002D4E04"/>
    <w:rsid w:val="002D4E2D"/>
    <w:rsid w:val="002D4E48"/>
    <w:rsid w:val="002D4E6D"/>
    <w:rsid w:val="002D4FB7"/>
    <w:rsid w:val="002D5088"/>
    <w:rsid w:val="002D520B"/>
    <w:rsid w:val="002D5213"/>
    <w:rsid w:val="002D545F"/>
    <w:rsid w:val="002D551E"/>
    <w:rsid w:val="002D5559"/>
    <w:rsid w:val="002D57BB"/>
    <w:rsid w:val="002D5888"/>
    <w:rsid w:val="002D5B13"/>
    <w:rsid w:val="002D5C61"/>
    <w:rsid w:val="002D5C9E"/>
    <w:rsid w:val="002D5DF7"/>
    <w:rsid w:val="002D5E4C"/>
    <w:rsid w:val="002D5ECA"/>
    <w:rsid w:val="002D60BF"/>
    <w:rsid w:val="002D6287"/>
    <w:rsid w:val="002D628F"/>
    <w:rsid w:val="002D62CE"/>
    <w:rsid w:val="002D6326"/>
    <w:rsid w:val="002D64F3"/>
    <w:rsid w:val="002D65DE"/>
    <w:rsid w:val="002D662D"/>
    <w:rsid w:val="002D66D3"/>
    <w:rsid w:val="002D67D3"/>
    <w:rsid w:val="002D68E4"/>
    <w:rsid w:val="002D6901"/>
    <w:rsid w:val="002D6A25"/>
    <w:rsid w:val="002D6B73"/>
    <w:rsid w:val="002D6DB5"/>
    <w:rsid w:val="002D70C5"/>
    <w:rsid w:val="002D716A"/>
    <w:rsid w:val="002D7265"/>
    <w:rsid w:val="002D72D5"/>
    <w:rsid w:val="002D751C"/>
    <w:rsid w:val="002D75CE"/>
    <w:rsid w:val="002D75F5"/>
    <w:rsid w:val="002D7663"/>
    <w:rsid w:val="002D7764"/>
    <w:rsid w:val="002D784E"/>
    <w:rsid w:val="002D7870"/>
    <w:rsid w:val="002D7B34"/>
    <w:rsid w:val="002D7B74"/>
    <w:rsid w:val="002D7C5B"/>
    <w:rsid w:val="002D7D1A"/>
    <w:rsid w:val="002D7E3D"/>
    <w:rsid w:val="002D7F0A"/>
    <w:rsid w:val="002D7F83"/>
    <w:rsid w:val="002E0169"/>
    <w:rsid w:val="002E0263"/>
    <w:rsid w:val="002E0303"/>
    <w:rsid w:val="002E052B"/>
    <w:rsid w:val="002E064B"/>
    <w:rsid w:val="002E07B7"/>
    <w:rsid w:val="002E09B5"/>
    <w:rsid w:val="002E0BC6"/>
    <w:rsid w:val="002E0CB1"/>
    <w:rsid w:val="002E0D28"/>
    <w:rsid w:val="002E0EC6"/>
    <w:rsid w:val="002E0ED1"/>
    <w:rsid w:val="002E137F"/>
    <w:rsid w:val="002E1448"/>
    <w:rsid w:val="002E18E7"/>
    <w:rsid w:val="002E1906"/>
    <w:rsid w:val="002E19B7"/>
    <w:rsid w:val="002E1A60"/>
    <w:rsid w:val="002E1B85"/>
    <w:rsid w:val="002E1E70"/>
    <w:rsid w:val="002E1EB7"/>
    <w:rsid w:val="002E1F47"/>
    <w:rsid w:val="002E205B"/>
    <w:rsid w:val="002E22AF"/>
    <w:rsid w:val="002E22B2"/>
    <w:rsid w:val="002E23EB"/>
    <w:rsid w:val="002E2596"/>
    <w:rsid w:val="002E2601"/>
    <w:rsid w:val="002E2654"/>
    <w:rsid w:val="002E28D3"/>
    <w:rsid w:val="002E2990"/>
    <w:rsid w:val="002E2A5E"/>
    <w:rsid w:val="002E2A7B"/>
    <w:rsid w:val="002E2C45"/>
    <w:rsid w:val="002E2DAB"/>
    <w:rsid w:val="002E2DFB"/>
    <w:rsid w:val="002E2E9E"/>
    <w:rsid w:val="002E2FBE"/>
    <w:rsid w:val="002E3049"/>
    <w:rsid w:val="002E30D8"/>
    <w:rsid w:val="002E30F8"/>
    <w:rsid w:val="002E316E"/>
    <w:rsid w:val="002E3247"/>
    <w:rsid w:val="002E325D"/>
    <w:rsid w:val="002E3356"/>
    <w:rsid w:val="002E33C0"/>
    <w:rsid w:val="002E37C9"/>
    <w:rsid w:val="002E384B"/>
    <w:rsid w:val="002E38BC"/>
    <w:rsid w:val="002E396A"/>
    <w:rsid w:val="002E39B0"/>
    <w:rsid w:val="002E3BC8"/>
    <w:rsid w:val="002E3C22"/>
    <w:rsid w:val="002E3F0B"/>
    <w:rsid w:val="002E3F6F"/>
    <w:rsid w:val="002E417C"/>
    <w:rsid w:val="002E42DF"/>
    <w:rsid w:val="002E434C"/>
    <w:rsid w:val="002E437A"/>
    <w:rsid w:val="002E44AE"/>
    <w:rsid w:val="002E4650"/>
    <w:rsid w:val="002E46A6"/>
    <w:rsid w:val="002E47D4"/>
    <w:rsid w:val="002E4840"/>
    <w:rsid w:val="002E48EB"/>
    <w:rsid w:val="002E4955"/>
    <w:rsid w:val="002E495B"/>
    <w:rsid w:val="002E49EF"/>
    <w:rsid w:val="002E4A39"/>
    <w:rsid w:val="002E4AB4"/>
    <w:rsid w:val="002E4B34"/>
    <w:rsid w:val="002E4BBE"/>
    <w:rsid w:val="002E4CDB"/>
    <w:rsid w:val="002E4D13"/>
    <w:rsid w:val="002E4D46"/>
    <w:rsid w:val="002E4E45"/>
    <w:rsid w:val="002E4FB3"/>
    <w:rsid w:val="002E50EE"/>
    <w:rsid w:val="002E511E"/>
    <w:rsid w:val="002E512E"/>
    <w:rsid w:val="002E5306"/>
    <w:rsid w:val="002E5360"/>
    <w:rsid w:val="002E53AE"/>
    <w:rsid w:val="002E55F0"/>
    <w:rsid w:val="002E563A"/>
    <w:rsid w:val="002E5733"/>
    <w:rsid w:val="002E5776"/>
    <w:rsid w:val="002E5925"/>
    <w:rsid w:val="002E593D"/>
    <w:rsid w:val="002E5C15"/>
    <w:rsid w:val="002E5C1E"/>
    <w:rsid w:val="002E5D2F"/>
    <w:rsid w:val="002E5D3F"/>
    <w:rsid w:val="002E5DAF"/>
    <w:rsid w:val="002E5E8F"/>
    <w:rsid w:val="002E5EC9"/>
    <w:rsid w:val="002E5F5D"/>
    <w:rsid w:val="002E60C9"/>
    <w:rsid w:val="002E60F6"/>
    <w:rsid w:val="002E6124"/>
    <w:rsid w:val="002E62CD"/>
    <w:rsid w:val="002E63FB"/>
    <w:rsid w:val="002E643E"/>
    <w:rsid w:val="002E658E"/>
    <w:rsid w:val="002E6612"/>
    <w:rsid w:val="002E67DE"/>
    <w:rsid w:val="002E6917"/>
    <w:rsid w:val="002E6920"/>
    <w:rsid w:val="002E6A2A"/>
    <w:rsid w:val="002E6AC1"/>
    <w:rsid w:val="002E6BC4"/>
    <w:rsid w:val="002E6DAB"/>
    <w:rsid w:val="002E6DC8"/>
    <w:rsid w:val="002E7033"/>
    <w:rsid w:val="002E7086"/>
    <w:rsid w:val="002E7093"/>
    <w:rsid w:val="002E70CC"/>
    <w:rsid w:val="002E725E"/>
    <w:rsid w:val="002E7268"/>
    <w:rsid w:val="002E7277"/>
    <w:rsid w:val="002E72BC"/>
    <w:rsid w:val="002E7852"/>
    <w:rsid w:val="002E7875"/>
    <w:rsid w:val="002E79EB"/>
    <w:rsid w:val="002E79FA"/>
    <w:rsid w:val="002E7A98"/>
    <w:rsid w:val="002E7BB8"/>
    <w:rsid w:val="002E7D1D"/>
    <w:rsid w:val="002E7D9D"/>
    <w:rsid w:val="002E7EA1"/>
    <w:rsid w:val="002E7F3F"/>
    <w:rsid w:val="002E7F40"/>
    <w:rsid w:val="002E7FA3"/>
    <w:rsid w:val="002E7FA5"/>
    <w:rsid w:val="002E7FB7"/>
    <w:rsid w:val="002F00B7"/>
    <w:rsid w:val="002F01ED"/>
    <w:rsid w:val="002F049C"/>
    <w:rsid w:val="002F04D8"/>
    <w:rsid w:val="002F0561"/>
    <w:rsid w:val="002F057B"/>
    <w:rsid w:val="002F06AC"/>
    <w:rsid w:val="002F078B"/>
    <w:rsid w:val="002F086C"/>
    <w:rsid w:val="002F08E8"/>
    <w:rsid w:val="002F091D"/>
    <w:rsid w:val="002F0C71"/>
    <w:rsid w:val="002F0DE0"/>
    <w:rsid w:val="002F0F33"/>
    <w:rsid w:val="002F0FD1"/>
    <w:rsid w:val="002F108A"/>
    <w:rsid w:val="002F1152"/>
    <w:rsid w:val="002F12D4"/>
    <w:rsid w:val="002F1450"/>
    <w:rsid w:val="002F15A0"/>
    <w:rsid w:val="002F1795"/>
    <w:rsid w:val="002F17B8"/>
    <w:rsid w:val="002F1868"/>
    <w:rsid w:val="002F1972"/>
    <w:rsid w:val="002F19E4"/>
    <w:rsid w:val="002F1B15"/>
    <w:rsid w:val="002F1C6E"/>
    <w:rsid w:val="002F1D2B"/>
    <w:rsid w:val="002F1DFB"/>
    <w:rsid w:val="002F1E71"/>
    <w:rsid w:val="002F2243"/>
    <w:rsid w:val="002F249C"/>
    <w:rsid w:val="002F2717"/>
    <w:rsid w:val="002F277D"/>
    <w:rsid w:val="002F2C79"/>
    <w:rsid w:val="002F2C99"/>
    <w:rsid w:val="002F2E5F"/>
    <w:rsid w:val="002F30E5"/>
    <w:rsid w:val="002F32A1"/>
    <w:rsid w:val="002F330E"/>
    <w:rsid w:val="002F335E"/>
    <w:rsid w:val="002F33BD"/>
    <w:rsid w:val="002F33FC"/>
    <w:rsid w:val="002F341A"/>
    <w:rsid w:val="002F34D6"/>
    <w:rsid w:val="002F3569"/>
    <w:rsid w:val="002F35EE"/>
    <w:rsid w:val="002F3613"/>
    <w:rsid w:val="002F3805"/>
    <w:rsid w:val="002F3F5F"/>
    <w:rsid w:val="002F40C8"/>
    <w:rsid w:val="002F40CA"/>
    <w:rsid w:val="002F410A"/>
    <w:rsid w:val="002F4188"/>
    <w:rsid w:val="002F4293"/>
    <w:rsid w:val="002F439E"/>
    <w:rsid w:val="002F4498"/>
    <w:rsid w:val="002F45D7"/>
    <w:rsid w:val="002F45FD"/>
    <w:rsid w:val="002F4802"/>
    <w:rsid w:val="002F4ABD"/>
    <w:rsid w:val="002F4BCB"/>
    <w:rsid w:val="002F4D62"/>
    <w:rsid w:val="002F4E2A"/>
    <w:rsid w:val="002F52F9"/>
    <w:rsid w:val="002F5341"/>
    <w:rsid w:val="002F53D8"/>
    <w:rsid w:val="002F5690"/>
    <w:rsid w:val="002F5818"/>
    <w:rsid w:val="002F5831"/>
    <w:rsid w:val="002F5980"/>
    <w:rsid w:val="002F5ABE"/>
    <w:rsid w:val="002F5CA1"/>
    <w:rsid w:val="002F5EEF"/>
    <w:rsid w:val="002F5FC4"/>
    <w:rsid w:val="002F6075"/>
    <w:rsid w:val="002F610C"/>
    <w:rsid w:val="002F611C"/>
    <w:rsid w:val="002F61ED"/>
    <w:rsid w:val="002F6217"/>
    <w:rsid w:val="002F63B9"/>
    <w:rsid w:val="002F63F3"/>
    <w:rsid w:val="002F6405"/>
    <w:rsid w:val="002F6579"/>
    <w:rsid w:val="002F65C2"/>
    <w:rsid w:val="002F6674"/>
    <w:rsid w:val="002F66F3"/>
    <w:rsid w:val="002F6759"/>
    <w:rsid w:val="002F68AD"/>
    <w:rsid w:val="002F694E"/>
    <w:rsid w:val="002F699F"/>
    <w:rsid w:val="002F69D9"/>
    <w:rsid w:val="002F6A5A"/>
    <w:rsid w:val="002F6B27"/>
    <w:rsid w:val="002F6BDC"/>
    <w:rsid w:val="002F6F05"/>
    <w:rsid w:val="002F6F41"/>
    <w:rsid w:val="002F6F57"/>
    <w:rsid w:val="002F706A"/>
    <w:rsid w:val="002F70C0"/>
    <w:rsid w:val="002F70DF"/>
    <w:rsid w:val="002F7459"/>
    <w:rsid w:val="002F75E6"/>
    <w:rsid w:val="002F77B3"/>
    <w:rsid w:val="002F78A5"/>
    <w:rsid w:val="002F7946"/>
    <w:rsid w:val="002F7B07"/>
    <w:rsid w:val="002F7BA7"/>
    <w:rsid w:val="002F7BD7"/>
    <w:rsid w:val="002F7D46"/>
    <w:rsid w:val="002F7D4B"/>
    <w:rsid w:val="002F7E13"/>
    <w:rsid w:val="002F7E50"/>
    <w:rsid w:val="002F7F4A"/>
    <w:rsid w:val="003000B5"/>
    <w:rsid w:val="003001C1"/>
    <w:rsid w:val="003002E1"/>
    <w:rsid w:val="003005F1"/>
    <w:rsid w:val="00300612"/>
    <w:rsid w:val="00300B61"/>
    <w:rsid w:val="00300B76"/>
    <w:rsid w:val="00300D11"/>
    <w:rsid w:val="00300D23"/>
    <w:rsid w:val="00300DE7"/>
    <w:rsid w:val="00300EA7"/>
    <w:rsid w:val="00300F1D"/>
    <w:rsid w:val="00300F63"/>
    <w:rsid w:val="00301202"/>
    <w:rsid w:val="0030121C"/>
    <w:rsid w:val="0030128B"/>
    <w:rsid w:val="00301318"/>
    <w:rsid w:val="00301332"/>
    <w:rsid w:val="003015AB"/>
    <w:rsid w:val="003017A5"/>
    <w:rsid w:val="00301812"/>
    <w:rsid w:val="003019E2"/>
    <w:rsid w:val="00301D3D"/>
    <w:rsid w:val="00301D6C"/>
    <w:rsid w:val="00301DB2"/>
    <w:rsid w:val="00301FDA"/>
    <w:rsid w:val="00301FF8"/>
    <w:rsid w:val="003025CC"/>
    <w:rsid w:val="0030269E"/>
    <w:rsid w:val="0030275B"/>
    <w:rsid w:val="003029AA"/>
    <w:rsid w:val="003029D0"/>
    <w:rsid w:val="00302A32"/>
    <w:rsid w:val="00302C04"/>
    <w:rsid w:val="00302C29"/>
    <w:rsid w:val="00302C2F"/>
    <w:rsid w:val="00302C53"/>
    <w:rsid w:val="00302D88"/>
    <w:rsid w:val="00302DA2"/>
    <w:rsid w:val="00302E96"/>
    <w:rsid w:val="00302F73"/>
    <w:rsid w:val="00302F7A"/>
    <w:rsid w:val="00303037"/>
    <w:rsid w:val="003030C3"/>
    <w:rsid w:val="003030F7"/>
    <w:rsid w:val="00303153"/>
    <w:rsid w:val="0030315D"/>
    <w:rsid w:val="00303301"/>
    <w:rsid w:val="0030332C"/>
    <w:rsid w:val="0030343C"/>
    <w:rsid w:val="00303587"/>
    <w:rsid w:val="003035AA"/>
    <w:rsid w:val="0030362A"/>
    <w:rsid w:val="0030369F"/>
    <w:rsid w:val="003038BC"/>
    <w:rsid w:val="003039B5"/>
    <w:rsid w:val="00303B0C"/>
    <w:rsid w:val="00303B60"/>
    <w:rsid w:val="00303B8A"/>
    <w:rsid w:val="00303D72"/>
    <w:rsid w:val="0030423E"/>
    <w:rsid w:val="003042A7"/>
    <w:rsid w:val="003042C4"/>
    <w:rsid w:val="003043D6"/>
    <w:rsid w:val="0030442D"/>
    <w:rsid w:val="00304487"/>
    <w:rsid w:val="0030451E"/>
    <w:rsid w:val="00304536"/>
    <w:rsid w:val="00304575"/>
    <w:rsid w:val="0030459D"/>
    <w:rsid w:val="003045E8"/>
    <w:rsid w:val="003046F8"/>
    <w:rsid w:val="0030476F"/>
    <w:rsid w:val="00304899"/>
    <w:rsid w:val="0030491F"/>
    <w:rsid w:val="00304D05"/>
    <w:rsid w:val="00304E58"/>
    <w:rsid w:val="00304E60"/>
    <w:rsid w:val="003052E7"/>
    <w:rsid w:val="0030532E"/>
    <w:rsid w:val="00305490"/>
    <w:rsid w:val="003054D6"/>
    <w:rsid w:val="003055C9"/>
    <w:rsid w:val="0030560B"/>
    <w:rsid w:val="003057FA"/>
    <w:rsid w:val="0030588B"/>
    <w:rsid w:val="00305890"/>
    <w:rsid w:val="00305AC5"/>
    <w:rsid w:val="00305AD5"/>
    <w:rsid w:val="00305C99"/>
    <w:rsid w:val="00305D2E"/>
    <w:rsid w:val="00306153"/>
    <w:rsid w:val="0030618B"/>
    <w:rsid w:val="0030630B"/>
    <w:rsid w:val="0030637B"/>
    <w:rsid w:val="003065F6"/>
    <w:rsid w:val="003066AD"/>
    <w:rsid w:val="00306730"/>
    <w:rsid w:val="00306845"/>
    <w:rsid w:val="00306A5C"/>
    <w:rsid w:val="00306A81"/>
    <w:rsid w:val="00306A96"/>
    <w:rsid w:val="00306C32"/>
    <w:rsid w:val="00306C35"/>
    <w:rsid w:val="003070AD"/>
    <w:rsid w:val="003070BF"/>
    <w:rsid w:val="00307291"/>
    <w:rsid w:val="0030731D"/>
    <w:rsid w:val="00307368"/>
    <w:rsid w:val="00307498"/>
    <w:rsid w:val="003075E4"/>
    <w:rsid w:val="003079E9"/>
    <w:rsid w:val="003079EC"/>
    <w:rsid w:val="00307A6F"/>
    <w:rsid w:val="00307B4A"/>
    <w:rsid w:val="00307BAC"/>
    <w:rsid w:val="00307C25"/>
    <w:rsid w:val="00307CBF"/>
    <w:rsid w:val="00307E2A"/>
    <w:rsid w:val="00307F54"/>
    <w:rsid w:val="00307F82"/>
    <w:rsid w:val="00310133"/>
    <w:rsid w:val="00310164"/>
    <w:rsid w:val="003101F2"/>
    <w:rsid w:val="00310236"/>
    <w:rsid w:val="00310278"/>
    <w:rsid w:val="003102BD"/>
    <w:rsid w:val="0031046F"/>
    <w:rsid w:val="003105C8"/>
    <w:rsid w:val="00310988"/>
    <w:rsid w:val="00310991"/>
    <w:rsid w:val="003109E4"/>
    <w:rsid w:val="00310A3D"/>
    <w:rsid w:val="00310A7A"/>
    <w:rsid w:val="00310C10"/>
    <w:rsid w:val="00310C40"/>
    <w:rsid w:val="00310F9A"/>
    <w:rsid w:val="00311044"/>
    <w:rsid w:val="00311064"/>
    <w:rsid w:val="003110D1"/>
    <w:rsid w:val="00311130"/>
    <w:rsid w:val="003113BB"/>
    <w:rsid w:val="0031145E"/>
    <w:rsid w:val="00311565"/>
    <w:rsid w:val="00311583"/>
    <w:rsid w:val="00311673"/>
    <w:rsid w:val="003116FF"/>
    <w:rsid w:val="00311747"/>
    <w:rsid w:val="003117E5"/>
    <w:rsid w:val="003118DB"/>
    <w:rsid w:val="0031191C"/>
    <w:rsid w:val="003119F5"/>
    <w:rsid w:val="00311E9D"/>
    <w:rsid w:val="00311ECD"/>
    <w:rsid w:val="00311FA3"/>
    <w:rsid w:val="00312063"/>
    <w:rsid w:val="00312069"/>
    <w:rsid w:val="0031208F"/>
    <w:rsid w:val="003120B4"/>
    <w:rsid w:val="003121CC"/>
    <w:rsid w:val="003121DC"/>
    <w:rsid w:val="00312202"/>
    <w:rsid w:val="003122BA"/>
    <w:rsid w:val="00312350"/>
    <w:rsid w:val="0031242A"/>
    <w:rsid w:val="00312657"/>
    <w:rsid w:val="003126D6"/>
    <w:rsid w:val="00312719"/>
    <w:rsid w:val="00312BA2"/>
    <w:rsid w:val="00312C44"/>
    <w:rsid w:val="00312C50"/>
    <w:rsid w:val="00312DA9"/>
    <w:rsid w:val="00312E3D"/>
    <w:rsid w:val="00312FB0"/>
    <w:rsid w:val="00312FBB"/>
    <w:rsid w:val="0031303D"/>
    <w:rsid w:val="003131BA"/>
    <w:rsid w:val="003131DB"/>
    <w:rsid w:val="003131DE"/>
    <w:rsid w:val="00313442"/>
    <w:rsid w:val="00313623"/>
    <w:rsid w:val="00313899"/>
    <w:rsid w:val="00313B0B"/>
    <w:rsid w:val="00313B99"/>
    <w:rsid w:val="00313F0E"/>
    <w:rsid w:val="00313F20"/>
    <w:rsid w:val="00313F31"/>
    <w:rsid w:val="00314023"/>
    <w:rsid w:val="00314053"/>
    <w:rsid w:val="00314060"/>
    <w:rsid w:val="003140BC"/>
    <w:rsid w:val="00314138"/>
    <w:rsid w:val="0031421C"/>
    <w:rsid w:val="0031426F"/>
    <w:rsid w:val="00314409"/>
    <w:rsid w:val="003145A1"/>
    <w:rsid w:val="00314663"/>
    <w:rsid w:val="003147D3"/>
    <w:rsid w:val="00314B1F"/>
    <w:rsid w:val="00314BCA"/>
    <w:rsid w:val="00314C4C"/>
    <w:rsid w:val="00314C60"/>
    <w:rsid w:val="00314D10"/>
    <w:rsid w:val="00314F19"/>
    <w:rsid w:val="00314FFD"/>
    <w:rsid w:val="00315042"/>
    <w:rsid w:val="003150D4"/>
    <w:rsid w:val="003150F7"/>
    <w:rsid w:val="003152AE"/>
    <w:rsid w:val="0031534C"/>
    <w:rsid w:val="003153BE"/>
    <w:rsid w:val="0031555D"/>
    <w:rsid w:val="00315702"/>
    <w:rsid w:val="00315715"/>
    <w:rsid w:val="00315716"/>
    <w:rsid w:val="00315A60"/>
    <w:rsid w:val="00315ADA"/>
    <w:rsid w:val="00315B43"/>
    <w:rsid w:val="00315C5D"/>
    <w:rsid w:val="00315DF7"/>
    <w:rsid w:val="00315E11"/>
    <w:rsid w:val="00316002"/>
    <w:rsid w:val="003161AE"/>
    <w:rsid w:val="00316330"/>
    <w:rsid w:val="0031645D"/>
    <w:rsid w:val="00316846"/>
    <w:rsid w:val="0031689B"/>
    <w:rsid w:val="00316957"/>
    <w:rsid w:val="003169CC"/>
    <w:rsid w:val="00316C2B"/>
    <w:rsid w:val="00316C49"/>
    <w:rsid w:val="00316D47"/>
    <w:rsid w:val="0031703B"/>
    <w:rsid w:val="003172A1"/>
    <w:rsid w:val="003174F8"/>
    <w:rsid w:val="00317580"/>
    <w:rsid w:val="003175C3"/>
    <w:rsid w:val="003178A7"/>
    <w:rsid w:val="00317BA3"/>
    <w:rsid w:val="00317C93"/>
    <w:rsid w:val="00317DB7"/>
    <w:rsid w:val="00317E6C"/>
    <w:rsid w:val="00317F91"/>
    <w:rsid w:val="00317FB2"/>
    <w:rsid w:val="003200CC"/>
    <w:rsid w:val="003202AA"/>
    <w:rsid w:val="0032036D"/>
    <w:rsid w:val="00320423"/>
    <w:rsid w:val="0032047C"/>
    <w:rsid w:val="003205BC"/>
    <w:rsid w:val="00320A07"/>
    <w:rsid w:val="00320AA0"/>
    <w:rsid w:val="00320BF1"/>
    <w:rsid w:val="00320C2D"/>
    <w:rsid w:val="00320D0F"/>
    <w:rsid w:val="00321055"/>
    <w:rsid w:val="003210F3"/>
    <w:rsid w:val="0032124B"/>
    <w:rsid w:val="0032141B"/>
    <w:rsid w:val="003215B5"/>
    <w:rsid w:val="0032161C"/>
    <w:rsid w:val="003216FD"/>
    <w:rsid w:val="003217CD"/>
    <w:rsid w:val="00321877"/>
    <w:rsid w:val="00321B8E"/>
    <w:rsid w:val="00321B96"/>
    <w:rsid w:val="00321C6F"/>
    <w:rsid w:val="00321D8D"/>
    <w:rsid w:val="00321E65"/>
    <w:rsid w:val="00321EB6"/>
    <w:rsid w:val="00321ED5"/>
    <w:rsid w:val="00322173"/>
    <w:rsid w:val="00322260"/>
    <w:rsid w:val="0032227B"/>
    <w:rsid w:val="00322299"/>
    <w:rsid w:val="003222C7"/>
    <w:rsid w:val="00322488"/>
    <w:rsid w:val="003224CE"/>
    <w:rsid w:val="003228C9"/>
    <w:rsid w:val="00322904"/>
    <w:rsid w:val="00322A6E"/>
    <w:rsid w:val="00322AA2"/>
    <w:rsid w:val="00322B0F"/>
    <w:rsid w:val="00322B1C"/>
    <w:rsid w:val="00322DDE"/>
    <w:rsid w:val="00323032"/>
    <w:rsid w:val="003231E4"/>
    <w:rsid w:val="0032323A"/>
    <w:rsid w:val="00323501"/>
    <w:rsid w:val="00323585"/>
    <w:rsid w:val="0032372C"/>
    <w:rsid w:val="00323736"/>
    <w:rsid w:val="003239AF"/>
    <w:rsid w:val="003239C8"/>
    <w:rsid w:val="00323AA5"/>
    <w:rsid w:val="00323C16"/>
    <w:rsid w:val="00323D30"/>
    <w:rsid w:val="00323DB4"/>
    <w:rsid w:val="00323DBA"/>
    <w:rsid w:val="00323DBC"/>
    <w:rsid w:val="00323DC0"/>
    <w:rsid w:val="00324048"/>
    <w:rsid w:val="00324083"/>
    <w:rsid w:val="003240B1"/>
    <w:rsid w:val="003245C9"/>
    <w:rsid w:val="003247A3"/>
    <w:rsid w:val="00324BA7"/>
    <w:rsid w:val="00324CF9"/>
    <w:rsid w:val="00324D4B"/>
    <w:rsid w:val="00324E94"/>
    <w:rsid w:val="00325024"/>
    <w:rsid w:val="00325041"/>
    <w:rsid w:val="00325247"/>
    <w:rsid w:val="00325546"/>
    <w:rsid w:val="00325694"/>
    <w:rsid w:val="003256C2"/>
    <w:rsid w:val="0032570C"/>
    <w:rsid w:val="003259D0"/>
    <w:rsid w:val="00325C07"/>
    <w:rsid w:val="00325C12"/>
    <w:rsid w:val="00325C57"/>
    <w:rsid w:val="00325D4B"/>
    <w:rsid w:val="00325D79"/>
    <w:rsid w:val="00325D87"/>
    <w:rsid w:val="00325E37"/>
    <w:rsid w:val="00325F24"/>
    <w:rsid w:val="003261C1"/>
    <w:rsid w:val="0032623E"/>
    <w:rsid w:val="003262D7"/>
    <w:rsid w:val="003263EA"/>
    <w:rsid w:val="00326433"/>
    <w:rsid w:val="0032657A"/>
    <w:rsid w:val="003265D4"/>
    <w:rsid w:val="00326631"/>
    <w:rsid w:val="003267E5"/>
    <w:rsid w:val="00326B1E"/>
    <w:rsid w:val="00326EDC"/>
    <w:rsid w:val="00326F7C"/>
    <w:rsid w:val="0032708E"/>
    <w:rsid w:val="003271BC"/>
    <w:rsid w:val="00327243"/>
    <w:rsid w:val="003274F5"/>
    <w:rsid w:val="003275B7"/>
    <w:rsid w:val="00327668"/>
    <w:rsid w:val="003278E8"/>
    <w:rsid w:val="00327A69"/>
    <w:rsid w:val="00327B1F"/>
    <w:rsid w:val="00327CB9"/>
    <w:rsid w:val="00327EDA"/>
    <w:rsid w:val="00327F78"/>
    <w:rsid w:val="00327F8D"/>
    <w:rsid w:val="00330047"/>
    <w:rsid w:val="0033006D"/>
    <w:rsid w:val="00330282"/>
    <w:rsid w:val="00330288"/>
    <w:rsid w:val="00330322"/>
    <w:rsid w:val="0033050E"/>
    <w:rsid w:val="00330633"/>
    <w:rsid w:val="003306ED"/>
    <w:rsid w:val="003306F7"/>
    <w:rsid w:val="00330A44"/>
    <w:rsid w:val="00330B2B"/>
    <w:rsid w:val="00330B6F"/>
    <w:rsid w:val="00330C01"/>
    <w:rsid w:val="00330ECB"/>
    <w:rsid w:val="00330F26"/>
    <w:rsid w:val="00330FB0"/>
    <w:rsid w:val="00331001"/>
    <w:rsid w:val="00331185"/>
    <w:rsid w:val="00331259"/>
    <w:rsid w:val="003312B3"/>
    <w:rsid w:val="00331337"/>
    <w:rsid w:val="00331350"/>
    <w:rsid w:val="0033136E"/>
    <w:rsid w:val="0033142F"/>
    <w:rsid w:val="00331923"/>
    <w:rsid w:val="0033199C"/>
    <w:rsid w:val="003319F0"/>
    <w:rsid w:val="00331AE0"/>
    <w:rsid w:val="00331AF0"/>
    <w:rsid w:val="00331B45"/>
    <w:rsid w:val="00331FB4"/>
    <w:rsid w:val="003320CE"/>
    <w:rsid w:val="00332355"/>
    <w:rsid w:val="0033265B"/>
    <w:rsid w:val="00332710"/>
    <w:rsid w:val="003327F2"/>
    <w:rsid w:val="00332824"/>
    <w:rsid w:val="003329F8"/>
    <w:rsid w:val="00332AC2"/>
    <w:rsid w:val="00332D20"/>
    <w:rsid w:val="00332F94"/>
    <w:rsid w:val="00333144"/>
    <w:rsid w:val="0033331D"/>
    <w:rsid w:val="00333A33"/>
    <w:rsid w:val="00333D25"/>
    <w:rsid w:val="00334022"/>
    <w:rsid w:val="0033405D"/>
    <w:rsid w:val="003340EF"/>
    <w:rsid w:val="003341A8"/>
    <w:rsid w:val="003341DA"/>
    <w:rsid w:val="003341F2"/>
    <w:rsid w:val="0033426F"/>
    <w:rsid w:val="0033456B"/>
    <w:rsid w:val="003345A0"/>
    <w:rsid w:val="003345D3"/>
    <w:rsid w:val="00334607"/>
    <w:rsid w:val="0033460F"/>
    <w:rsid w:val="003347F2"/>
    <w:rsid w:val="003348E1"/>
    <w:rsid w:val="00334900"/>
    <w:rsid w:val="00334942"/>
    <w:rsid w:val="00334959"/>
    <w:rsid w:val="00334ABC"/>
    <w:rsid w:val="00334C21"/>
    <w:rsid w:val="00334DFB"/>
    <w:rsid w:val="00335094"/>
    <w:rsid w:val="003350FF"/>
    <w:rsid w:val="00335119"/>
    <w:rsid w:val="00335136"/>
    <w:rsid w:val="003351D6"/>
    <w:rsid w:val="00335415"/>
    <w:rsid w:val="00335442"/>
    <w:rsid w:val="00335542"/>
    <w:rsid w:val="0033555E"/>
    <w:rsid w:val="00335573"/>
    <w:rsid w:val="00335605"/>
    <w:rsid w:val="003356EA"/>
    <w:rsid w:val="003356F6"/>
    <w:rsid w:val="0033577B"/>
    <w:rsid w:val="003359DC"/>
    <w:rsid w:val="00335A33"/>
    <w:rsid w:val="00335AE9"/>
    <w:rsid w:val="00335FB8"/>
    <w:rsid w:val="00335FFF"/>
    <w:rsid w:val="0033602D"/>
    <w:rsid w:val="003361C2"/>
    <w:rsid w:val="0033667E"/>
    <w:rsid w:val="003366F8"/>
    <w:rsid w:val="003368B4"/>
    <w:rsid w:val="00336B5A"/>
    <w:rsid w:val="00336C59"/>
    <w:rsid w:val="00336C83"/>
    <w:rsid w:val="00336CB6"/>
    <w:rsid w:val="00336EE7"/>
    <w:rsid w:val="00336FFB"/>
    <w:rsid w:val="0033702C"/>
    <w:rsid w:val="00337092"/>
    <w:rsid w:val="003370DF"/>
    <w:rsid w:val="003370E8"/>
    <w:rsid w:val="00337200"/>
    <w:rsid w:val="0033733B"/>
    <w:rsid w:val="00337657"/>
    <w:rsid w:val="00337664"/>
    <w:rsid w:val="00337670"/>
    <w:rsid w:val="003377E2"/>
    <w:rsid w:val="003379B6"/>
    <w:rsid w:val="003379E5"/>
    <w:rsid w:val="00337A83"/>
    <w:rsid w:val="00337B1B"/>
    <w:rsid w:val="00337C54"/>
    <w:rsid w:val="00337C67"/>
    <w:rsid w:val="00337FD0"/>
    <w:rsid w:val="00340072"/>
    <w:rsid w:val="003400EC"/>
    <w:rsid w:val="00340150"/>
    <w:rsid w:val="00340416"/>
    <w:rsid w:val="00340446"/>
    <w:rsid w:val="003405BA"/>
    <w:rsid w:val="003405C6"/>
    <w:rsid w:val="00340765"/>
    <w:rsid w:val="003407CF"/>
    <w:rsid w:val="0034086F"/>
    <w:rsid w:val="0034097A"/>
    <w:rsid w:val="003409F6"/>
    <w:rsid w:val="00340A6F"/>
    <w:rsid w:val="00340AE2"/>
    <w:rsid w:val="00340B9F"/>
    <w:rsid w:val="00340BDE"/>
    <w:rsid w:val="00340C3E"/>
    <w:rsid w:val="00340E67"/>
    <w:rsid w:val="00340EB8"/>
    <w:rsid w:val="00340F1C"/>
    <w:rsid w:val="003413DD"/>
    <w:rsid w:val="003414CF"/>
    <w:rsid w:val="003416C0"/>
    <w:rsid w:val="00341751"/>
    <w:rsid w:val="0034181F"/>
    <w:rsid w:val="00341A10"/>
    <w:rsid w:val="00341B86"/>
    <w:rsid w:val="00341C02"/>
    <w:rsid w:val="00341C34"/>
    <w:rsid w:val="00341E41"/>
    <w:rsid w:val="00342003"/>
    <w:rsid w:val="003421A7"/>
    <w:rsid w:val="0034225D"/>
    <w:rsid w:val="003422BB"/>
    <w:rsid w:val="003423D6"/>
    <w:rsid w:val="0034241B"/>
    <w:rsid w:val="0034283B"/>
    <w:rsid w:val="00342AF5"/>
    <w:rsid w:val="00342B92"/>
    <w:rsid w:val="00342C2E"/>
    <w:rsid w:val="00342DC2"/>
    <w:rsid w:val="00342E38"/>
    <w:rsid w:val="003431FB"/>
    <w:rsid w:val="003432A5"/>
    <w:rsid w:val="0034341C"/>
    <w:rsid w:val="0034344E"/>
    <w:rsid w:val="003434DD"/>
    <w:rsid w:val="00343517"/>
    <w:rsid w:val="00343549"/>
    <w:rsid w:val="00343558"/>
    <w:rsid w:val="003435C8"/>
    <w:rsid w:val="003438CD"/>
    <w:rsid w:val="003439ED"/>
    <w:rsid w:val="00343AAD"/>
    <w:rsid w:val="00343AEF"/>
    <w:rsid w:val="00343C22"/>
    <w:rsid w:val="00343DDE"/>
    <w:rsid w:val="003440A3"/>
    <w:rsid w:val="00344205"/>
    <w:rsid w:val="00344207"/>
    <w:rsid w:val="003443B9"/>
    <w:rsid w:val="003444DC"/>
    <w:rsid w:val="0034455C"/>
    <w:rsid w:val="003445F9"/>
    <w:rsid w:val="003447B7"/>
    <w:rsid w:val="003448B3"/>
    <w:rsid w:val="003448DB"/>
    <w:rsid w:val="0034496F"/>
    <w:rsid w:val="003449DC"/>
    <w:rsid w:val="003449E1"/>
    <w:rsid w:val="00344AC2"/>
    <w:rsid w:val="00344B22"/>
    <w:rsid w:val="00344EB4"/>
    <w:rsid w:val="00344F17"/>
    <w:rsid w:val="00344F1B"/>
    <w:rsid w:val="00344FC5"/>
    <w:rsid w:val="00344FF2"/>
    <w:rsid w:val="0034504C"/>
    <w:rsid w:val="003451A5"/>
    <w:rsid w:val="0034525E"/>
    <w:rsid w:val="003452D1"/>
    <w:rsid w:val="003455A0"/>
    <w:rsid w:val="003456CE"/>
    <w:rsid w:val="003458A1"/>
    <w:rsid w:val="00345A1E"/>
    <w:rsid w:val="00345B9B"/>
    <w:rsid w:val="00345C08"/>
    <w:rsid w:val="00345DCB"/>
    <w:rsid w:val="003460A7"/>
    <w:rsid w:val="003463B5"/>
    <w:rsid w:val="00346637"/>
    <w:rsid w:val="003468CD"/>
    <w:rsid w:val="0034692C"/>
    <w:rsid w:val="003469B8"/>
    <w:rsid w:val="00346B24"/>
    <w:rsid w:val="00346BB6"/>
    <w:rsid w:val="00346C5B"/>
    <w:rsid w:val="00346CC2"/>
    <w:rsid w:val="00346DE4"/>
    <w:rsid w:val="00347199"/>
    <w:rsid w:val="003475C6"/>
    <w:rsid w:val="00347A6A"/>
    <w:rsid w:val="00347BC9"/>
    <w:rsid w:val="00347C72"/>
    <w:rsid w:val="00347CC5"/>
    <w:rsid w:val="00347DCC"/>
    <w:rsid w:val="00347DE7"/>
    <w:rsid w:val="00347FB5"/>
    <w:rsid w:val="00347FBB"/>
    <w:rsid w:val="00350039"/>
    <w:rsid w:val="003500BB"/>
    <w:rsid w:val="003500F0"/>
    <w:rsid w:val="003502FD"/>
    <w:rsid w:val="003503C4"/>
    <w:rsid w:val="00350431"/>
    <w:rsid w:val="00350445"/>
    <w:rsid w:val="003504AB"/>
    <w:rsid w:val="00350572"/>
    <w:rsid w:val="003506A0"/>
    <w:rsid w:val="0035078F"/>
    <w:rsid w:val="00350A30"/>
    <w:rsid w:val="00350A31"/>
    <w:rsid w:val="00350B95"/>
    <w:rsid w:val="00350DBF"/>
    <w:rsid w:val="00350ECA"/>
    <w:rsid w:val="003511F8"/>
    <w:rsid w:val="00351773"/>
    <w:rsid w:val="003517DC"/>
    <w:rsid w:val="0035181F"/>
    <w:rsid w:val="003518BB"/>
    <w:rsid w:val="00351A12"/>
    <w:rsid w:val="00351CB1"/>
    <w:rsid w:val="00351D0B"/>
    <w:rsid w:val="00351E62"/>
    <w:rsid w:val="00351FB5"/>
    <w:rsid w:val="00351FD6"/>
    <w:rsid w:val="00352075"/>
    <w:rsid w:val="003521F1"/>
    <w:rsid w:val="00352209"/>
    <w:rsid w:val="0035248A"/>
    <w:rsid w:val="0035250C"/>
    <w:rsid w:val="003526DF"/>
    <w:rsid w:val="003527F9"/>
    <w:rsid w:val="00352953"/>
    <w:rsid w:val="0035297A"/>
    <w:rsid w:val="003529B0"/>
    <w:rsid w:val="00352A44"/>
    <w:rsid w:val="00352A70"/>
    <w:rsid w:val="00352AA5"/>
    <w:rsid w:val="00352B30"/>
    <w:rsid w:val="00352BD2"/>
    <w:rsid w:val="00352D9C"/>
    <w:rsid w:val="00352FFB"/>
    <w:rsid w:val="00353049"/>
    <w:rsid w:val="003530B8"/>
    <w:rsid w:val="00353233"/>
    <w:rsid w:val="00353234"/>
    <w:rsid w:val="00353283"/>
    <w:rsid w:val="0035335F"/>
    <w:rsid w:val="00353605"/>
    <w:rsid w:val="003537B7"/>
    <w:rsid w:val="003538AE"/>
    <w:rsid w:val="00353BF9"/>
    <w:rsid w:val="00353D70"/>
    <w:rsid w:val="00353DE6"/>
    <w:rsid w:val="00353E09"/>
    <w:rsid w:val="00353E7A"/>
    <w:rsid w:val="00353EC8"/>
    <w:rsid w:val="003541A4"/>
    <w:rsid w:val="00354202"/>
    <w:rsid w:val="00354243"/>
    <w:rsid w:val="003543C0"/>
    <w:rsid w:val="0035450F"/>
    <w:rsid w:val="00354532"/>
    <w:rsid w:val="00354560"/>
    <w:rsid w:val="003547CE"/>
    <w:rsid w:val="0035481A"/>
    <w:rsid w:val="003548E5"/>
    <w:rsid w:val="003548EE"/>
    <w:rsid w:val="003548F1"/>
    <w:rsid w:val="00354B0D"/>
    <w:rsid w:val="00354B82"/>
    <w:rsid w:val="00354DF1"/>
    <w:rsid w:val="0035508D"/>
    <w:rsid w:val="003555EA"/>
    <w:rsid w:val="00355715"/>
    <w:rsid w:val="00355756"/>
    <w:rsid w:val="00355943"/>
    <w:rsid w:val="003559D1"/>
    <w:rsid w:val="00355C70"/>
    <w:rsid w:val="00355CFD"/>
    <w:rsid w:val="00355ED4"/>
    <w:rsid w:val="00356022"/>
    <w:rsid w:val="00356099"/>
    <w:rsid w:val="00356188"/>
    <w:rsid w:val="003562FD"/>
    <w:rsid w:val="00356508"/>
    <w:rsid w:val="0035661D"/>
    <w:rsid w:val="00356AE7"/>
    <w:rsid w:val="00356B32"/>
    <w:rsid w:val="00356B99"/>
    <w:rsid w:val="00356BE3"/>
    <w:rsid w:val="00356DD1"/>
    <w:rsid w:val="00356DDB"/>
    <w:rsid w:val="00356E23"/>
    <w:rsid w:val="00356E79"/>
    <w:rsid w:val="00356E80"/>
    <w:rsid w:val="00356ECD"/>
    <w:rsid w:val="00356EF8"/>
    <w:rsid w:val="0035709E"/>
    <w:rsid w:val="0035710B"/>
    <w:rsid w:val="003571EB"/>
    <w:rsid w:val="00357315"/>
    <w:rsid w:val="0035735C"/>
    <w:rsid w:val="0035741D"/>
    <w:rsid w:val="00357473"/>
    <w:rsid w:val="00357580"/>
    <w:rsid w:val="00357591"/>
    <w:rsid w:val="003577E2"/>
    <w:rsid w:val="003577E6"/>
    <w:rsid w:val="003578EE"/>
    <w:rsid w:val="0035791F"/>
    <w:rsid w:val="00357A72"/>
    <w:rsid w:val="00357AEB"/>
    <w:rsid w:val="00357BDF"/>
    <w:rsid w:val="00357C4C"/>
    <w:rsid w:val="00357C87"/>
    <w:rsid w:val="00357D3F"/>
    <w:rsid w:val="00360010"/>
    <w:rsid w:val="00360138"/>
    <w:rsid w:val="00360148"/>
    <w:rsid w:val="00360235"/>
    <w:rsid w:val="003603BD"/>
    <w:rsid w:val="0036041C"/>
    <w:rsid w:val="003606B6"/>
    <w:rsid w:val="003606EA"/>
    <w:rsid w:val="00360735"/>
    <w:rsid w:val="00360740"/>
    <w:rsid w:val="00360834"/>
    <w:rsid w:val="00360B3D"/>
    <w:rsid w:val="00360B95"/>
    <w:rsid w:val="00360D53"/>
    <w:rsid w:val="00360F26"/>
    <w:rsid w:val="00360F51"/>
    <w:rsid w:val="00360F58"/>
    <w:rsid w:val="00360FEE"/>
    <w:rsid w:val="0036100F"/>
    <w:rsid w:val="0036109E"/>
    <w:rsid w:val="003610BD"/>
    <w:rsid w:val="0036111D"/>
    <w:rsid w:val="00361196"/>
    <w:rsid w:val="0036172D"/>
    <w:rsid w:val="003618BB"/>
    <w:rsid w:val="003619EC"/>
    <w:rsid w:val="003619EF"/>
    <w:rsid w:val="00361AE4"/>
    <w:rsid w:val="00361C2C"/>
    <w:rsid w:val="00361E99"/>
    <w:rsid w:val="00362048"/>
    <w:rsid w:val="003621FD"/>
    <w:rsid w:val="0036246F"/>
    <w:rsid w:val="003624A8"/>
    <w:rsid w:val="0036270A"/>
    <w:rsid w:val="00362722"/>
    <w:rsid w:val="00362AB6"/>
    <w:rsid w:val="00362AEE"/>
    <w:rsid w:val="00362B63"/>
    <w:rsid w:val="00362BD0"/>
    <w:rsid w:val="00362BEF"/>
    <w:rsid w:val="00362C01"/>
    <w:rsid w:val="00362C23"/>
    <w:rsid w:val="00362CDF"/>
    <w:rsid w:val="00362D7E"/>
    <w:rsid w:val="00362DC2"/>
    <w:rsid w:val="00362F3C"/>
    <w:rsid w:val="00362F85"/>
    <w:rsid w:val="00363103"/>
    <w:rsid w:val="0036314D"/>
    <w:rsid w:val="00363248"/>
    <w:rsid w:val="00363414"/>
    <w:rsid w:val="0036342C"/>
    <w:rsid w:val="0036345E"/>
    <w:rsid w:val="0036353D"/>
    <w:rsid w:val="00363579"/>
    <w:rsid w:val="0036370A"/>
    <w:rsid w:val="00363731"/>
    <w:rsid w:val="0036379A"/>
    <w:rsid w:val="003637BB"/>
    <w:rsid w:val="00363940"/>
    <w:rsid w:val="00363B25"/>
    <w:rsid w:val="00363B87"/>
    <w:rsid w:val="00363BE1"/>
    <w:rsid w:val="00363C97"/>
    <w:rsid w:val="00363CF1"/>
    <w:rsid w:val="00363D46"/>
    <w:rsid w:val="00363DE0"/>
    <w:rsid w:val="00363F25"/>
    <w:rsid w:val="00363F75"/>
    <w:rsid w:val="00364038"/>
    <w:rsid w:val="003640C7"/>
    <w:rsid w:val="0036412F"/>
    <w:rsid w:val="003643D9"/>
    <w:rsid w:val="003644B5"/>
    <w:rsid w:val="0036458A"/>
    <w:rsid w:val="0036465D"/>
    <w:rsid w:val="0036466D"/>
    <w:rsid w:val="00364805"/>
    <w:rsid w:val="003648EA"/>
    <w:rsid w:val="003649BB"/>
    <w:rsid w:val="00364B13"/>
    <w:rsid w:val="00364D3A"/>
    <w:rsid w:val="00364D57"/>
    <w:rsid w:val="00364EBB"/>
    <w:rsid w:val="00364EC6"/>
    <w:rsid w:val="00364F56"/>
    <w:rsid w:val="00364F5D"/>
    <w:rsid w:val="003650A1"/>
    <w:rsid w:val="003650F2"/>
    <w:rsid w:val="003651F1"/>
    <w:rsid w:val="00365205"/>
    <w:rsid w:val="003652E0"/>
    <w:rsid w:val="003653DC"/>
    <w:rsid w:val="0036541B"/>
    <w:rsid w:val="0036548B"/>
    <w:rsid w:val="003655E7"/>
    <w:rsid w:val="00365B4E"/>
    <w:rsid w:val="00365BD0"/>
    <w:rsid w:val="00365D50"/>
    <w:rsid w:val="00365DCA"/>
    <w:rsid w:val="00365E1E"/>
    <w:rsid w:val="00365FA7"/>
    <w:rsid w:val="0036609A"/>
    <w:rsid w:val="00366168"/>
    <w:rsid w:val="00366379"/>
    <w:rsid w:val="003663A1"/>
    <w:rsid w:val="00366597"/>
    <w:rsid w:val="0036687B"/>
    <w:rsid w:val="00366936"/>
    <w:rsid w:val="00366B02"/>
    <w:rsid w:val="00366DF0"/>
    <w:rsid w:val="00366E9F"/>
    <w:rsid w:val="00366EA6"/>
    <w:rsid w:val="00366FCC"/>
    <w:rsid w:val="00367047"/>
    <w:rsid w:val="0036706B"/>
    <w:rsid w:val="0036710B"/>
    <w:rsid w:val="003671F2"/>
    <w:rsid w:val="00367205"/>
    <w:rsid w:val="003674B8"/>
    <w:rsid w:val="003675F1"/>
    <w:rsid w:val="0036768F"/>
    <w:rsid w:val="00367870"/>
    <w:rsid w:val="00367879"/>
    <w:rsid w:val="00367A8A"/>
    <w:rsid w:val="00367BD1"/>
    <w:rsid w:val="00367C41"/>
    <w:rsid w:val="00367D26"/>
    <w:rsid w:val="00367E5E"/>
    <w:rsid w:val="00370250"/>
    <w:rsid w:val="00370433"/>
    <w:rsid w:val="00370724"/>
    <w:rsid w:val="003707C5"/>
    <w:rsid w:val="003707E2"/>
    <w:rsid w:val="00370BB3"/>
    <w:rsid w:val="00370C74"/>
    <w:rsid w:val="00370CC4"/>
    <w:rsid w:val="00370ED6"/>
    <w:rsid w:val="00370EF6"/>
    <w:rsid w:val="00371163"/>
    <w:rsid w:val="00371236"/>
    <w:rsid w:val="00371366"/>
    <w:rsid w:val="00371429"/>
    <w:rsid w:val="0037143A"/>
    <w:rsid w:val="00371481"/>
    <w:rsid w:val="0037169D"/>
    <w:rsid w:val="003716F7"/>
    <w:rsid w:val="003717DA"/>
    <w:rsid w:val="0037199D"/>
    <w:rsid w:val="00371AF1"/>
    <w:rsid w:val="00371B09"/>
    <w:rsid w:val="00371C7C"/>
    <w:rsid w:val="00371CC8"/>
    <w:rsid w:val="00371D23"/>
    <w:rsid w:val="00371D34"/>
    <w:rsid w:val="00371D91"/>
    <w:rsid w:val="00371FD5"/>
    <w:rsid w:val="00372205"/>
    <w:rsid w:val="00372216"/>
    <w:rsid w:val="00372294"/>
    <w:rsid w:val="0037247A"/>
    <w:rsid w:val="003725A4"/>
    <w:rsid w:val="003725CF"/>
    <w:rsid w:val="003726C1"/>
    <w:rsid w:val="0037290B"/>
    <w:rsid w:val="003729C2"/>
    <w:rsid w:val="003729F7"/>
    <w:rsid w:val="00372AA4"/>
    <w:rsid w:val="00372ADF"/>
    <w:rsid w:val="00372C62"/>
    <w:rsid w:val="00372CFD"/>
    <w:rsid w:val="00372D38"/>
    <w:rsid w:val="00372D82"/>
    <w:rsid w:val="00372DBD"/>
    <w:rsid w:val="00372E20"/>
    <w:rsid w:val="00372E75"/>
    <w:rsid w:val="00372EAD"/>
    <w:rsid w:val="00372FA6"/>
    <w:rsid w:val="00373334"/>
    <w:rsid w:val="00373555"/>
    <w:rsid w:val="00373587"/>
    <w:rsid w:val="003735E6"/>
    <w:rsid w:val="00373606"/>
    <w:rsid w:val="0037381F"/>
    <w:rsid w:val="00373927"/>
    <w:rsid w:val="00373A20"/>
    <w:rsid w:val="00373AFA"/>
    <w:rsid w:val="00374361"/>
    <w:rsid w:val="0037454D"/>
    <w:rsid w:val="0037481A"/>
    <w:rsid w:val="00374990"/>
    <w:rsid w:val="00374BC6"/>
    <w:rsid w:val="00374CAC"/>
    <w:rsid w:val="00374ED1"/>
    <w:rsid w:val="003751D7"/>
    <w:rsid w:val="003751F3"/>
    <w:rsid w:val="00375417"/>
    <w:rsid w:val="003754A7"/>
    <w:rsid w:val="00375655"/>
    <w:rsid w:val="00375813"/>
    <w:rsid w:val="00375905"/>
    <w:rsid w:val="0037596B"/>
    <w:rsid w:val="003759E2"/>
    <w:rsid w:val="00375A60"/>
    <w:rsid w:val="00375ACA"/>
    <w:rsid w:val="00375B5C"/>
    <w:rsid w:val="00375B83"/>
    <w:rsid w:val="00375BFB"/>
    <w:rsid w:val="00375FFF"/>
    <w:rsid w:val="003761D7"/>
    <w:rsid w:val="003761FB"/>
    <w:rsid w:val="00376544"/>
    <w:rsid w:val="00376640"/>
    <w:rsid w:val="003766DA"/>
    <w:rsid w:val="0037673C"/>
    <w:rsid w:val="00376781"/>
    <w:rsid w:val="003767BC"/>
    <w:rsid w:val="0037682F"/>
    <w:rsid w:val="00376912"/>
    <w:rsid w:val="003769AA"/>
    <w:rsid w:val="00376A24"/>
    <w:rsid w:val="00376B71"/>
    <w:rsid w:val="00376D02"/>
    <w:rsid w:val="00376E00"/>
    <w:rsid w:val="00376E6D"/>
    <w:rsid w:val="00376F78"/>
    <w:rsid w:val="00376F7B"/>
    <w:rsid w:val="0037705A"/>
    <w:rsid w:val="00377079"/>
    <w:rsid w:val="00377082"/>
    <w:rsid w:val="003770B1"/>
    <w:rsid w:val="003770BB"/>
    <w:rsid w:val="003772B0"/>
    <w:rsid w:val="0037739F"/>
    <w:rsid w:val="003774D2"/>
    <w:rsid w:val="003774D8"/>
    <w:rsid w:val="0037758A"/>
    <w:rsid w:val="00377602"/>
    <w:rsid w:val="00377605"/>
    <w:rsid w:val="00377627"/>
    <w:rsid w:val="003776B8"/>
    <w:rsid w:val="00377849"/>
    <w:rsid w:val="003778AF"/>
    <w:rsid w:val="00377AC2"/>
    <w:rsid w:val="00377B07"/>
    <w:rsid w:val="00377B83"/>
    <w:rsid w:val="00377C0F"/>
    <w:rsid w:val="00377D5D"/>
    <w:rsid w:val="00377E11"/>
    <w:rsid w:val="00377E5B"/>
    <w:rsid w:val="003800AD"/>
    <w:rsid w:val="00380185"/>
    <w:rsid w:val="0038019F"/>
    <w:rsid w:val="00380293"/>
    <w:rsid w:val="0038053C"/>
    <w:rsid w:val="003805F7"/>
    <w:rsid w:val="003806B6"/>
    <w:rsid w:val="003806F0"/>
    <w:rsid w:val="0038070C"/>
    <w:rsid w:val="003807E4"/>
    <w:rsid w:val="003808D2"/>
    <w:rsid w:val="003808E7"/>
    <w:rsid w:val="00380909"/>
    <w:rsid w:val="00380975"/>
    <w:rsid w:val="00380B2D"/>
    <w:rsid w:val="00380E81"/>
    <w:rsid w:val="00380F3F"/>
    <w:rsid w:val="0038149A"/>
    <w:rsid w:val="003815A8"/>
    <w:rsid w:val="00381663"/>
    <w:rsid w:val="00381767"/>
    <w:rsid w:val="00381920"/>
    <w:rsid w:val="00381951"/>
    <w:rsid w:val="00381A6E"/>
    <w:rsid w:val="00381A77"/>
    <w:rsid w:val="00381B18"/>
    <w:rsid w:val="00381D26"/>
    <w:rsid w:val="00381D33"/>
    <w:rsid w:val="00381F3F"/>
    <w:rsid w:val="00382173"/>
    <w:rsid w:val="003822E1"/>
    <w:rsid w:val="003823E6"/>
    <w:rsid w:val="00382425"/>
    <w:rsid w:val="003825C2"/>
    <w:rsid w:val="003826A1"/>
    <w:rsid w:val="003827B1"/>
    <w:rsid w:val="00382805"/>
    <w:rsid w:val="00382B0C"/>
    <w:rsid w:val="00382B7A"/>
    <w:rsid w:val="00382CC1"/>
    <w:rsid w:val="00382D45"/>
    <w:rsid w:val="00382E4B"/>
    <w:rsid w:val="00382EE2"/>
    <w:rsid w:val="00382F5C"/>
    <w:rsid w:val="00382F77"/>
    <w:rsid w:val="0038301D"/>
    <w:rsid w:val="0038304A"/>
    <w:rsid w:val="0038309C"/>
    <w:rsid w:val="00383123"/>
    <w:rsid w:val="00383243"/>
    <w:rsid w:val="00383259"/>
    <w:rsid w:val="0038342D"/>
    <w:rsid w:val="00383495"/>
    <w:rsid w:val="003835A6"/>
    <w:rsid w:val="00383789"/>
    <w:rsid w:val="003837BA"/>
    <w:rsid w:val="00383A8F"/>
    <w:rsid w:val="00383AC0"/>
    <w:rsid w:val="00383AFA"/>
    <w:rsid w:val="00383B85"/>
    <w:rsid w:val="00383C92"/>
    <w:rsid w:val="00383EEB"/>
    <w:rsid w:val="003841C3"/>
    <w:rsid w:val="0038426D"/>
    <w:rsid w:val="00384423"/>
    <w:rsid w:val="00384560"/>
    <w:rsid w:val="003846E9"/>
    <w:rsid w:val="0038484C"/>
    <w:rsid w:val="00384A0F"/>
    <w:rsid w:val="00384BFB"/>
    <w:rsid w:val="00384C87"/>
    <w:rsid w:val="00384DC8"/>
    <w:rsid w:val="00385045"/>
    <w:rsid w:val="0038511E"/>
    <w:rsid w:val="00385308"/>
    <w:rsid w:val="003853BB"/>
    <w:rsid w:val="0038544F"/>
    <w:rsid w:val="00385469"/>
    <w:rsid w:val="003856A5"/>
    <w:rsid w:val="003857FC"/>
    <w:rsid w:val="00385853"/>
    <w:rsid w:val="00385896"/>
    <w:rsid w:val="003858FA"/>
    <w:rsid w:val="00385AE0"/>
    <w:rsid w:val="00385B39"/>
    <w:rsid w:val="00385D18"/>
    <w:rsid w:val="00385D2B"/>
    <w:rsid w:val="00385E06"/>
    <w:rsid w:val="00385E20"/>
    <w:rsid w:val="00385E53"/>
    <w:rsid w:val="00386039"/>
    <w:rsid w:val="0038606C"/>
    <w:rsid w:val="0038608A"/>
    <w:rsid w:val="0038636D"/>
    <w:rsid w:val="0038637A"/>
    <w:rsid w:val="003864AA"/>
    <w:rsid w:val="0038670A"/>
    <w:rsid w:val="00386808"/>
    <w:rsid w:val="003868F7"/>
    <w:rsid w:val="003869A4"/>
    <w:rsid w:val="00386A24"/>
    <w:rsid w:val="00386B66"/>
    <w:rsid w:val="00386B8D"/>
    <w:rsid w:val="00386C40"/>
    <w:rsid w:val="00386D03"/>
    <w:rsid w:val="00386DF7"/>
    <w:rsid w:val="00386E97"/>
    <w:rsid w:val="00386EB5"/>
    <w:rsid w:val="00386F08"/>
    <w:rsid w:val="00386F7D"/>
    <w:rsid w:val="0038717F"/>
    <w:rsid w:val="0038722F"/>
    <w:rsid w:val="0038726A"/>
    <w:rsid w:val="003872A3"/>
    <w:rsid w:val="0038741B"/>
    <w:rsid w:val="00387478"/>
    <w:rsid w:val="003874EF"/>
    <w:rsid w:val="00387537"/>
    <w:rsid w:val="003875C7"/>
    <w:rsid w:val="0038767C"/>
    <w:rsid w:val="0038779C"/>
    <w:rsid w:val="003877C4"/>
    <w:rsid w:val="0038794F"/>
    <w:rsid w:val="003879EB"/>
    <w:rsid w:val="00390086"/>
    <w:rsid w:val="003901B4"/>
    <w:rsid w:val="003901D8"/>
    <w:rsid w:val="00390347"/>
    <w:rsid w:val="00390606"/>
    <w:rsid w:val="0039072C"/>
    <w:rsid w:val="00390889"/>
    <w:rsid w:val="00390998"/>
    <w:rsid w:val="00390B85"/>
    <w:rsid w:val="003910EC"/>
    <w:rsid w:val="003911A5"/>
    <w:rsid w:val="003911EA"/>
    <w:rsid w:val="00391390"/>
    <w:rsid w:val="00391459"/>
    <w:rsid w:val="003914DD"/>
    <w:rsid w:val="00391594"/>
    <w:rsid w:val="003915D8"/>
    <w:rsid w:val="003915E3"/>
    <w:rsid w:val="00391718"/>
    <w:rsid w:val="00391893"/>
    <w:rsid w:val="00391B4C"/>
    <w:rsid w:val="00391DA4"/>
    <w:rsid w:val="00391F0C"/>
    <w:rsid w:val="00391F97"/>
    <w:rsid w:val="00392173"/>
    <w:rsid w:val="0039238F"/>
    <w:rsid w:val="003924D3"/>
    <w:rsid w:val="003925DD"/>
    <w:rsid w:val="00392749"/>
    <w:rsid w:val="003929ED"/>
    <w:rsid w:val="00392B89"/>
    <w:rsid w:val="00392D56"/>
    <w:rsid w:val="00393113"/>
    <w:rsid w:val="0039316D"/>
    <w:rsid w:val="003931C2"/>
    <w:rsid w:val="00393234"/>
    <w:rsid w:val="0039324A"/>
    <w:rsid w:val="003932F6"/>
    <w:rsid w:val="00393374"/>
    <w:rsid w:val="003933CE"/>
    <w:rsid w:val="003934DC"/>
    <w:rsid w:val="0039350A"/>
    <w:rsid w:val="00393742"/>
    <w:rsid w:val="003939B7"/>
    <w:rsid w:val="00393EA2"/>
    <w:rsid w:val="00393F1D"/>
    <w:rsid w:val="00394263"/>
    <w:rsid w:val="003944C7"/>
    <w:rsid w:val="00394524"/>
    <w:rsid w:val="0039473F"/>
    <w:rsid w:val="003948A4"/>
    <w:rsid w:val="00394AF4"/>
    <w:rsid w:val="00394BA5"/>
    <w:rsid w:val="00394C13"/>
    <w:rsid w:val="00394C3A"/>
    <w:rsid w:val="00394DFB"/>
    <w:rsid w:val="00394F3B"/>
    <w:rsid w:val="00394FBF"/>
    <w:rsid w:val="003950E7"/>
    <w:rsid w:val="003951E6"/>
    <w:rsid w:val="003952BE"/>
    <w:rsid w:val="003953E0"/>
    <w:rsid w:val="00395697"/>
    <w:rsid w:val="0039571B"/>
    <w:rsid w:val="003958A7"/>
    <w:rsid w:val="00395A89"/>
    <w:rsid w:val="00395C3B"/>
    <w:rsid w:val="00395CE4"/>
    <w:rsid w:val="00395D22"/>
    <w:rsid w:val="00395EE8"/>
    <w:rsid w:val="00395F85"/>
    <w:rsid w:val="00395FDF"/>
    <w:rsid w:val="003960BD"/>
    <w:rsid w:val="0039624F"/>
    <w:rsid w:val="003962FF"/>
    <w:rsid w:val="003963AB"/>
    <w:rsid w:val="00396842"/>
    <w:rsid w:val="00396966"/>
    <w:rsid w:val="00396B60"/>
    <w:rsid w:val="00396E1E"/>
    <w:rsid w:val="00396E34"/>
    <w:rsid w:val="003972AB"/>
    <w:rsid w:val="00397365"/>
    <w:rsid w:val="003973AA"/>
    <w:rsid w:val="003975A0"/>
    <w:rsid w:val="003978C7"/>
    <w:rsid w:val="00397B45"/>
    <w:rsid w:val="00397DD1"/>
    <w:rsid w:val="00397DEC"/>
    <w:rsid w:val="003A0097"/>
    <w:rsid w:val="003A009C"/>
    <w:rsid w:val="003A0105"/>
    <w:rsid w:val="003A012D"/>
    <w:rsid w:val="003A0177"/>
    <w:rsid w:val="003A042F"/>
    <w:rsid w:val="003A0442"/>
    <w:rsid w:val="003A049E"/>
    <w:rsid w:val="003A05C5"/>
    <w:rsid w:val="003A066F"/>
    <w:rsid w:val="003A068C"/>
    <w:rsid w:val="003A0899"/>
    <w:rsid w:val="003A0997"/>
    <w:rsid w:val="003A0CAC"/>
    <w:rsid w:val="003A0D36"/>
    <w:rsid w:val="003A0DD0"/>
    <w:rsid w:val="003A1083"/>
    <w:rsid w:val="003A10D2"/>
    <w:rsid w:val="003A1121"/>
    <w:rsid w:val="003A123B"/>
    <w:rsid w:val="003A1299"/>
    <w:rsid w:val="003A132C"/>
    <w:rsid w:val="003A13CB"/>
    <w:rsid w:val="003A15E8"/>
    <w:rsid w:val="003A169F"/>
    <w:rsid w:val="003A190E"/>
    <w:rsid w:val="003A1A35"/>
    <w:rsid w:val="003A1A6D"/>
    <w:rsid w:val="003A1A9E"/>
    <w:rsid w:val="003A1AED"/>
    <w:rsid w:val="003A1BF3"/>
    <w:rsid w:val="003A1C0C"/>
    <w:rsid w:val="003A1CC2"/>
    <w:rsid w:val="003A1E24"/>
    <w:rsid w:val="003A1EE2"/>
    <w:rsid w:val="003A1F36"/>
    <w:rsid w:val="003A1F74"/>
    <w:rsid w:val="003A1F92"/>
    <w:rsid w:val="003A1FA9"/>
    <w:rsid w:val="003A1FF6"/>
    <w:rsid w:val="003A20F0"/>
    <w:rsid w:val="003A2367"/>
    <w:rsid w:val="003A2AD9"/>
    <w:rsid w:val="003A2B05"/>
    <w:rsid w:val="003A2B52"/>
    <w:rsid w:val="003A301D"/>
    <w:rsid w:val="003A306C"/>
    <w:rsid w:val="003A3087"/>
    <w:rsid w:val="003A30A5"/>
    <w:rsid w:val="003A3144"/>
    <w:rsid w:val="003A316A"/>
    <w:rsid w:val="003A3188"/>
    <w:rsid w:val="003A31A8"/>
    <w:rsid w:val="003A31F3"/>
    <w:rsid w:val="003A3219"/>
    <w:rsid w:val="003A32FE"/>
    <w:rsid w:val="003A33A3"/>
    <w:rsid w:val="003A33BD"/>
    <w:rsid w:val="003A3544"/>
    <w:rsid w:val="003A3684"/>
    <w:rsid w:val="003A37F1"/>
    <w:rsid w:val="003A3808"/>
    <w:rsid w:val="003A3811"/>
    <w:rsid w:val="003A397A"/>
    <w:rsid w:val="003A3BD7"/>
    <w:rsid w:val="003A3FC1"/>
    <w:rsid w:val="003A4024"/>
    <w:rsid w:val="003A4148"/>
    <w:rsid w:val="003A41D5"/>
    <w:rsid w:val="003A43A5"/>
    <w:rsid w:val="003A43C2"/>
    <w:rsid w:val="003A43F5"/>
    <w:rsid w:val="003A43FA"/>
    <w:rsid w:val="003A44BC"/>
    <w:rsid w:val="003A4575"/>
    <w:rsid w:val="003A4796"/>
    <w:rsid w:val="003A47EB"/>
    <w:rsid w:val="003A47ED"/>
    <w:rsid w:val="003A48F2"/>
    <w:rsid w:val="003A493F"/>
    <w:rsid w:val="003A499E"/>
    <w:rsid w:val="003A4A1E"/>
    <w:rsid w:val="003A4A71"/>
    <w:rsid w:val="003A4B84"/>
    <w:rsid w:val="003A4C49"/>
    <w:rsid w:val="003A4C4F"/>
    <w:rsid w:val="003A4C5E"/>
    <w:rsid w:val="003A4C8F"/>
    <w:rsid w:val="003A4E07"/>
    <w:rsid w:val="003A4F8D"/>
    <w:rsid w:val="003A4F90"/>
    <w:rsid w:val="003A50BE"/>
    <w:rsid w:val="003A51C6"/>
    <w:rsid w:val="003A5286"/>
    <w:rsid w:val="003A52EA"/>
    <w:rsid w:val="003A53C1"/>
    <w:rsid w:val="003A5487"/>
    <w:rsid w:val="003A5783"/>
    <w:rsid w:val="003A5981"/>
    <w:rsid w:val="003A5B60"/>
    <w:rsid w:val="003A5C1B"/>
    <w:rsid w:val="003A5F54"/>
    <w:rsid w:val="003A5FBE"/>
    <w:rsid w:val="003A60E5"/>
    <w:rsid w:val="003A6177"/>
    <w:rsid w:val="003A62D1"/>
    <w:rsid w:val="003A630B"/>
    <w:rsid w:val="003A63E1"/>
    <w:rsid w:val="003A6416"/>
    <w:rsid w:val="003A65B8"/>
    <w:rsid w:val="003A676C"/>
    <w:rsid w:val="003A67C1"/>
    <w:rsid w:val="003A6836"/>
    <w:rsid w:val="003A6967"/>
    <w:rsid w:val="003A698D"/>
    <w:rsid w:val="003A6C6F"/>
    <w:rsid w:val="003A6DA3"/>
    <w:rsid w:val="003A6E10"/>
    <w:rsid w:val="003A6EC1"/>
    <w:rsid w:val="003A7154"/>
    <w:rsid w:val="003A7204"/>
    <w:rsid w:val="003A727D"/>
    <w:rsid w:val="003A72B6"/>
    <w:rsid w:val="003A73BB"/>
    <w:rsid w:val="003A7421"/>
    <w:rsid w:val="003A7700"/>
    <w:rsid w:val="003A7722"/>
    <w:rsid w:val="003A7778"/>
    <w:rsid w:val="003A7782"/>
    <w:rsid w:val="003A7885"/>
    <w:rsid w:val="003A7B31"/>
    <w:rsid w:val="003A7C2B"/>
    <w:rsid w:val="003A7E07"/>
    <w:rsid w:val="003A7E12"/>
    <w:rsid w:val="003A7EBB"/>
    <w:rsid w:val="003A7F21"/>
    <w:rsid w:val="003A7FAC"/>
    <w:rsid w:val="003AA2C6"/>
    <w:rsid w:val="003B01E8"/>
    <w:rsid w:val="003B060B"/>
    <w:rsid w:val="003B06A7"/>
    <w:rsid w:val="003B07AD"/>
    <w:rsid w:val="003B08C2"/>
    <w:rsid w:val="003B0B63"/>
    <w:rsid w:val="003B0CC3"/>
    <w:rsid w:val="003B0D12"/>
    <w:rsid w:val="003B0D3B"/>
    <w:rsid w:val="003B0D97"/>
    <w:rsid w:val="003B0E60"/>
    <w:rsid w:val="003B0E72"/>
    <w:rsid w:val="003B0EB1"/>
    <w:rsid w:val="003B0F2A"/>
    <w:rsid w:val="003B0FC4"/>
    <w:rsid w:val="003B0FF4"/>
    <w:rsid w:val="003B1081"/>
    <w:rsid w:val="003B11B9"/>
    <w:rsid w:val="003B13D1"/>
    <w:rsid w:val="003B13DA"/>
    <w:rsid w:val="003B1509"/>
    <w:rsid w:val="003B1531"/>
    <w:rsid w:val="003B1620"/>
    <w:rsid w:val="003B175F"/>
    <w:rsid w:val="003B17C7"/>
    <w:rsid w:val="003B184A"/>
    <w:rsid w:val="003B18EE"/>
    <w:rsid w:val="003B1A00"/>
    <w:rsid w:val="003B1A0B"/>
    <w:rsid w:val="003B1DC9"/>
    <w:rsid w:val="003B1ECD"/>
    <w:rsid w:val="003B2001"/>
    <w:rsid w:val="003B2174"/>
    <w:rsid w:val="003B231A"/>
    <w:rsid w:val="003B23FD"/>
    <w:rsid w:val="003B26C0"/>
    <w:rsid w:val="003B2745"/>
    <w:rsid w:val="003B2B10"/>
    <w:rsid w:val="003B2C00"/>
    <w:rsid w:val="003B2D41"/>
    <w:rsid w:val="003B2E62"/>
    <w:rsid w:val="003B2F31"/>
    <w:rsid w:val="003B2F7B"/>
    <w:rsid w:val="003B2FCA"/>
    <w:rsid w:val="003B303C"/>
    <w:rsid w:val="003B30AB"/>
    <w:rsid w:val="003B31D2"/>
    <w:rsid w:val="003B3242"/>
    <w:rsid w:val="003B326C"/>
    <w:rsid w:val="003B3376"/>
    <w:rsid w:val="003B34F8"/>
    <w:rsid w:val="003B35A8"/>
    <w:rsid w:val="003B3623"/>
    <w:rsid w:val="003B3688"/>
    <w:rsid w:val="003B371C"/>
    <w:rsid w:val="003B376B"/>
    <w:rsid w:val="003B3771"/>
    <w:rsid w:val="003B392E"/>
    <w:rsid w:val="003B39C8"/>
    <w:rsid w:val="003B3A3A"/>
    <w:rsid w:val="003B3ACF"/>
    <w:rsid w:val="003B3ADF"/>
    <w:rsid w:val="003B3B53"/>
    <w:rsid w:val="003B3B9A"/>
    <w:rsid w:val="003B3F65"/>
    <w:rsid w:val="003B41E4"/>
    <w:rsid w:val="003B4241"/>
    <w:rsid w:val="003B42DA"/>
    <w:rsid w:val="003B4576"/>
    <w:rsid w:val="003B484A"/>
    <w:rsid w:val="003B4894"/>
    <w:rsid w:val="003B48E1"/>
    <w:rsid w:val="003B4B03"/>
    <w:rsid w:val="003B4B3E"/>
    <w:rsid w:val="003B4DF9"/>
    <w:rsid w:val="003B4E35"/>
    <w:rsid w:val="003B4EA7"/>
    <w:rsid w:val="003B4FF0"/>
    <w:rsid w:val="003B508E"/>
    <w:rsid w:val="003B50DC"/>
    <w:rsid w:val="003B514F"/>
    <w:rsid w:val="003B51FE"/>
    <w:rsid w:val="003B545D"/>
    <w:rsid w:val="003B5644"/>
    <w:rsid w:val="003B57A4"/>
    <w:rsid w:val="003B5AA9"/>
    <w:rsid w:val="003B5AE2"/>
    <w:rsid w:val="003B5DE7"/>
    <w:rsid w:val="003B5E05"/>
    <w:rsid w:val="003B5E51"/>
    <w:rsid w:val="003B6018"/>
    <w:rsid w:val="003B604F"/>
    <w:rsid w:val="003B61D7"/>
    <w:rsid w:val="003B636C"/>
    <w:rsid w:val="003B66A9"/>
    <w:rsid w:val="003B686E"/>
    <w:rsid w:val="003B68AF"/>
    <w:rsid w:val="003B69AD"/>
    <w:rsid w:val="003B6AD0"/>
    <w:rsid w:val="003B6D04"/>
    <w:rsid w:val="003B6E2D"/>
    <w:rsid w:val="003B6E35"/>
    <w:rsid w:val="003B6E9F"/>
    <w:rsid w:val="003B6F48"/>
    <w:rsid w:val="003B7021"/>
    <w:rsid w:val="003B70D3"/>
    <w:rsid w:val="003B711A"/>
    <w:rsid w:val="003B7164"/>
    <w:rsid w:val="003B71EA"/>
    <w:rsid w:val="003B7201"/>
    <w:rsid w:val="003B7275"/>
    <w:rsid w:val="003B727C"/>
    <w:rsid w:val="003B72B1"/>
    <w:rsid w:val="003B7405"/>
    <w:rsid w:val="003B7514"/>
    <w:rsid w:val="003B7822"/>
    <w:rsid w:val="003B7885"/>
    <w:rsid w:val="003B78E0"/>
    <w:rsid w:val="003B7A59"/>
    <w:rsid w:val="003B7B3C"/>
    <w:rsid w:val="003B7CA5"/>
    <w:rsid w:val="003B7EB5"/>
    <w:rsid w:val="003B7F49"/>
    <w:rsid w:val="003C007E"/>
    <w:rsid w:val="003C0195"/>
    <w:rsid w:val="003C0376"/>
    <w:rsid w:val="003C070A"/>
    <w:rsid w:val="003C095C"/>
    <w:rsid w:val="003C0AAD"/>
    <w:rsid w:val="003C0B32"/>
    <w:rsid w:val="003C0C82"/>
    <w:rsid w:val="003C0D11"/>
    <w:rsid w:val="003C0E82"/>
    <w:rsid w:val="003C0EE3"/>
    <w:rsid w:val="003C1186"/>
    <w:rsid w:val="003C1239"/>
    <w:rsid w:val="003C129E"/>
    <w:rsid w:val="003C13A5"/>
    <w:rsid w:val="003C13D3"/>
    <w:rsid w:val="003C153E"/>
    <w:rsid w:val="003C1553"/>
    <w:rsid w:val="003C1901"/>
    <w:rsid w:val="003C1952"/>
    <w:rsid w:val="003C1C08"/>
    <w:rsid w:val="003C1C53"/>
    <w:rsid w:val="003C1C7F"/>
    <w:rsid w:val="003C1CD7"/>
    <w:rsid w:val="003C1E38"/>
    <w:rsid w:val="003C1EAD"/>
    <w:rsid w:val="003C1FA9"/>
    <w:rsid w:val="003C21B9"/>
    <w:rsid w:val="003C22DA"/>
    <w:rsid w:val="003C25E8"/>
    <w:rsid w:val="003C26DF"/>
    <w:rsid w:val="003C2A34"/>
    <w:rsid w:val="003C2A58"/>
    <w:rsid w:val="003C2AF6"/>
    <w:rsid w:val="003C2C46"/>
    <w:rsid w:val="003C2CFF"/>
    <w:rsid w:val="003C2E63"/>
    <w:rsid w:val="003C2E8B"/>
    <w:rsid w:val="003C3147"/>
    <w:rsid w:val="003C32D6"/>
    <w:rsid w:val="003C3375"/>
    <w:rsid w:val="003C339A"/>
    <w:rsid w:val="003C33CA"/>
    <w:rsid w:val="003C3512"/>
    <w:rsid w:val="003C3518"/>
    <w:rsid w:val="003C374D"/>
    <w:rsid w:val="003C37C6"/>
    <w:rsid w:val="003C3830"/>
    <w:rsid w:val="003C39D6"/>
    <w:rsid w:val="003C3B7C"/>
    <w:rsid w:val="003C3E89"/>
    <w:rsid w:val="003C403C"/>
    <w:rsid w:val="003C4273"/>
    <w:rsid w:val="003C4386"/>
    <w:rsid w:val="003C4A9B"/>
    <w:rsid w:val="003C4B17"/>
    <w:rsid w:val="003C4C2F"/>
    <w:rsid w:val="003C4CAD"/>
    <w:rsid w:val="003C4DE7"/>
    <w:rsid w:val="003C4EAC"/>
    <w:rsid w:val="003C4EFD"/>
    <w:rsid w:val="003C4FF5"/>
    <w:rsid w:val="003C513D"/>
    <w:rsid w:val="003C51A0"/>
    <w:rsid w:val="003C51B9"/>
    <w:rsid w:val="003C5255"/>
    <w:rsid w:val="003C5349"/>
    <w:rsid w:val="003C53DE"/>
    <w:rsid w:val="003C54A2"/>
    <w:rsid w:val="003C556F"/>
    <w:rsid w:val="003C5614"/>
    <w:rsid w:val="003C5668"/>
    <w:rsid w:val="003C58E3"/>
    <w:rsid w:val="003C5A9A"/>
    <w:rsid w:val="003C5AF0"/>
    <w:rsid w:val="003C5B5B"/>
    <w:rsid w:val="003C5CAF"/>
    <w:rsid w:val="003C5CC7"/>
    <w:rsid w:val="003C5CFF"/>
    <w:rsid w:val="003C5D5D"/>
    <w:rsid w:val="003C5D6D"/>
    <w:rsid w:val="003C5DB0"/>
    <w:rsid w:val="003C5E8D"/>
    <w:rsid w:val="003C6001"/>
    <w:rsid w:val="003C60AF"/>
    <w:rsid w:val="003C6171"/>
    <w:rsid w:val="003C6192"/>
    <w:rsid w:val="003C619D"/>
    <w:rsid w:val="003C68D0"/>
    <w:rsid w:val="003C690C"/>
    <w:rsid w:val="003C6BFD"/>
    <w:rsid w:val="003C6C97"/>
    <w:rsid w:val="003C6D07"/>
    <w:rsid w:val="003C6F27"/>
    <w:rsid w:val="003C720C"/>
    <w:rsid w:val="003C7388"/>
    <w:rsid w:val="003C749B"/>
    <w:rsid w:val="003C7620"/>
    <w:rsid w:val="003C7659"/>
    <w:rsid w:val="003C767A"/>
    <w:rsid w:val="003C7754"/>
    <w:rsid w:val="003C789E"/>
    <w:rsid w:val="003C79C8"/>
    <w:rsid w:val="003C7A2E"/>
    <w:rsid w:val="003C7A60"/>
    <w:rsid w:val="003C7A68"/>
    <w:rsid w:val="003C7A9E"/>
    <w:rsid w:val="003C7AD3"/>
    <w:rsid w:val="003C7C43"/>
    <w:rsid w:val="003C7D3C"/>
    <w:rsid w:val="003C7ED5"/>
    <w:rsid w:val="003D0092"/>
    <w:rsid w:val="003D00F3"/>
    <w:rsid w:val="003D025C"/>
    <w:rsid w:val="003D03C3"/>
    <w:rsid w:val="003D0427"/>
    <w:rsid w:val="003D0729"/>
    <w:rsid w:val="003D07A0"/>
    <w:rsid w:val="003D0902"/>
    <w:rsid w:val="003D0A19"/>
    <w:rsid w:val="003D0A2F"/>
    <w:rsid w:val="003D0B07"/>
    <w:rsid w:val="003D0BAC"/>
    <w:rsid w:val="003D0DA0"/>
    <w:rsid w:val="003D0DEE"/>
    <w:rsid w:val="003D0F8C"/>
    <w:rsid w:val="003D102B"/>
    <w:rsid w:val="003D10ED"/>
    <w:rsid w:val="003D1180"/>
    <w:rsid w:val="003D1300"/>
    <w:rsid w:val="003D135F"/>
    <w:rsid w:val="003D141D"/>
    <w:rsid w:val="003D1471"/>
    <w:rsid w:val="003D14C2"/>
    <w:rsid w:val="003D15E8"/>
    <w:rsid w:val="003D16F6"/>
    <w:rsid w:val="003D17F0"/>
    <w:rsid w:val="003D187F"/>
    <w:rsid w:val="003D18CF"/>
    <w:rsid w:val="003D1BD6"/>
    <w:rsid w:val="003D1C3F"/>
    <w:rsid w:val="003D1CCC"/>
    <w:rsid w:val="003D1D01"/>
    <w:rsid w:val="003D1F5B"/>
    <w:rsid w:val="003D213A"/>
    <w:rsid w:val="003D21C8"/>
    <w:rsid w:val="003D23BF"/>
    <w:rsid w:val="003D2641"/>
    <w:rsid w:val="003D2760"/>
    <w:rsid w:val="003D286E"/>
    <w:rsid w:val="003D2A19"/>
    <w:rsid w:val="003D2ADB"/>
    <w:rsid w:val="003D2DF7"/>
    <w:rsid w:val="003D2F04"/>
    <w:rsid w:val="003D2FA2"/>
    <w:rsid w:val="003D3077"/>
    <w:rsid w:val="003D30E6"/>
    <w:rsid w:val="003D3124"/>
    <w:rsid w:val="003D3143"/>
    <w:rsid w:val="003D321E"/>
    <w:rsid w:val="003D3228"/>
    <w:rsid w:val="003D3255"/>
    <w:rsid w:val="003D3258"/>
    <w:rsid w:val="003D337D"/>
    <w:rsid w:val="003D3582"/>
    <w:rsid w:val="003D3624"/>
    <w:rsid w:val="003D3686"/>
    <w:rsid w:val="003D39D4"/>
    <w:rsid w:val="003D3DF5"/>
    <w:rsid w:val="003D3E2A"/>
    <w:rsid w:val="003D3E4A"/>
    <w:rsid w:val="003D3E5B"/>
    <w:rsid w:val="003D3E75"/>
    <w:rsid w:val="003D3EB8"/>
    <w:rsid w:val="003D3FC1"/>
    <w:rsid w:val="003D3FF0"/>
    <w:rsid w:val="003D4170"/>
    <w:rsid w:val="003D4325"/>
    <w:rsid w:val="003D436C"/>
    <w:rsid w:val="003D438C"/>
    <w:rsid w:val="003D4468"/>
    <w:rsid w:val="003D4734"/>
    <w:rsid w:val="003D491F"/>
    <w:rsid w:val="003D49A5"/>
    <w:rsid w:val="003D49EB"/>
    <w:rsid w:val="003D4B58"/>
    <w:rsid w:val="003D4C12"/>
    <w:rsid w:val="003D4C94"/>
    <w:rsid w:val="003D4E79"/>
    <w:rsid w:val="003D4EF0"/>
    <w:rsid w:val="003D501F"/>
    <w:rsid w:val="003D51A8"/>
    <w:rsid w:val="003D52AF"/>
    <w:rsid w:val="003D52DE"/>
    <w:rsid w:val="003D5373"/>
    <w:rsid w:val="003D5439"/>
    <w:rsid w:val="003D543B"/>
    <w:rsid w:val="003D5562"/>
    <w:rsid w:val="003D574A"/>
    <w:rsid w:val="003D57F8"/>
    <w:rsid w:val="003D58C7"/>
    <w:rsid w:val="003D58D4"/>
    <w:rsid w:val="003D595A"/>
    <w:rsid w:val="003D59BA"/>
    <w:rsid w:val="003D5AAD"/>
    <w:rsid w:val="003D5CBA"/>
    <w:rsid w:val="003D5DC4"/>
    <w:rsid w:val="003D5FE1"/>
    <w:rsid w:val="003D604E"/>
    <w:rsid w:val="003D60AB"/>
    <w:rsid w:val="003D618F"/>
    <w:rsid w:val="003D6340"/>
    <w:rsid w:val="003D6772"/>
    <w:rsid w:val="003D6A74"/>
    <w:rsid w:val="003D6B37"/>
    <w:rsid w:val="003D6B85"/>
    <w:rsid w:val="003D6D1D"/>
    <w:rsid w:val="003D718A"/>
    <w:rsid w:val="003D7259"/>
    <w:rsid w:val="003D7278"/>
    <w:rsid w:val="003D73AB"/>
    <w:rsid w:val="003D7467"/>
    <w:rsid w:val="003D7509"/>
    <w:rsid w:val="003D7552"/>
    <w:rsid w:val="003D7757"/>
    <w:rsid w:val="003D780F"/>
    <w:rsid w:val="003D7CCE"/>
    <w:rsid w:val="003D7D14"/>
    <w:rsid w:val="003D7DB4"/>
    <w:rsid w:val="003D7E3F"/>
    <w:rsid w:val="003D7F9A"/>
    <w:rsid w:val="003D7FA5"/>
    <w:rsid w:val="003E0178"/>
    <w:rsid w:val="003E017E"/>
    <w:rsid w:val="003E0492"/>
    <w:rsid w:val="003E0547"/>
    <w:rsid w:val="003E067A"/>
    <w:rsid w:val="003E0789"/>
    <w:rsid w:val="003E0912"/>
    <w:rsid w:val="003E0AAA"/>
    <w:rsid w:val="003E0BB4"/>
    <w:rsid w:val="003E0BF6"/>
    <w:rsid w:val="003E1054"/>
    <w:rsid w:val="003E10C9"/>
    <w:rsid w:val="003E111D"/>
    <w:rsid w:val="003E119D"/>
    <w:rsid w:val="003E125D"/>
    <w:rsid w:val="003E129F"/>
    <w:rsid w:val="003E1383"/>
    <w:rsid w:val="003E1467"/>
    <w:rsid w:val="003E14E8"/>
    <w:rsid w:val="003E1501"/>
    <w:rsid w:val="003E1532"/>
    <w:rsid w:val="003E1619"/>
    <w:rsid w:val="003E1716"/>
    <w:rsid w:val="003E1857"/>
    <w:rsid w:val="003E1883"/>
    <w:rsid w:val="003E18DF"/>
    <w:rsid w:val="003E18E0"/>
    <w:rsid w:val="003E1A02"/>
    <w:rsid w:val="003E1AC7"/>
    <w:rsid w:val="003E1B5B"/>
    <w:rsid w:val="003E1B75"/>
    <w:rsid w:val="003E1BB1"/>
    <w:rsid w:val="003E1BC6"/>
    <w:rsid w:val="003E1D7F"/>
    <w:rsid w:val="003E1E16"/>
    <w:rsid w:val="003E1E26"/>
    <w:rsid w:val="003E1E2A"/>
    <w:rsid w:val="003E1EE3"/>
    <w:rsid w:val="003E1F09"/>
    <w:rsid w:val="003E1FAB"/>
    <w:rsid w:val="003E2091"/>
    <w:rsid w:val="003E20A3"/>
    <w:rsid w:val="003E20A4"/>
    <w:rsid w:val="003E2126"/>
    <w:rsid w:val="003E2352"/>
    <w:rsid w:val="003E24F1"/>
    <w:rsid w:val="003E283E"/>
    <w:rsid w:val="003E2990"/>
    <w:rsid w:val="003E2A04"/>
    <w:rsid w:val="003E2A71"/>
    <w:rsid w:val="003E2AAB"/>
    <w:rsid w:val="003E2ABD"/>
    <w:rsid w:val="003E2BF0"/>
    <w:rsid w:val="003E2E02"/>
    <w:rsid w:val="003E2F62"/>
    <w:rsid w:val="003E2F63"/>
    <w:rsid w:val="003E303A"/>
    <w:rsid w:val="003E30A6"/>
    <w:rsid w:val="003E3200"/>
    <w:rsid w:val="003E329A"/>
    <w:rsid w:val="003E3340"/>
    <w:rsid w:val="003E3546"/>
    <w:rsid w:val="003E35E4"/>
    <w:rsid w:val="003E380F"/>
    <w:rsid w:val="003E38A1"/>
    <w:rsid w:val="003E3976"/>
    <w:rsid w:val="003E3A34"/>
    <w:rsid w:val="003E3AC0"/>
    <w:rsid w:val="003E3B3D"/>
    <w:rsid w:val="003E3C38"/>
    <w:rsid w:val="003E3DC3"/>
    <w:rsid w:val="003E3E6E"/>
    <w:rsid w:val="003E3E94"/>
    <w:rsid w:val="003E42B0"/>
    <w:rsid w:val="003E42CA"/>
    <w:rsid w:val="003E44B6"/>
    <w:rsid w:val="003E457A"/>
    <w:rsid w:val="003E469F"/>
    <w:rsid w:val="003E46E5"/>
    <w:rsid w:val="003E470C"/>
    <w:rsid w:val="003E4717"/>
    <w:rsid w:val="003E480A"/>
    <w:rsid w:val="003E4929"/>
    <w:rsid w:val="003E4B00"/>
    <w:rsid w:val="003E4C6D"/>
    <w:rsid w:val="003E4E0B"/>
    <w:rsid w:val="003E4F71"/>
    <w:rsid w:val="003E4FA7"/>
    <w:rsid w:val="003E519B"/>
    <w:rsid w:val="003E525A"/>
    <w:rsid w:val="003E5305"/>
    <w:rsid w:val="003E5330"/>
    <w:rsid w:val="003E536D"/>
    <w:rsid w:val="003E5500"/>
    <w:rsid w:val="003E55D7"/>
    <w:rsid w:val="003E562C"/>
    <w:rsid w:val="003E5698"/>
    <w:rsid w:val="003E5720"/>
    <w:rsid w:val="003E57B1"/>
    <w:rsid w:val="003E58FF"/>
    <w:rsid w:val="003E5A51"/>
    <w:rsid w:val="003E5C72"/>
    <w:rsid w:val="003E5D83"/>
    <w:rsid w:val="003E6203"/>
    <w:rsid w:val="003E648F"/>
    <w:rsid w:val="003E6A00"/>
    <w:rsid w:val="003E6A86"/>
    <w:rsid w:val="003E6CB4"/>
    <w:rsid w:val="003E6D5D"/>
    <w:rsid w:val="003E6DAA"/>
    <w:rsid w:val="003E6DB4"/>
    <w:rsid w:val="003E6E93"/>
    <w:rsid w:val="003E6F3C"/>
    <w:rsid w:val="003E7002"/>
    <w:rsid w:val="003E70CE"/>
    <w:rsid w:val="003E7121"/>
    <w:rsid w:val="003E717B"/>
    <w:rsid w:val="003E71B9"/>
    <w:rsid w:val="003E72FE"/>
    <w:rsid w:val="003E7418"/>
    <w:rsid w:val="003E7474"/>
    <w:rsid w:val="003E75CB"/>
    <w:rsid w:val="003E760C"/>
    <w:rsid w:val="003E76DA"/>
    <w:rsid w:val="003E7795"/>
    <w:rsid w:val="003E77FE"/>
    <w:rsid w:val="003E7870"/>
    <w:rsid w:val="003E78FB"/>
    <w:rsid w:val="003E799D"/>
    <w:rsid w:val="003E7A7E"/>
    <w:rsid w:val="003E7B6C"/>
    <w:rsid w:val="003E7BBD"/>
    <w:rsid w:val="003E7CB6"/>
    <w:rsid w:val="003E7D26"/>
    <w:rsid w:val="003E7E70"/>
    <w:rsid w:val="003F00BE"/>
    <w:rsid w:val="003F0214"/>
    <w:rsid w:val="003F0448"/>
    <w:rsid w:val="003F0550"/>
    <w:rsid w:val="003F0664"/>
    <w:rsid w:val="003F0949"/>
    <w:rsid w:val="003F0A23"/>
    <w:rsid w:val="003F0AAF"/>
    <w:rsid w:val="003F0DA2"/>
    <w:rsid w:val="003F0F9C"/>
    <w:rsid w:val="003F101D"/>
    <w:rsid w:val="003F1062"/>
    <w:rsid w:val="003F1118"/>
    <w:rsid w:val="003F1151"/>
    <w:rsid w:val="003F1186"/>
    <w:rsid w:val="003F150D"/>
    <w:rsid w:val="003F154E"/>
    <w:rsid w:val="003F15E6"/>
    <w:rsid w:val="003F169C"/>
    <w:rsid w:val="003F1868"/>
    <w:rsid w:val="003F1876"/>
    <w:rsid w:val="003F1937"/>
    <w:rsid w:val="003F194C"/>
    <w:rsid w:val="003F1B30"/>
    <w:rsid w:val="003F1B5A"/>
    <w:rsid w:val="003F1C66"/>
    <w:rsid w:val="003F1D1D"/>
    <w:rsid w:val="003F1D57"/>
    <w:rsid w:val="003F1E79"/>
    <w:rsid w:val="003F1EE8"/>
    <w:rsid w:val="003F23C1"/>
    <w:rsid w:val="003F24C3"/>
    <w:rsid w:val="003F261A"/>
    <w:rsid w:val="003F26E0"/>
    <w:rsid w:val="003F2745"/>
    <w:rsid w:val="003F2854"/>
    <w:rsid w:val="003F285D"/>
    <w:rsid w:val="003F28EA"/>
    <w:rsid w:val="003F2ABA"/>
    <w:rsid w:val="003F2B93"/>
    <w:rsid w:val="003F2BA3"/>
    <w:rsid w:val="003F2C1E"/>
    <w:rsid w:val="003F2C23"/>
    <w:rsid w:val="003F2C5C"/>
    <w:rsid w:val="003F2CD8"/>
    <w:rsid w:val="003F2E73"/>
    <w:rsid w:val="003F2E8A"/>
    <w:rsid w:val="003F2EB7"/>
    <w:rsid w:val="003F2F2A"/>
    <w:rsid w:val="003F30F2"/>
    <w:rsid w:val="003F31ED"/>
    <w:rsid w:val="003F3210"/>
    <w:rsid w:val="003F36DC"/>
    <w:rsid w:val="003F37CF"/>
    <w:rsid w:val="003F3818"/>
    <w:rsid w:val="003F3855"/>
    <w:rsid w:val="003F3864"/>
    <w:rsid w:val="003F38B6"/>
    <w:rsid w:val="003F3979"/>
    <w:rsid w:val="003F3A17"/>
    <w:rsid w:val="003F3AD3"/>
    <w:rsid w:val="003F3B89"/>
    <w:rsid w:val="003F3D7F"/>
    <w:rsid w:val="003F3E39"/>
    <w:rsid w:val="003F3F6E"/>
    <w:rsid w:val="003F423A"/>
    <w:rsid w:val="003F4311"/>
    <w:rsid w:val="003F43C0"/>
    <w:rsid w:val="003F44A1"/>
    <w:rsid w:val="003F456A"/>
    <w:rsid w:val="003F4613"/>
    <w:rsid w:val="003F48F0"/>
    <w:rsid w:val="003F49F3"/>
    <w:rsid w:val="003F4C78"/>
    <w:rsid w:val="003F4CD6"/>
    <w:rsid w:val="003F4E65"/>
    <w:rsid w:val="003F4FF2"/>
    <w:rsid w:val="003F5174"/>
    <w:rsid w:val="003F5256"/>
    <w:rsid w:val="003F5421"/>
    <w:rsid w:val="003F55D5"/>
    <w:rsid w:val="003F5837"/>
    <w:rsid w:val="003F5986"/>
    <w:rsid w:val="003F5AE1"/>
    <w:rsid w:val="003F5B80"/>
    <w:rsid w:val="003F5BBB"/>
    <w:rsid w:val="003F5CA4"/>
    <w:rsid w:val="003F5D5E"/>
    <w:rsid w:val="003F5E56"/>
    <w:rsid w:val="003F5F68"/>
    <w:rsid w:val="003F5FFC"/>
    <w:rsid w:val="003F630A"/>
    <w:rsid w:val="003F6494"/>
    <w:rsid w:val="003F649C"/>
    <w:rsid w:val="003F6568"/>
    <w:rsid w:val="003F6580"/>
    <w:rsid w:val="003F6611"/>
    <w:rsid w:val="003F665C"/>
    <w:rsid w:val="003F6752"/>
    <w:rsid w:val="003F6767"/>
    <w:rsid w:val="003F69F8"/>
    <w:rsid w:val="003F6AED"/>
    <w:rsid w:val="003F6C42"/>
    <w:rsid w:val="003F6D9F"/>
    <w:rsid w:val="003F6E10"/>
    <w:rsid w:val="003F6E8A"/>
    <w:rsid w:val="003F71FF"/>
    <w:rsid w:val="003F722B"/>
    <w:rsid w:val="003F73CE"/>
    <w:rsid w:val="003F7639"/>
    <w:rsid w:val="003F7685"/>
    <w:rsid w:val="003F78D5"/>
    <w:rsid w:val="003F79A4"/>
    <w:rsid w:val="003F7B4B"/>
    <w:rsid w:val="003F7B74"/>
    <w:rsid w:val="003F7D8B"/>
    <w:rsid w:val="003F7E60"/>
    <w:rsid w:val="003F7E93"/>
    <w:rsid w:val="003F7F44"/>
    <w:rsid w:val="00400159"/>
    <w:rsid w:val="004002AE"/>
    <w:rsid w:val="004002F8"/>
    <w:rsid w:val="00400548"/>
    <w:rsid w:val="0040063E"/>
    <w:rsid w:val="00400676"/>
    <w:rsid w:val="00400697"/>
    <w:rsid w:val="0040080C"/>
    <w:rsid w:val="00400926"/>
    <w:rsid w:val="00400C58"/>
    <w:rsid w:val="00400CF6"/>
    <w:rsid w:val="00400D6A"/>
    <w:rsid w:val="00400DB4"/>
    <w:rsid w:val="00400DDC"/>
    <w:rsid w:val="00400DFC"/>
    <w:rsid w:val="00400E78"/>
    <w:rsid w:val="00400FA9"/>
    <w:rsid w:val="0040138D"/>
    <w:rsid w:val="0040140B"/>
    <w:rsid w:val="004015BD"/>
    <w:rsid w:val="004015D0"/>
    <w:rsid w:val="0040194E"/>
    <w:rsid w:val="00401B1F"/>
    <w:rsid w:val="00401C4B"/>
    <w:rsid w:val="00401E78"/>
    <w:rsid w:val="00401F93"/>
    <w:rsid w:val="00402048"/>
    <w:rsid w:val="004020E5"/>
    <w:rsid w:val="00402125"/>
    <w:rsid w:val="0040248A"/>
    <w:rsid w:val="00402BE0"/>
    <w:rsid w:val="00402E9F"/>
    <w:rsid w:val="00402F4E"/>
    <w:rsid w:val="00402FD4"/>
    <w:rsid w:val="00403063"/>
    <w:rsid w:val="00403344"/>
    <w:rsid w:val="00403409"/>
    <w:rsid w:val="00403427"/>
    <w:rsid w:val="00403440"/>
    <w:rsid w:val="0040357A"/>
    <w:rsid w:val="00403630"/>
    <w:rsid w:val="00403672"/>
    <w:rsid w:val="004037F1"/>
    <w:rsid w:val="00403815"/>
    <w:rsid w:val="00403898"/>
    <w:rsid w:val="00403919"/>
    <w:rsid w:val="004039CC"/>
    <w:rsid w:val="00403A05"/>
    <w:rsid w:val="00403B76"/>
    <w:rsid w:val="00404025"/>
    <w:rsid w:val="004040B2"/>
    <w:rsid w:val="0040422F"/>
    <w:rsid w:val="004043A6"/>
    <w:rsid w:val="004043CD"/>
    <w:rsid w:val="0040445A"/>
    <w:rsid w:val="004044A6"/>
    <w:rsid w:val="00404527"/>
    <w:rsid w:val="0040453B"/>
    <w:rsid w:val="004045C3"/>
    <w:rsid w:val="004047E2"/>
    <w:rsid w:val="0040483D"/>
    <w:rsid w:val="0040498C"/>
    <w:rsid w:val="00404ACA"/>
    <w:rsid w:val="00404B87"/>
    <w:rsid w:val="00404C2C"/>
    <w:rsid w:val="00404F99"/>
    <w:rsid w:val="0040506C"/>
    <w:rsid w:val="0040508C"/>
    <w:rsid w:val="004050B6"/>
    <w:rsid w:val="004051EE"/>
    <w:rsid w:val="00405420"/>
    <w:rsid w:val="00405489"/>
    <w:rsid w:val="00405626"/>
    <w:rsid w:val="00405797"/>
    <w:rsid w:val="004057F9"/>
    <w:rsid w:val="00405889"/>
    <w:rsid w:val="004058CE"/>
    <w:rsid w:val="00405A39"/>
    <w:rsid w:val="00405AEA"/>
    <w:rsid w:val="00405B5A"/>
    <w:rsid w:val="00405B68"/>
    <w:rsid w:val="00405C88"/>
    <w:rsid w:val="00405C9D"/>
    <w:rsid w:val="00405CFF"/>
    <w:rsid w:val="00405D84"/>
    <w:rsid w:val="00405E13"/>
    <w:rsid w:val="00405E68"/>
    <w:rsid w:val="00405EB9"/>
    <w:rsid w:val="00406092"/>
    <w:rsid w:val="004060E8"/>
    <w:rsid w:val="004060F6"/>
    <w:rsid w:val="00406257"/>
    <w:rsid w:val="004062B2"/>
    <w:rsid w:val="0040632A"/>
    <w:rsid w:val="00406457"/>
    <w:rsid w:val="004066C4"/>
    <w:rsid w:val="00406801"/>
    <w:rsid w:val="004069CC"/>
    <w:rsid w:val="004069DF"/>
    <w:rsid w:val="00406B24"/>
    <w:rsid w:val="00406CE5"/>
    <w:rsid w:val="00407092"/>
    <w:rsid w:val="004070DA"/>
    <w:rsid w:val="004072BF"/>
    <w:rsid w:val="00407414"/>
    <w:rsid w:val="0040746F"/>
    <w:rsid w:val="004075D8"/>
    <w:rsid w:val="0040767B"/>
    <w:rsid w:val="004076FB"/>
    <w:rsid w:val="00407727"/>
    <w:rsid w:val="00407A4B"/>
    <w:rsid w:val="00407ADB"/>
    <w:rsid w:val="00407B59"/>
    <w:rsid w:val="00407B85"/>
    <w:rsid w:val="00407C80"/>
    <w:rsid w:val="00407C81"/>
    <w:rsid w:val="00407C9D"/>
    <w:rsid w:val="00407D61"/>
    <w:rsid w:val="00407F3F"/>
    <w:rsid w:val="00407FBE"/>
    <w:rsid w:val="00408761"/>
    <w:rsid w:val="00410135"/>
    <w:rsid w:val="00410179"/>
    <w:rsid w:val="0041018B"/>
    <w:rsid w:val="004101B3"/>
    <w:rsid w:val="004101C8"/>
    <w:rsid w:val="0041036F"/>
    <w:rsid w:val="004103D2"/>
    <w:rsid w:val="0041098C"/>
    <w:rsid w:val="004109F7"/>
    <w:rsid w:val="00410A91"/>
    <w:rsid w:val="00410B05"/>
    <w:rsid w:val="00410C21"/>
    <w:rsid w:val="00410C91"/>
    <w:rsid w:val="00410E0F"/>
    <w:rsid w:val="00410EE5"/>
    <w:rsid w:val="004111CA"/>
    <w:rsid w:val="00411279"/>
    <w:rsid w:val="004112A3"/>
    <w:rsid w:val="0041135E"/>
    <w:rsid w:val="0041141C"/>
    <w:rsid w:val="00411470"/>
    <w:rsid w:val="004116B3"/>
    <w:rsid w:val="00411ABC"/>
    <w:rsid w:val="00411C2F"/>
    <w:rsid w:val="00411D94"/>
    <w:rsid w:val="00411E89"/>
    <w:rsid w:val="0041214E"/>
    <w:rsid w:val="004121CD"/>
    <w:rsid w:val="00412261"/>
    <w:rsid w:val="00412329"/>
    <w:rsid w:val="00412359"/>
    <w:rsid w:val="00412377"/>
    <w:rsid w:val="004123E1"/>
    <w:rsid w:val="004123EC"/>
    <w:rsid w:val="004124CE"/>
    <w:rsid w:val="00412528"/>
    <w:rsid w:val="0041262A"/>
    <w:rsid w:val="0041269E"/>
    <w:rsid w:val="00412757"/>
    <w:rsid w:val="004127F0"/>
    <w:rsid w:val="004128DE"/>
    <w:rsid w:val="0041296D"/>
    <w:rsid w:val="00412A79"/>
    <w:rsid w:val="00412AFB"/>
    <w:rsid w:val="00412B21"/>
    <w:rsid w:val="00412C31"/>
    <w:rsid w:val="0041307F"/>
    <w:rsid w:val="004130FA"/>
    <w:rsid w:val="004131E0"/>
    <w:rsid w:val="004134DA"/>
    <w:rsid w:val="00413537"/>
    <w:rsid w:val="0041357F"/>
    <w:rsid w:val="004136A2"/>
    <w:rsid w:val="004137E5"/>
    <w:rsid w:val="004138DE"/>
    <w:rsid w:val="00413F99"/>
    <w:rsid w:val="00414027"/>
    <w:rsid w:val="004141A4"/>
    <w:rsid w:val="0041423D"/>
    <w:rsid w:val="0041458B"/>
    <w:rsid w:val="00414590"/>
    <w:rsid w:val="0041462B"/>
    <w:rsid w:val="0041465A"/>
    <w:rsid w:val="0041469E"/>
    <w:rsid w:val="0041477D"/>
    <w:rsid w:val="0041478D"/>
    <w:rsid w:val="004148B7"/>
    <w:rsid w:val="004148FA"/>
    <w:rsid w:val="00414902"/>
    <w:rsid w:val="00414906"/>
    <w:rsid w:val="0041495B"/>
    <w:rsid w:val="00414A0E"/>
    <w:rsid w:val="00414A95"/>
    <w:rsid w:val="00414B8E"/>
    <w:rsid w:val="00414F2F"/>
    <w:rsid w:val="00414FBE"/>
    <w:rsid w:val="004150A0"/>
    <w:rsid w:val="004153F7"/>
    <w:rsid w:val="00415714"/>
    <w:rsid w:val="00415855"/>
    <w:rsid w:val="00415A54"/>
    <w:rsid w:val="00415ABA"/>
    <w:rsid w:val="00415D96"/>
    <w:rsid w:val="00415DD8"/>
    <w:rsid w:val="00415E51"/>
    <w:rsid w:val="00415E70"/>
    <w:rsid w:val="00415F6B"/>
    <w:rsid w:val="0041601F"/>
    <w:rsid w:val="004160B0"/>
    <w:rsid w:val="00416452"/>
    <w:rsid w:val="004164B4"/>
    <w:rsid w:val="00416559"/>
    <w:rsid w:val="004165B9"/>
    <w:rsid w:val="0041692B"/>
    <w:rsid w:val="00416A32"/>
    <w:rsid w:val="00416A85"/>
    <w:rsid w:val="00416B15"/>
    <w:rsid w:val="00416B2E"/>
    <w:rsid w:val="00416BA9"/>
    <w:rsid w:val="00416C37"/>
    <w:rsid w:val="00416F39"/>
    <w:rsid w:val="0041711A"/>
    <w:rsid w:val="00417209"/>
    <w:rsid w:val="004172C6"/>
    <w:rsid w:val="004173E3"/>
    <w:rsid w:val="0041742A"/>
    <w:rsid w:val="004174FF"/>
    <w:rsid w:val="004177CE"/>
    <w:rsid w:val="004177DE"/>
    <w:rsid w:val="00417874"/>
    <w:rsid w:val="00417AD3"/>
    <w:rsid w:val="00417BB4"/>
    <w:rsid w:val="00417C44"/>
    <w:rsid w:val="00417CF7"/>
    <w:rsid w:val="00417D67"/>
    <w:rsid w:val="00417FD8"/>
    <w:rsid w:val="0042008B"/>
    <w:rsid w:val="00420248"/>
    <w:rsid w:val="00420314"/>
    <w:rsid w:val="004203AF"/>
    <w:rsid w:val="004203F1"/>
    <w:rsid w:val="004204FD"/>
    <w:rsid w:val="004205F7"/>
    <w:rsid w:val="004206CD"/>
    <w:rsid w:val="00420871"/>
    <w:rsid w:val="00420967"/>
    <w:rsid w:val="00420C04"/>
    <w:rsid w:val="00420C90"/>
    <w:rsid w:val="00420D1C"/>
    <w:rsid w:val="00420DEA"/>
    <w:rsid w:val="00420E7B"/>
    <w:rsid w:val="00420FE5"/>
    <w:rsid w:val="00420FEA"/>
    <w:rsid w:val="0042106C"/>
    <w:rsid w:val="004211F3"/>
    <w:rsid w:val="00421480"/>
    <w:rsid w:val="00421487"/>
    <w:rsid w:val="004214C9"/>
    <w:rsid w:val="0042189B"/>
    <w:rsid w:val="0042196E"/>
    <w:rsid w:val="00421AC7"/>
    <w:rsid w:val="00421CDD"/>
    <w:rsid w:val="00421F94"/>
    <w:rsid w:val="00422213"/>
    <w:rsid w:val="004222BA"/>
    <w:rsid w:val="004222D8"/>
    <w:rsid w:val="0042237F"/>
    <w:rsid w:val="00422560"/>
    <w:rsid w:val="004225A5"/>
    <w:rsid w:val="004225FE"/>
    <w:rsid w:val="0042274D"/>
    <w:rsid w:val="0042277A"/>
    <w:rsid w:val="00422856"/>
    <w:rsid w:val="00422952"/>
    <w:rsid w:val="00422990"/>
    <w:rsid w:val="00422A48"/>
    <w:rsid w:val="00422B24"/>
    <w:rsid w:val="00422B38"/>
    <w:rsid w:val="00422B90"/>
    <w:rsid w:val="00422BE9"/>
    <w:rsid w:val="00422C56"/>
    <w:rsid w:val="00422D83"/>
    <w:rsid w:val="00422F45"/>
    <w:rsid w:val="00422F89"/>
    <w:rsid w:val="00422FD4"/>
    <w:rsid w:val="00423081"/>
    <w:rsid w:val="00423083"/>
    <w:rsid w:val="004230AF"/>
    <w:rsid w:val="00423301"/>
    <w:rsid w:val="004234BD"/>
    <w:rsid w:val="00423573"/>
    <w:rsid w:val="004235F6"/>
    <w:rsid w:val="004239DD"/>
    <w:rsid w:val="00423A6C"/>
    <w:rsid w:val="00423AC7"/>
    <w:rsid w:val="00423C67"/>
    <w:rsid w:val="00423CEA"/>
    <w:rsid w:val="00423FE2"/>
    <w:rsid w:val="00424107"/>
    <w:rsid w:val="00424491"/>
    <w:rsid w:val="00424523"/>
    <w:rsid w:val="00424589"/>
    <w:rsid w:val="004246F9"/>
    <w:rsid w:val="00424702"/>
    <w:rsid w:val="00424B21"/>
    <w:rsid w:val="00424D30"/>
    <w:rsid w:val="00424E66"/>
    <w:rsid w:val="0042509B"/>
    <w:rsid w:val="004250EC"/>
    <w:rsid w:val="0042512E"/>
    <w:rsid w:val="00425166"/>
    <w:rsid w:val="00425217"/>
    <w:rsid w:val="00425259"/>
    <w:rsid w:val="00425354"/>
    <w:rsid w:val="004253E5"/>
    <w:rsid w:val="00425504"/>
    <w:rsid w:val="0042550A"/>
    <w:rsid w:val="00425615"/>
    <w:rsid w:val="004256C2"/>
    <w:rsid w:val="004257B1"/>
    <w:rsid w:val="00425A2A"/>
    <w:rsid w:val="00425A2E"/>
    <w:rsid w:val="00425CFD"/>
    <w:rsid w:val="00425F68"/>
    <w:rsid w:val="00425FBE"/>
    <w:rsid w:val="00426043"/>
    <w:rsid w:val="00426392"/>
    <w:rsid w:val="004263D2"/>
    <w:rsid w:val="0042642F"/>
    <w:rsid w:val="0042654F"/>
    <w:rsid w:val="00426559"/>
    <w:rsid w:val="0042658D"/>
    <w:rsid w:val="00426654"/>
    <w:rsid w:val="00426668"/>
    <w:rsid w:val="0042674E"/>
    <w:rsid w:val="0042686B"/>
    <w:rsid w:val="00426A5E"/>
    <w:rsid w:val="00426BF4"/>
    <w:rsid w:val="00426D7D"/>
    <w:rsid w:val="00426EB4"/>
    <w:rsid w:val="004270A0"/>
    <w:rsid w:val="00427153"/>
    <w:rsid w:val="00427166"/>
    <w:rsid w:val="00427297"/>
    <w:rsid w:val="004273C8"/>
    <w:rsid w:val="0042764C"/>
    <w:rsid w:val="00427701"/>
    <w:rsid w:val="0042775E"/>
    <w:rsid w:val="004277C4"/>
    <w:rsid w:val="00427A06"/>
    <w:rsid w:val="00427A6D"/>
    <w:rsid w:val="00427A7A"/>
    <w:rsid w:val="00427AC1"/>
    <w:rsid w:val="00427B38"/>
    <w:rsid w:val="00427B43"/>
    <w:rsid w:val="00427CD2"/>
    <w:rsid w:val="00430138"/>
    <w:rsid w:val="00430167"/>
    <w:rsid w:val="0043021F"/>
    <w:rsid w:val="0043022A"/>
    <w:rsid w:val="004302D1"/>
    <w:rsid w:val="00430325"/>
    <w:rsid w:val="0043038A"/>
    <w:rsid w:val="00430426"/>
    <w:rsid w:val="004304A3"/>
    <w:rsid w:val="0043070C"/>
    <w:rsid w:val="00430C23"/>
    <w:rsid w:val="00430CC5"/>
    <w:rsid w:val="00430D55"/>
    <w:rsid w:val="00430D67"/>
    <w:rsid w:val="00431226"/>
    <w:rsid w:val="004312AA"/>
    <w:rsid w:val="004312C7"/>
    <w:rsid w:val="00431346"/>
    <w:rsid w:val="00431362"/>
    <w:rsid w:val="00431612"/>
    <w:rsid w:val="0043162D"/>
    <w:rsid w:val="004316A1"/>
    <w:rsid w:val="0043174B"/>
    <w:rsid w:val="00431916"/>
    <w:rsid w:val="0043195D"/>
    <w:rsid w:val="00431C50"/>
    <w:rsid w:val="00431D33"/>
    <w:rsid w:val="00431F5A"/>
    <w:rsid w:val="00431F8C"/>
    <w:rsid w:val="00431FC3"/>
    <w:rsid w:val="00432030"/>
    <w:rsid w:val="0043208D"/>
    <w:rsid w:val="00432099"/>
    <w:rsid w:val="004320D4"/>
    <w:rsid w:val="004321BC"/>
    <w:rsid w:val="004322C6"/>
    <w:rsid w:val="004322ED"/>
    <w:rsid w:val="00432374"/>
    <w:rsid w:val="004323B9"/>
    <w:rsid w:val="00432479"/>
    <w:rsid w:val="00432522"/>
    <w:rsid w:val="00432524"/>
    <w:rsid w:val="00432585"/>
    <w:rsid w:val="004325C6"/>
    <w:rsid w:val="0043262F"/>
    <w:rsid w:val="00432673"/>
    <w:rsid w:val="00432840"/>
    <w:rsid w:val="0043287A"/>
    <w:rsid w:val="00432886"/>
    <w:rsid w:val="004328BF"/>
    <w:rsid w:val="00432AA3"/>
    <w:rsid w:val="00432AF6"/>
    <w:rsid w:val="00432B97"/>
    <w:rsid w:val="00432C7F"/>
    <w:rsid w:val="00432E6E"/>
    <w:rsid w:val="0043303C"/>
    <w:rsid w:val="00433357"/>
    <w:rsid w:val="00433688"/>
    <w:rsid w:val="00433728"/>
    <w:rsid w:val="0043376B"/>
    <w:rsid w:val="0043388E"/>
    <w:rsid w:val="004339BF"/>
    <w:rsid w:val="004339FD"/>
    <w:rsid w:val="00433B7F"/>
    <w:rsid w:val="00433C25"/>
    <w:rsid w:val="00433C54"/>
    <w:rsid w:val="00433C5B"/>
    <w:rsid w:val="00433C6E"/>
    <w:rsid w:val="00433CEE"/>
    <w:rsid w:val="00433E40"/>
    <w:rsid w:val="00433ECF"/>
    <w:rsid w:val="00433F01"/>
    <w:rsid w:val="00433F37"/>
    <w:rsid w:val="004341A8"/>
    <w:rsid w:val="004341EC"/>
    <w:rsid w:val="00434400"/>
    <w:rsid w:val="0043459F"/>
    <w:rsid w:val="00434BF3"/>
    <w:rsid w:val="00434C66"/>
    <w:rsid w:val="00434CCE"/>
    <w:rsid w:val="00434E01"/>
    <w:rsid w:val="0043503A"/>
    <w:rsid w:val="0043506D"/>
    <w:rsid w:val="004350E6"/>
    <w:rsid w:val="0043539F"/>
    <w:rsid w:val="004354E7"/>
    <w:rsid w:val="00435A22"/>
    <w:rsid w:val="00435A96"/>
    <w:rsid w:val="00435C37"/>
    <w:rsid w:val="00435DCB"/>
    <w:rsid w:val="00435ECF"/>
    <w:rsid w:val="00435FAB"/>
    <w:rsid w:val="0043612C"/>
    <w:rsid w:val="00436303"/>
    <w:rsid w:val="00436815"/>
    <w:rsid w:val="004368D2"/>
    <w:rsid w:val="004369D7"/>
    <w:rsid w:val="00436ABC"/>
    <w:rsid w:val="00436D60"/>
    <w:rsid w:val="00436E5A"/>
    <w:rsid w:val="00436F9B"/>
    <w:rsid w:val="00436FC6"/>
    <w:rsid w:val="0043709C"/>
    <w:rsid w:val="00437152"/>
    <w:rsid w:val="0043721B"/>
    <w:rsid w:val="004372B9"/>
    <w:rsid w:val="004373F9"/>
    <w:rsid w:val="004375A1"/>
    <w:rsid w:val="00437619"/>
    <w:rsid w:val="004376CC"/>
    <w:rsid w:val="0043779A"/>
    <w:rsid w:val="004378A6"/>
    <w:rsid w:val="004378FF"/>
    <w:rsid w:val="00437944"/>
    <w:rsid w:val="00437964"/>
    <w:rsid w:val="00437B0D"/>
    <w:rsid w:val="00437B4E"/>
    <w:rsid w:val="00437C8B"/>
    <w:rsid w:val="00437CF9"/>
    <w:rsid w:val="00437DFD"/>
    <w:rsid w:val="00437E05"/>
    <w:rsid w:val="00437F17"/>
    <w:rsid w:val="0043DD3B"/>
    <w:rsid w:val="0044001F"/>
    <w:rsid w:val="004400D9"/>
    <w:rsid w:val="0044030E"/>
    <w:rsid w:val="00440326"/>
    <w:rsid w:val="004404FD"/>
    <w:rsid w:val="0044051F"/>
    <w:rsid w:val="00440566"/>
    <w:rsid w:val="00440620"/>
    <w:rsid w:val="00440651"/>
    <w:rsid w:val="00440938"/>
    <w:rsid w:val="00440966"/>
    <w:rsid w:val="0044098D"/>
    <w:rsid w:val="00440A15"/>
    <w:rsid w:val="00440A96"/>
    <w:rsid w:val="00440B07"/>
    <w:rsid w:val="00440CAE"/>
    <w:rsid w:val="00440D6B"/>
    <w:rsid w:val="00440DB6"/>
    <w:rsid w:val="00440DE0"/>
    <w:rsid w:val="00440F5D"/>
    <w:rsid w:val="004412D1"/>
    <w:rsid w:val="004415C9"/>
    <w:rsid w:val="004416E7"/>
    <w:rsid w:val="004416EE"/>
    <w:rsid w:val="0044172A"/>
    <w:rsid w:val="004417B0"/>
    <w:rsid w:val="00441825"/>
    <w:rsid w:val="00441968"/>
    <w:rsid w:val="00441983"/>
    <w:rsid w:val="00441D61"/>
    <w:rsid w:val="00441D6B"/>
    <w:rsid w:val="004420C3"/>
    <w:rsid w:val="004421FA"/>
    <w:rsid w:val="0044222C"/>
    <w:rsid w:val="0044227C"/>
    <w:rsid w:val="0044261A"/>
    <w:rsid w:val="00442751"/>
    <w:rsid w:val="0044288A"/>
    <w:rsid w:val="00442937"/>
    <w:rsid w:val="00442A72"/>
    <w:rsid w:val="00442B3C"/>
    <w:rsid w:val="00442BFA"/>
    <w:rsid w:val="00442C99"/>
    <w:rsid w:val="00442D71"/>
    <w:rsid w:val="00442E57"/>
    <w:rsid w:val="00442EA2"/>
    <w:rsid w:val="0044304F"/>
    <w:rsid w:val="0044306B"/>
    <w:rsid w:val="0044325E"/>
    <w:rsid w:val="00443276"/>
    <w:rsid w:val="0044331A"/>
    <w:rsid w:val="00443459"/>
    <w:rsid w:val="00443537"/>
    <w:rsid w:val="00443777"/>
    <w:rsid w:val="00443831"/>
    <w:rsid w:val="00443832"/>
    <w:rsid w:val="00443982"/>
    <w:rsid w:val="00443A87"/>
    <w:rsid w:val="00443A94"/>
    <w:rsid w:val="00443B8E"/>
    <w:rsid w:val="00443B91"/>
    <w:rsid w:val="00443D01"/>
    <w:rsid w:val="00443D38"/>
    <w:rsid w:val="00443D80"/>
    <w:rsid w:val="00443DEA"/>
    <w:rsid w:val="004440C2"/>
    <w:rsid w:val="004440D4"/>
    <w:rsid w:val="004441AF"/>
    <w:rsid w:val="004443D1"/>
    <w:rsid w:val="004444D6"/>
    <w:rsid w:val="004444DF"/>
    <w:rsid w:val="00444605"/>
    <w:rsid w:val="0044473E"/>
    <w:rsid w:val="00444780"/>
    <w:rsid w:val="004447C2"/>
    <w:rsid w:val="00444AD6"/>
    <w:rsid w:val="00444BF7"/>
    <w:rsid w:val="00444CCB"/>
    <w:rsid w:val="00444D24"/>
    <w:rsid w:val="00444D4B"/>
    <w:rsid w:val="00444D8C"/>
    <w:rsid w:val="00444F8E"/>
    <w:rsid w:val="00444FFC"/>
    <w:rsid w:val="0044528E"/>
    <w:rsid w:val="00445445"/>
    <w:rsid w:val="004455B1"/>
    <w:rsid w:val="004456E5"/>
    <w:rsid w:val="004456ED"/>
    <w:rsid w:val="0044573E"/>
    <w:rsid w:val="004457C4"/>
    <w:rsid w:val="004457FB"/>
    <w:rsid w:val="004459D7"/>
    <w:rsid w:val="00445C2F"/>
    <w:rsid w:val="00445DC7"/>
    <w:rsid w:val="00445EB3"/>
    <w:rsid w:val="00446231"/>
    <w:rsid w:val="00446334"/>
    <w:rsid w:val="0044638F"/>
    <w:rsid w:val="004464D0"/>
    <w:rsid w:val="0044651A"/>
    <w:rsid w:val="004466D5"/>
    <w:rsid w:val="004466F1"/>
    <w:rsid w:val="00446936"/>
    <w:rsid w:val="004469F2"/>
    <w:rsid w:val="00446BB5"/>
    <w:rsid w:val="00446BC7"/>
    <w:rsid w:val="00446BD1"/>
    <w:rsid w:val="00446CBC"/>
    <w:rsid w:val="00446CD4"/>
    <w:rsid w:val="00446D49"/>
    <w:rsid w:val="00447072"/>
    <w:rsid w:val="004470C8"/>
    <w:rsid w:val="0044728C"/>
    <w:rsid w:val="0044751C"/>
    <w:rsid w:val="0044771E"/>
    <w:rsid w:val="0044774C"/>
    <w:rsid w:val="00447782"/>
    <w:rsid w:val="004477D9"/>
    <w:rsid w:val="00447B2C"/>
    <w:rsid w:val="00447B59"/>
    <w:rsid w:val="00447CFA"/>
    <w:rsid w:val="00447EC7"/>
    <w:rsid w:val="0044F6DD"/>
    <w:rsid w:val="004500D4"/>
    <w:rsid w:val="00450153"/>
    <w:rsid w:val="0045019C"/>
    <w:rsid w:val="004503E0"/>
    <w:rsid w:val="0045052F"/>
    <w:rsid w:val="004506C3"/>
    <w:rsid w:val="004506CF"/>
    <w:rsid w:val="00450702"/>
    <w:rsid w:val="004507F9"/>
    <w:rsid w:val="004508BA"/>
    <w:rsid w:val="00450AE8"/>
    <w:rsid w:val="00450C0E"/>
    <w:rsid w:val="00450C8C"/>
    <w:rsid w:val="00450CC3"/>
    <w:rsid w:val="00450D40"/>
    <w:rsid w:val="00450D95"/>
    <w:rsid w:val="00451107"/>
    <w:rsid w:val="00451486"/>
    <w:rsid w:val="004514AA"/>
    <w:rsid w:val="0045155E"/>
    <w:rsid w:val="00451919"/>
    <w:rsid w:val="0045191B"/>
    <w:rsid w:val="00451B57"/>
    <w:rsid w:val="00451B85"/>
    <w:rsid w:val="00451C5A"/>
    <w:rsid w:val="00451CC8"/>
    <w:rsid w:val="00451FF3"/>
    <w:rsid w:val="00452045"/>
    <w:rsid w:val="004521A6"/>
    <w:rsid w:val="0045228E"/>
    <w:rsid w:val="00452306"/>
    <w:rsid w:val="00452411"/>
    <w:rsid w:val="00452585"/>
    <w:rsid w:val="00452AE4"/>
    <w:rsid w:val="00452AE5"/>
    <w:rsid w:val="00452B6D"/>
    <w:rsid w:val="00452CDA"/>
    <w:rsid w:val="00452D20"/>
    <w:rsid w:val="00452DBF"/>
    <w:rsid w:val="00452E66"/>
    <w:rsid w:val="00452E85"/>
    <w:rsid w:val="00453310"/>
    <w:rsid w:val="0045353D"/>
    <w:rsid w:val="0045360D"/>
    <w:rsid w:val="0045380F"/>
    <w:rsid w:val="004538A4"/>
    <w:rsid w:val="00453981"/>
    <w:rsid w:val="00453C12"/>
    <w:rsid w:val="00453C5D"/>
    <w:rsid w:val="00453CD5"/>
    <w:rsid w:val="00453D7B"/>
    <w:rsid w:val="00453E7F"/>
    <w:rsid w:val="00453E86"/>
    <w:rsid w:val="00453EA9"/>
    <w:rsid w:val="00454083"/>
    <w:rsid w:val="004540DA"/>
    <w:rsid w:val="00454223"/>
    <w:rsid w:val="0045430B"/>
    <w:rsid w:val="00454382"/>
    <w:rsid w:val="004543D6"/>
    <w:rsid w:val="004543DD"/>
    <w:rsid w:val="00454613"/>
    <w:rsid w:val="004546F3"/>
    <w:rsid w:val="004546FE"/>
    <w:rsid w:val="0045476C"/>
    <w:rsid w:val="00454979"/>
    <w:rsid w:val="004549AC"/>
    <w:rsid w:val="00454A70"/>
    <w:rsid w:val="00454B1A"/>
    <w:rsid w:val="00454B3A"/>
    <w:rsid w:val="00454DFF"/>
    <w:rsid w:val="00454FE1"/>
    <w:rsid w:val="00455030"/>
    <w:rsid w:val="0045503A"/>
    <w:rsid w:val="004551CF"/>
    <w:rsid w:val="00455252"/>
    <w:rsid w:val="00455308"/>
    <w:rsid w:val="00455425"/>
    <w:rsid w:val="00455590"/>
    <w:rsid w:val="00455662"/>
    <w:rsid w:val="0045569D"/>
    <w:rsid w:val="004556E8"/>
    <w:rsid w:val="00455795"/>
    <w:rsid w:val="004557C3"/>
    <w:rsid w:val="00455A0C"/>
    <w:rsid w:val="00455A5E"/>
    <w:rsid w:val="00455AA4"/>
    <w:rsid w:val="00455C2D"/>
    <w:rsid w:val="00455D4C"/>
    <w:rsid w:val="00455E9C"/>
    <w:rsid w:val="00455F24"/>
    <w:rsid w:val="00456003"/>
    <w:rsid w:val="004560D1"/>
    <w:rsid w:val="00456257"/>
    <w:rsid w:val="0045633E"/>
    <w:rsid w:val="00456347"/>
    <w:rsid w:val="00456370"/>
    <w:rsid w:val="00456425"/>
    <w:rsid w:val="0045657D"/>
    <w:rsid w:val="004566D2"/>
    <w:rsid w:val="00456717"/>
    <w:rsid w:val="00456798"/>
    <w:rsid w:val="004567A3"/>
    <w:rsid w:val="00456947"/>
    <w:rsid w:val="004569CC"/>
    <w:rsid w:val="00456A20"/>
    <w:rsid w:val="00456A2D"/>
    <w:rsid w:val="00456B3E"/>
    <w:rsid w:val="00456C43"/>
    <w:rsid w:val="00456CD5"/>
    <w:rsid w:val="00456CF9"/>
    <w:rsid w:val="00456EA6"/>
    <w:rsid w:val="00456F4F"/>
    <w:rsid w:val="00456F86"/>
    <w:rsid w:val="00456F9A"/>
    <w:rsid w:val="00456FB4"/>
    <w:rsid w:val="00457048"/>
    <w:rsid w:val="00457290"/>
    <w:rsid w:val="004573CF"/>
    <w:rsid w:val="004574B5"/>
    <w:rsid w:val="004575C5"/>
    <w:rsid w:val="0045767C"/>
    <w:rsid w:val="00457686"/>
    <w:rsid w:val="004579A3"/>
    <w:rsid w:val="00457B27"/>
    <w:rsid w:val="00457C2B"/>
    <w:rsid w:val="00457CDB"/>
    <w:rsid w:val="00457E89"/>
    <w:rsid w:val="0046016F"/>
    <w:rsid w:val="004601C4"/>
    <w:rsid w:val="00460303"/>
    <w:rsid w:val="0046033C"/>
    <w:rsid w:val="004604B1"/>
    <w:rsid w:val="004606EB"/>
    <w:rsid w:val="00460B07"/>
    <w:rsid w:val="00460BD1"/>
    <w:rsid w:val="00460CA0"/>
    <w:rsid w:val="00460DC6"/>
    <w:rsid w:val="00460EED"/>
    <w:rsid w:val="00460F21"/>
    <w:rsid w:val="00460FD4"/>
    <w:rsid w:val="00461081"/>
    <w:rsid w:val="0046111C"/>
    <w:rsid w:val="00461136"/>
    <w:rsid w:val="00461142"/>
    <w:rsid w:val="00461207"/>
    <w:rsid w:val="00461253"/>
    <w:rsid w:val="004612D8"/>
    <w:rsid w:val="00461378"/>
    <w:rsid w:val="0046193D"/>
    <w:rsid w:val="004619DF"/>
    <w:rsid w:val="004619E2"/>
    <w:rsid w:val="00461B32"/>
    <w:rsid w:val="00461D13"/>
    <w:rsid w:val="00461E81"/>
    <w:rsid w:val="00461E8D"/>
    <w:rsid w:val="00461EE2"/>
    <w:rsid w:val="004620D3"/>
    <w:rsid w:val="004623CF"/>
    <w:rsid w:val="00462410"/>
    <w:rsid w:val="0046252C"/>
    <w:rsid w:val="00462533"/>
    <w:rsid w:val="00462556"/>
    <w:rsid w:val="0046276E"/>
    <w:rsid w:val="0046282A"/>
    <w:rsid w:val="004628EF"/>
    <w:rsid w:val="0046290C"/>
    <w:rsid w:val="0046290F"/>
    <w:rsid w:val="00462B64"/>
    <w:rsid w:val="00462D5E"/>
    <w:rsid w:val="00462E46"/>
    <w:rsid w:val="00462E8C"/>
    <w:rsid w:val="00462EAA"/>
    <w:rsid w:val="00462FA1"/>
    <w:rsid w:val="00463170"/>
    <w:rsid w:val="00463254"/>
    <w:rsid w:val="0046330A"/>
    <w:rsid w:val="00463398"/>
    <w:rsid w:val="00463530"/>
    <w:rsid w:val="004635C7"/>
    <w:rsid w:val="0046385D"/>
    <w:rsid w:val="004638C5"/>
    <w:rsid w:val="0046393A"/>
    <w:rsid w:val="00463AF9"/>
    <w:rsid w:val="00463BA3"/>
    <w:rsid w:val="00463FCC"/>
    <w:rsid w:val="00463FDB"/>
    <w:rsid w:val="00464001"/>
    <w:rsid w:val="00464089"/>
    <w:rsid w:val="00464257"/>
    <w:rsid w:val="00464287"/>
    <w:rsid w:val="0046480B"/>
    <w:rsid w:val="0046486F"/>
    <w:rsid w:val="00464A36"/>
    <w:rsid w:val="00464ABB"/>
    <w:rsid w:val="00464BE6"/>
    <w:rsid w:val="00464C47"/>
    <w:rsid w:val="00464C67"/>
    <w:rsid w:val="00464D27"/>
    <w:rsid w:val="00465058"/>
    <w:rsid w:val="00465116"/>
    <w:rsid w:val="004651FA"/>
    <w:rsid w:val="004652EF"/>
    <w:rsid w:val="004653BE"/>
    <w:rsid w:val="0046563B"/>
    <w:rsid w:val="00465789"/>
    <w:rsid w:val="004658F5"/>
    <w:rsid w:val="00465923"/>
    <w:rsid w:val="00465A32"/>
    <w:rsid w:val="00465A4C"/>
    <w:rsid w:val="00465A8E"/>
    <w:rsid w:val="00465B57"/>
    <w:rsid w:val="00465BB4"/>
    <w:rsid w:val="00465BF2"/>
    <w:rsid w:val="00465C47"/>
    <w:rsid w:val="00465DCD"/>
    <w:rsid w:val="00465E0A"/>
    <w:rsid w:val="00465ED7"/>
    <w:rsid w:val="00465F34"/>
    <w:rsid w:val="00465F40"/>
    <w:rsid w:val="00465F61"/>
    <w:rsid w:val="00465F81"/>
    <w:rsid w:val="00465FD6"/>
    <w:rsid w:val="00466072"/>
    <w:rsid w:val="004660D9"/>
    <w:rsid w:val="00466318"/>
    <w:rsid w:val="00466531"/>
    <w:rsid w:val="00466568"/>
    <w:rsid w:val="004665D2"/>
    <w:rsid w:val="00466781"/>
    <w:rsid w:val="004668F6"/>
    <w:rsid w:val="004669FE"/>
    <w:rsid w:val="00466AA2"/>
    <w:rsid w:val="00466D55"/>
    <w:rsid w:val="00466E1D"/>
    <w:rsid w:val="00466E62"/>
    <w:rsid w:val="00466E8A"/>
    <w:rsid w:val="0046714F"/>
    <w:rsid w:val="0046719D"/>
    <w:rsid w:val="004671C6"/>
    <w:rsid w:val="004671DE"/>
    <w:rsid w:val="004672C6"/>
    <w:rsid w:val="004674CF"/>
    <w:rsid w:val="00467719"/>
    <w:rsid w:val="00467882"/>
    <w:rsid w:val="00467940"/>
    <w:rsid w:val="004679F0"/>
    <w:rsid w:val="00467D3B"/>
    <w:rsid w:val="00467D48"/>
    <w:rsid w:val="00467DBB"/>
    <w:rsid w:val="00467EC5"/>
    <w:rsid w:val="004700C8"/>
    <w:rsid w:val="004701B6"/>
    <w:rsid w:val="00470203"/>
    <w:rsid w:val="004703C7"/>
    <w:rsid w:val="0047043E"/>
    <w:rsid w:val="00470581"/>
    <w:rsid w:val="00470863"/>
    <w:rsid w:val="004708D3"/>
    <w:rsid w:val="00470D29"/>
    <w:rsid w:val="00470D32"/>
    <w:rsid w:val="00470F7E"/>
    <w:rsid w:val="00470FE9"/>
    <w:rsid w:val="00471159"/>
    <w:rsid w:val="00471188"/>
    <w:rsid w:val="0047121A"/>
    <w:rsid w:val="004712A5"/>
    <w:rsid w:val="00471428"/>
    <w:rsid w:val="00471519"/>
    <w:rsid w:val="004715C6"/>
    <w:rsid w:val="004715E4"/>
    <w:rsid w:val="004715EE"/>
    <w:rsid w:val="004716DE"/>
    <w:rsid w:val="004716F9"/>
    <w:rsid w:val="00471777"/>
    <w:rsid w:val="0047194C"/>
    <w:rsid w:val="00471A1D"/>
    <w:rsid w:val="00471C0D"/>
    <w:rsid w:val="00471C99"/>
    <w:rsid w:val="00471E89"/>
    <w:rsid w:val="00472136"/>
    <w:rsid w:val="00472471"/>
    <w:rsid w:val="00472754"/>
    <w:rsid w:val="0047275C"/>
    <w:rsid w:val="0047278D"/>
    <w:rsid w:val="00472969"/>
    <w:rsid w:val="004729F2"/>
    <w:rsid w:val="00472A1F"/>
    <w:rsid w:val="00472B30"/>
    <w:rsid w:val="00472C17"/>
    <w:rsid w:val="00472C51"/>
    <w:rsid w:val="00472C7C"/>
    <w:rsid w:val="004730FB"/>
    <w:rsid w:val="004731B4"/>
    <w:rsid w:val="00473484"/>
    <w:rsid w:val="004735E7"/>
    <w:rsid w:val="00473630"/>
    <w:rsid w:val="00473684"/>
    <w:rsid w:val="0047369B"/>
    <w:rsid w:val="00473717"/>
    <w:rsid w:val="00473726"/>
    <w:rsid w:val="004737F2"/>
    <w:rsid w:val="00473887"/>
    <w:rsid w:val="004738C0"/>
    <w:rsid w:val="0047394D"/>
    <w:rsid w:val="00473B66"/>
    <w:rsid w:val="00473CC7"/>
    <w:rsid w:val="00473E47"/>
    <w:rsid w:val="00473F88"/>
    <w:rsid w:val="004742E1"/>
    <w:rsid w:val="004748C8"/>
    <w:rsid w:val="00474962"/>
    <w:rsid w:val="00474992"/>
    <w:rsid w:val="00474B8D"/>
    <w:rsid w:val="00474D6E"/>
    <w:rsid w:val="00474DFC"/>
    <w:rsid w:val="00474E03"/>
    <w:rsid w:val="00474EFF"/>
    <w:rsid w:val="00475019"/>
    <w:rsid w:val="00475097"/>
    <w:rsid w:val="00475169"/>
    <w:rsid w:val="0047538A"/>
    <w:rsid w:val="00475607"/>
    <w:rsid w:val="00475668"/>
    <w:rsid w:val="00475736"/>
    <w:rsid w:val="004757A4"/>
    <w:rsid w:val="00475838"/>
    <w:rsid w:val="00475858"/>
    <w:rsid w:val="004758A2"/>
    <w:rsid w:val="00475C4C"/>
    <w:rsid w:val="00475C8F"/>
    <w:rsid w:val="00475DAA"/>
    <w:rsid w:val="00475E99"/>
    <w:rsid w:val="00475F00"/>
    <w:rsid w:val="00475F07"/>
    <w:rsid w:val="00475F22"/>
    <w:rsid w:val="00476502"/>
    <w:rsid w:val="00476544"/>
    <w:rsid w:val="004766B7"/>
    <w:rsid w:val="00476714"/>
    <w:rsid w:val="00476729"/>
    <w:rsid w:val="004767DF"/>
    <w:rsid w:val="0047696A"/>
    <w:rsid w:val="00476979"/>
    <w:rsid w:val="00476B01"/>
    <w:rsid w:val="00476D56"/>
    <w:rsid w:val="00476EFA"/>
    <w:rsid w:val="00477092"/>
    <w:rsid w:val="0047727B"/>
    <w:rsid w:val="00477531"/>
    <w:rsid w:val="0047758B"/>
    <w:rsid w:val="0047781C"/>
    <w:rsid w:val="0047789A"/>
    <w:rsid w:val="0047794B"/>
    <w:rsid w:val="00477A6D"/>
    <w:rsid w:val="00477A6F"/>
    <w:rsid w:val="00477B30"/>
    <w:rsid w:val="00477BC9"/>
    <w:rsid w:val="00477C4A"/>
    <w:rsid w:val="00477C4C"/>
    <w:rsid w:val="00477DD2"/>
    <w:rsid w:val="00477E43"/>
    <w:rsid w:val="00477EB8"/>
    <w:rsid w:val="00477F35"/>
    <w:rsid w:val="00477FF2"/>
    <w:rsid w:val="00480144"/>
    <w:rsid w:val="00480437"/>
    <w:rsid w:val="00480467"/>
    <w:rsid w:val="00480568"/>
    <w:rsid w:val="00480613"/>
    <w:rsid w:val="00480640"/>
    <w:rsid w:val="00480663"/>
    <w:rsid w:val="0048081A"/>
    <w:rsid w:val="00480A43"/>
    <w:rsid w:val="00480C90"/>
    <w:rsid w:val="00480CD6"/>
    <w:rsid w:val="00480D5A"/>
    <w:rsid w:val="00480E7C"/>
    <w:rsid w:val="00480EBF"/>
    <w:rsid w:val="0048100E"/>
    <w:rsid w:val="0048120A"/>
    <w:rsid w:val="0048147E"/>
    <w:rsid w:val="00481709"/>
    <w:rsid w:val="004818AB"/>
    <w:rsid w:val="004818FE"/>
    <w:rsid w:val="004819FB"/>
    <w:rsid w:val="00481B30"/>
    <w:rsid w:val="00481D18"/>
    <w:rsid w:val="00481D31"/>
    <w:rsid w:val="00481D57"/>
    <w:rsid w:val="00481FEE"/>
    <w:rsid w:val="00482000"/>
    <w:rsid w:val="0048200C"/>
    <w:rsid w:val="0048224B"/>
    <w:rsid w:val="004822EE"/>
    <w:rsid w:val="0048265F"/>
    <w:rsid w:val="0048273E"/>
    <w:rsid w:val="004827EE"/>
    <w:rsid w:val="004829B6"/>
    <w:rsid w:val="004829B7"/>
    <w:rsid w:val="004829C3"/>
    <w:rsid w:val="004829FD"/>
    <w:rsid w:val="00482A53"/>
    <w:rsid w:val="00482B86"/>
    <w:rsid w:val="00482D0A"/>
    <w:rsid w:val="00482E49"/>
    <w:rsid w:val="00482F24"/>
    <w:rsid w:val="00482F7E"/>
    <w:rsid w:val="004830FC"/>
    <w:rsid w:val="0048311C"/>
    <w:rsid w:val="0048314C"/>
    <w:rsid w:val="00483155"/>
    <w:rsid w:val="0048316A"/>
    <w:rsid w:val="00483273"/>
    <w:rsid w:val="004835B9"/>
    <w:rsid w:val="004836EF"/>
    <w:rsid w:val="00483743"/>
    <w:rsid w:val="004837F1"/>
    <w:rsid w:val="004838D5"/>
    <w:rsid w:val="00483B50"/>
    <w:rsid w:val="00483B6B"/>
    <w:rsid w:val="00483C64"/>
    <w:rsid w:val="00483C8D"/>
    <w:rsid w:val="00483DC9"/>
    <w:rsid w:val="00484086"/>
    <w:rsid w:val="00484121"/>
    <w:rsid w:val="0048423F"/>
    <w:rsid w:val="00484401"/>
    <w:rsid w:val="00484410"/>
    <w:rsid w:val="004844F5"/>
    <w:rsid w:val="004845CB"/>
    <w:rsid w:val="004845DE"/>
    <w:rsid w:val="00484601"/>
    <w:rsid w:val="00484756"/>
    <w:rsid w:val="00484854"/>
    <w:rsid w:val="0048486E"/>
    <w:rsid w:val="00484932"/>
    <w:rsid w:val="00484BF7"/>
    <w:rsid w:val="00484DD4"/>
    <w:rsid w:val="00484E07"/>
    <w:rsid w:val="00484E09"/>
    <w:rsid w:val="004853BF"/>
    <w:rsid w:val="00485444"/>
    <w:rsid w:val="004854AF"/>
    <w:rsid w:val="004855E9"/>
    <w:rsid w:val="0048564F"/>
    <w:rsid w:val="00485665"/>
    <w:rsid w:val="0048566E"/>
    <w:rsid w:val="0048568E"/>
    <w:rsid w:val="004858CB"/>
    <w:rsid w:val="00485993"/>
    <w:rsid w:val="0048599C"/>
    <w:rsid w:val="00485B4E"/>
    <w:rsid w:val="00485CB1"/>
    <w:rsid w:val="00485CC2"/>
    <w:rsid w:val="00485CDB"/>
    <w:rsid w:val="00485DA2"/>
    <w:rsid w:val="00485E21"/>
    <w:rsid w:val="0048619B"/>
    <w:rsid w:val="004864BD"/>
    <w:rsid w:val="00486589"/>
    <w:rsid w:val="0048660D"/>
    <w:rsid w:val="00486846"/>
    <w:rsid w:val="0048686F"/>
    <w:rsid w:val="00486878"/>
    <w:rsid w:val="00486B60"/>
    <w:rsid w:val="00486BEA"/>
    <w:rsid w:val="00486D5D"/>
    <w:rsid w:val="00486D81"/>
    <w:rsid w:val="00486F38"/>
    <w:rsid w:val="00486FE3"/>
    <w:rsid w:val="0048702C"/>
    <w:rsid w:val="0048714D"/>
    <w:rsid w:val="00487340"/>
    <w:rsid w:val="0048737B"/>
    <w:rsid w:val="004873BC"/>
    <w:rsid w:val="0048746E"/>
    <w:rsid w:val="004874C2"/>
    <w:rsid w:val="00487603"/>
    <w:rsid w:val="0048761D"/>
    <w:rsid w:val="00487691"/>
    <w:rsid w:val="0048770A"/>
    <w:rsid w:val="00487749"/>
    <w:rsid w:val="004878D7"/>
    <w:rsid w:val="00487AF5"/>
    <w:rsid w:val="00487AF7"/>
    <w:rsid w:val="00487C34"/>
    <w:rsid w:val="00487C46"/>
    <w:rsid w:val="00487C92"/>
    <w:rsid w:val="00487D2A"/>
    <w:rsid w:val="00487F70"/>
    <w:rsid w:val="00490053"/>
    <w:rsid w:val="004900A5"/>
    <w:rsid w:val="00490116"/>
    <w:rsid w:val="00490271"/>
    <w:rsid w:val="004902BA"/>
    <w:rsid w:val="004903D7"/>
    <w:rsid w:val="004903EF"/>
    <w:rsid w:val="0049040E"/>
    <w:rsid w:val="004905A1"/>
    <w:rsid w:val="00490643"/>
    <w:rsid w:val="00490775"/>
    <w:rsid w:val="0049080F"/>
    <w:rsid w:val="00490871"/>
    <w:rsid w:val="00490887"/>
    <w:rsid w:val="004908EB"/>
    <w:rsid w:val="004908F5"/>
    <w:rsid w:val="00490A0F"/>
    <w:rsid w:val="00490A44"/>
    <w:rsid w:val="00490B0A"/>
    <w:rsid w:val="00490E36"/>
    <w:rsid w:val="0049106D"/>
    <w:rsid w:val="0049113E"/>
    <w:rsid w:val="0049116F"/>
    <w:rsid w:val="004912A9"/>
    <w:rsid w:val="004913B2"/>
    <w:rsid w:val="004913EE"/>
    <w:rsid w:val="00491452"/>
    <w:rsid w:val="0049157E"/>
    <w:rsid w:val="004915FE"/>
    <w:rsid w:val="00491801"/>
    <w:rsid w:val="004918E8"/>
    <w:rsid w:val="004919E4"/>
    <w:rsid w:val="00491A21"/>
    <w:rsid w:val="00491BDF"/>
    <w:rsid w:val="00491C98"/>
    <w:rsid w:val="00491D3B"/>
    <w:rsid w:val="00491D42"/>
    <w:rsid w:val="00491D9C"/>
    <w:rsid w:val="00491DCA"/>
    <w:rsid w:val="00491F3C"/>
    <w:rsid w:val="00491F6A"/>
    <w:rsid w:val="00491F6E"/>
    <w:rsid w:val="00491F71"/>
    <w:rsid w:val="0049243D"/>
    <w:rsid w:val="00492564"/>
    <w:rsid w:val="00492596"/>
    <w:rsid w:val="00492759"/>
    <w:rsid w:val="0049296D"/>
    <w:rsid w:val="00492991"/>
    <w:rsid w:val="004929AA"/>
    <w:rsid w:val="004929FC"/>
    <w:rsid w:val="00492AD0"/>
    <w:rsid w:val="00492C52"/>
    <w:rsid w:val="00492CC1"/>
    <w:rsid w:val="00492D37"/>
    <w:rsid w:val="0049315A"/>
    <w:rsid w:val="0049319B"/>
    <w:rsid w:val="00493346"/>
    <w:rsid w:val="004935EB"/>
    <w:rsid w:val="00493641"/>
    <w:rsid w:val="0049364C"/>
    <w:rsid w:val="0049397A"/>
    <w:rsid w:val="00493B92"/>
    <w:rsid w:val="00493B96"/>
    <w:rsid w:val="00493D56"/>
    <w:rsid w:val="00493E42"/>
    <w:rsid w:val="00494074"/>
    <w:rsid w:val="00494183"/>
    <w:rsid w:val="004941A3"/>
    <w:rsid w:val="0049422B"/>
    <w:rsid w:val="004942A6"/>
    <w:rsid w:val="00494396"/>
    <w:rsid w:val="004943CD"/>
    <w:rsid w:val="00494617"/>
    <w:rsid w:val="004946FD"/>
    <w:rsid w:val="004947D0"/>
    <w:rsid w:val="0049499B"/>
    <w:rsid w:val="004949AE"/>
    <w:rsid w:val="00494A08"/>
    <w:rsid w:val="00494A80"/>
    <w:rsid w:val="00494CD1"/>
    <w:rsid w:val="00494D51"/>
    <w:rsid w:val="004952C4"/>
    <w:rsid w:val="004953D7"/>
    <w:rsid w:val="004956B6"/>
    <w:rsid w:val="0049590C"/>
    <w:rsid w:val="004959D7"/>
    <w:rsid w:val="00495C17"/>
    <w:rsid w:val="00495C31"/>
    <w:rsid w:val="00495C49"/>
    <w:rsid w:val="00495F96"/>
    <w:rsid w:val="00496014"/>
    <w:rsid w:val="00496084"/>
    <w:rsid w:val="00496168"/>
    <w:rsid w:val="0049616C"/>
    <w:rsid w:val="004963C1"/>
    <w:rsid w:val="004965AA"/>
    <w:rsid w:val="004965F7"/>
    <w:rsid w:val="004967FE"/>
    <w:rsid w:val="00496847"/>
    <w:rsid w:val="004968D3"/>
    <w:rsid w:val="00496A64"/>
    <w:rsid w:val="00496A96"/>
    <w:rsid w:val="00496B29"/>
    <w:rsid w:val="00496B6F"/>
    <w:rsid w:val="00496C3B"/>
    <w:rsid w:val="00496D4F"/>
    <w:rsid w:val="00496E0A"/>
    <w:rsid w:val="00496EE4"/>
    <w:rsid w:val="004970C3"/>
    <w:rsid w:val="00497310"/>
    <w:rsid w:val="00497535"/>
    <w:rsid w:val="00497757"/>
    <w:rsid w:val="00497B60"/>
    <w:rsid w:val="00497B9E"/>
    <w:rsid w:val="00497CA3"/>
    <w:rsid w:val="00497EBD"/>
    <w:rsid w:val="00497F3A"/>
    <w:rsid w:val="00497FDA"/>
    <w:rsid w:val="00497FDC"/>
    <w:rsid w:val="004A0169"/>
    <w:rsid w:val="004A02AA"/>
    <w:rsid w:val="004A02DA"/>
    <w:rsid w:val="004A02EA"/>
    <w:rsid w:val="004A036F"/>
    <w:rsid w:val="004A039B"/>
    <w:rsid w:val="004A06C9"/>
    <w:rsid w:val="004A070E"/>
    <w:rsid w:val="004A0853"/>
    <w:rsid w:val="004A0AA8"/>
    <w:rsid w:val="004A0B81"/>
    <w:rsid w:val="004A0CE8"/>
    <w:rsid w:val="004A101A"/>
    <w:rsid w:val="004A11B9"/>
    <w:rsid w:val="004A11FA"/>
    <w:rsid w:val="004A120E"/>
    <w:rsid w:val="004A1882"/>
    <w:rsid w:val="004A1982"/>
    <w:rsid w:val="004A19C8"/>
    <w:rsid w:val="004A19FD"/>
    <w:rsid w:val="004A1AAA"/>
    <w:rsid w:val="004A1B25"/>
    <w:rsid w:val="004A1D8C"/>
    <w:rsid w:val="004A1DC2"/>
    <w:rsid w:val="004A201E"/>
    <w:rsid w:val="004A203C"/>
    <w:rsid w:val="004A206E"/>
    <w:rsid w:val="004A20ED"/>
    <w:rsid w:val="004A2172"/>
    <w:rsid w:val="004A222D"/>
    <w:rsid w:val="004A2375"/>
    <w:rsid w:val="004A24B0"/>
    <w:rsid w:val="004A2567"/>
    <w:rsid w:val="004A262A"/>
    <w:rsid w:val="004A2693"/>
    <w:rsid w:val="004A2755"/>
    <w:rsid w:val="004A28C8"/>
    <w:rsid w:val="004A29D7"/>
    <w:rsid w:val="004A2A12"/>
    <w:rsid w:val="004A2CAE"/>
    <w:rsid w:val="004A2DDD"/>
    <w:rsid w:val="004A2E84"/>
    <w:rsid w:val="004A2F10"/>
    <w:rsid w:val="004A2F9E"/>
    <w:rsid w:val="004A300D"/>
    <w:rsid w:val="004A30C0"/>
    <w:rsid w:val="004A31AD"/>
    <w:rsid w:val="004A31CF"/>
    <w:rsid w:val="004A31D8"/>
    <w:rsid w:val="004A321B"/>
    <w:rsid w:val="004A323E"/>
    <w:rsid w:val="004A32C3"/>
    <w:rsid w:val="004A32F1"/>
    <w:rsid w:val="004A3348"/>
    <w:rsid w:val="004A342F"/>
    <w:rsid w:val="004A35CB"/>
    <w:rsid w:val="004A3707"/>
    <w:rsid w:val="004A3762"/>
    <w:rsid w:val="004A3946"/>
    <w:rsid w:val="004A398A"/>
    <w:rsid w:val="004A399E"/>
    <w:rsid w:val="004A39DC"/>
    <w:rsid w:val="004A3A2B"/>
    <w:rsid w:val="004A3B69"/>
    <w:rsid w:val="004A4175"/>
    <w:rsid w:val="004A43A7"/>
    <w:rsid w:val="004A43DF"/>
    <w:rsid w:val="004A443B"/>
    <w:rsid w:val="004A454D"/>
    <w:rsid w:val="004A46AB"/>
    <w:rsid w:val="004A46CB"/>
    <w:rsid w:val="004A46CD"/>
    <w:rsid w:val="004A47EC"/>
    <w:rsid w:val="004A48FE"/>
    <w:rsid w:val="004A4A0D"/>
    <w:rsid w:val="004A4A40"/>
    <w:rsid w:val="004A4A78"/>
    <w:rsid w:val="004A4AB0"/>
    <w:rsid w:val="004A513C"/>
    <w:rsid w:val="004A51CD"/>
    <w:rsid w:val="004A523D"/>
    <w:rsid w:val="004A5455"/>
    <w:rsid w:val="004A545B"/>
    <w:rsid w:val="004A54C7"/>
    <w:rsid w:val="004A556F"/>
    <w:rsid w:val="004A5626"/>
    <w:rsid w:val="004A56F5"/>
    <w:rsid w:val="004A5753"/>
    <w:rsid w:val="004A5958"/>
    <w:rsid w:val="004A59E3"/>
    <w:rsid w:val="004A5A6E"/>
    <w:rsid w:val="004A5D70"/>
    <w:rsid w:val="004A5FBE"/>
    <w:rsid w:val="004A62B6"/>
    <w:rsid w:val="004A630D"/>
    <w:rsid w:val="004A63A3"/>
    <w:rsid w:val="004A63F4"/>
    <w:rsid w:val="004A63F7"/>
    <w:rsid w:val="004A643F"/>
    <w:rsid w:val="004A64BF"/>
    <w:rsid w:val="004A64E3"/>
    <w:rsid w:val="004A6532"/>
    <w:rsid w:val="004A660E"/>
    <w:rsid w:val="004A667D"/>
    <w:rsid w:val="004A6867"/>
    <w:rsid w:val="004A6A23"/>
    <w:rsid w:val="004A6B15"/>
    <w:rsid w:val="004A6D5B"/>
    <w:rsid w:val="004A6DB7"/>
    <w:rsid w:val="004A6DFA"/>
    <w:rsid w:val="004A6EDF"/>
    <w:rsid w:val="004A7007"/>
    <w:rsid w:val="004A70BC"/>
    <w:rsid w:val="004A711B"/>
    <w:rsid w:val="004A7468"/>
    <w:rsid w:val="004A7475"/>
    <w:rsid w:val="004A755F"/>
    <w:rsid w:val="004A76F4"/>
    <w:rsid w:val="004A7791"/>
    <w:rsid w:val="004A7842"/>
    <w:rsid w:val="004A7844"/>
    <w:rsid w:val="004A7864"/>
    <w:rsid w:val="004A7934"/>
    <w:rsid w:val="004A7A0F"/>
    <w:rsid w:val="004A7A9D"/>
    <w:rsid w:val="004A7E2E"/>
    <w:rsid w:val="004A7E47"/>
    <w:rsid w:val="004A7EC6"/>
    <w:rsid w:val="004B03AA"/>
    <w:rsid w:val="004B03F3"/>
    <w:rsid w:val="004B0524"/>
    <w:rsid w:val="004B0820"/>
    <w:rsid w:val="004B08B5"/>
    <w:rsid w:val="004B08F7"/>
    <w:rsid w:val="004B094A"/>
    <w:rsid w:val="004B099B"/>
    <w:rsid w:val="004B0A01"/>
    <w:rsid w:val="004B0C74"/>
    <w:rsid w:val="004B0C78"/>
    <w:rsid w:val="004B0DC4"/>
    <w:rsid w:val="004B0E74"/>
    <w:rsid w:val="004B0E97"/>
    <w:rsid w:val="004B10AF"/>
    <w:rsid w:val="004B11B3"/>
    <w:rsid w:val="004B121B"/>
    <w:rsid w:val="004B129D"/>
    <w:rsid w:val="004B1461"/>
    <w:rsid w:val="004B1498"/>
    <w:rsid w:val="004B14CE"/>
    <w:rsid w:val="004B1588"/>
    <w:rsid w:val="004B15B1"/>
    <w:rsid w:val="004B1936"/>
    <w:rsid w:val="004B195C"/>
    <w:rsid w:val="004B1AA9"/>
    <w:rsid w:val="004B1B82"/>
    <w:rsid w:val="004B1BD6"/>
    <w:rsid w:val="004B1C04"/>
    <w:rsid w:val="004B1C30"/>
    <w:rsid w:val="004B1C85"/>
    <w:rsid w:val="004B1CD3"/>
    <w:rsid w:val="004B1CF1"/>
    <w:rsid w:val="004B1D07"/>
    <w:rsid w:val="004B1DB5"/>
    <w:rsid w:val="004B1DE4"/>
    <w:rsid w:val="004B1E27"/>
    <w:rsid w:val="004B1F9D"/>
    <w:rsid w:val="004B21ED"/>
    <w:rsid w:val="004B2262"/>
    <w:rsid w:val="004B2335"/>
    <w:rsid w:val="004B2601"/>
    <w:rsid w:val="004B2620"/>
    <w:rsid w:val="004B270E"/>
    <w:rsid w:val="004B2783"/>
    <w:rsid w:val="004B2844"/>
    <w:rsid w:val="004B2A73"/>
    <w:rsid w:val="004B2B72"/>
    <w:rsid w:val="004B2BAF"/>
    <w:rsid w:val="004B2CE0"/>
    <w:rsid w:val="004B2E2F"/>
    <w:rsid w:val="004B2E84"/>
    <w:rsid w:val="004B316A"/>
    <w:rsid w:val="004B3520"/>
    <w:rsid w:val="004B3693"/>
    <w:rsid w:val="004B36C5"/>
    <w:rsid w:val="004B3768"/>
    <w:rsid w:val="004B37D2"/>
    <w:rsid w:val="004B3833"/>
    <w:rsid w:val="004B38B3"/>
    <w:rsid w:val="004B3AC5"/>
    <w:rsid w:val="004B3C62"/>
    <w:rsid w:val="004B3DBE"/>
    <w:rsid w:val="004B3E1A"/>
    <w:rsid w:val="004B3EC9"/>
    <w:rsid w:val="004B3F90"/>
    <w:rsid w:val="004B3FCB"/>
    <w:rsid w:val="004B3FEA"/>
    <w:rsid w:val="004B41D3"/>
    <w:rsid w:val="004B42CB"/>
    <w:rsid w:val="004B4539"/>
    <w:rsid w:val="004B457A"/>
    <w:rsid w:val="004B4638"/>
    <w:rsid w:val="004B46D7"/>
    <w:rsid w:val="004B47D4"/>
    <w:rsid w:val="004B480E"/>
    <w:rsid w:val="004B4B57"/>
    <w:rsid w:val="004B4BF4"/>
    <w:rsid w:val="004B504B"/>
    <w:rsid w:val="004B51FC"/>
    <w:rsid w:val="004B5212"/>
    <w:rsid w:val="004B533F"/>
    <w:rsid w:val="004B5518"/>
    <w:rsid w:val="004B57CA"/>
    <w:rsid w:val="004B583C"/>
    <w:rsid w:val="004B594D"/>
    <w:rsid w:val="004B59E3"/>
    <w:rsid w:val="004B5A17"/>
    <w:rsid w:val="004B5A33"/>
    <w:rsid w:val="004B5A8D"/>
    <w:rsid w:val="004B5AF5"/>
    <w:rsid w:val="004B5B05"/>
    <w:rsid w:val="004B5BDE"/>
    <w:rsid w:val="004B5E33"/>
    <w:rsid w:val="004B5F8A"/>
    <w:rsid w:val="004B60E9"/>
    <w:rsid w:val="004B61DB"/>
    <w:rsid w:val="004B6850"/>
    <w:rsid w:val="004B6A8F"/>
    <w:rsid w:val="004B6C70"/>
    <w:rsid w:val="004B6D4C"/>
    <w:rsid w:val="004B6E74"/>
    <w:rsid w:val="004B70CA"/>
    <w:rsid w:val="004B7104"/>
    <w:rsid w:val="004B725E"/>
    <w:rsid w:val="004B7272"/>
    <w:rsid w:val="004B7404"/>
    <w:rsid w:val="004B7556"/>
    <w:rsid w:val="004B7765"/>
    <w:rsid w:val="004B7766"/>
    <w:rsid w:val="004B7797"/>
    <w:rsid w:val="004B7804"/>
    <w:rsid w:val="004B79D3"/>
    <w:rsid w:val="004B79EB"/>
    <w:rsid w:val="004B79ED"/>
    <w:rsid w:val="004B7A2E"/>
    <w:rsid w:val="004B7AEE"/>
    <w:rsid w:val="004B7B1E"/>
    <w:rsid w:val="004C00CB"/>
    <w:rsid w:val="004C0160"/>
    <w:rsid w:val="004C0246"/>
    <w:rsid w:val="004C02B6"/>
    <w:rsid w:val="004C02D8"/>
    <w:rsid w:val="004C03A0"/>
    <w:rsid w:val="004C03F8"/>
    <w:rsid w:val="004C0471"/>
    <w:rsid w:val="004C04D5"/>
    <w:rsid w:val="004C0648"/>
    <w:rsid w:val="004C0769"/>
    <w:rsid w:val="004C085B"/>
    <w:rsid w:val="004C094B"/>
    <w:rsid w:val="004C0975"/>
    <w:rsid w:val="004C09C5"/>
    <w:rsid w:val="004C0B8E"/>
    <w:rsid w:val="004C0F3B"/>
    <w:rsid w:val="004C0F8C"/>
    <w:rsid w:val="004C1031"/>
    <w:rsid w:val="004C1208"/>
    <w:rsid w:val="004C1243"/>
    <w:rsid w:val="004C1298"/>
    <w:rsid w:val="004C12FE"/>
    <w:rsid w:val="004C13D6"/>
    <w:rsid w:val="004C1969"/>
    <w:rsid w:val="004C19AD"/>
    <w:rsid w:val="004C19C5"/>
    <w:rsid w:val="004C1A1B"/>
    <w:rsid w:val="004C1BA6"/>
    <w:rsid w:val="004C1EB2"/>
    <w:rsid w:val="004C22F6"/>
    <w:rsid w:val="004C2317"/>
    <w:rsid w:val="004C2365"/>
    <w:rsid w:val="004C2450"/>
    <w:rsid w:val="004C26DA"/>
    <w:rsid w:val="004C26F1"/>
    <w:rsid w:val="004C2810"/>
    <w:rsid w:val="004C2890"/>
    <w:rsid w:val="004C2997"/>
    <w:rsid w:val="004C29DB"/>
    <w:rsid w:val="004C2B5F"/>
    <w:rsid w:val="004C2C6F"/>
    <w:rsid w:val="004C2D45"/>
    <w:rsid w:val="004C2D7A"/>
    <w:rsid w:val="004C2DAA"/>
    <w:rsid w:val="004C2DB8"/>
    <w:rsid w:val="004C2DE5"/>
    <w:rsid w:val="004C3449"/>
    <w:rsid w:val="004C35B7"/>
    <w:rsid w:val="004C372B"/>
    <w:rsid w:val="004C37F0"/>
    <w:rsid w:val="004C38A8"/>
    <w:rsid w:val="004C38E3"/>
    <w:rsid w:val="004C38FE"/>
    <w:rsid w:val="004C3948"/>
    <w:rsid w:val="004C39B2"/>
    <w:rsid w:val="004C3A05"/>
    <w:rsid w:val="004C3C6F"/>
    <w:rsid w:val="004C3CC6"/>
    <w:rsid w:val="004C3FB9"/>
    <w:rsid w:val="004C44A1"/>
    <w:rsid w:val="004C44E8"/>
    <w:rsid w:val="004C4531"/>
    <w:rsid w:val="004C4805"/>
    <w:rsid w:val="004C4823"/>
    <w:rsid w:val="004C4966"/>
    <w:rsid w:val="004C4C60"/>
    <w:rsid w:val="004C4C88"/>
    <w:rsid w:val="004C4D5F"/>
    <w:rsid w:val="004C4FEA"/>
    <w:rsid w:val="004C507A"/>
    <w:rsid w:val="004C50FE"/>
    <w:rsid w:val="004C510D"/>
    <w:rsid w:val="004C5168"/>
    <w:rsid w:val="004C5374"/>
    <w:rsid w:val="004C5441"/>
    <w:rsid w:val="004C5484"/>
    <w:rsid w:val="004C56A4"/>
    <w:rsid w:val="004C574F"/>
    <w:rsid w:val="004C5814"/>
    <w:rsid w:val="004C597A"/>
    <w:rsid w:val="004C5A7C"/>
    <w:rsid w:val="004C5B2C"/>
    <w:rsid w:val="004C5C11"/>
    <w:rsid w:val="004C5E37"/>
    <w:rsid w:val="004C5E3F"/>
    <w:rsid w:val="004C5EA6"/>
    <w:rsid w:val="004C60CA"/>
    <w:rsid w:val="004C622A"/>
    <w:rsid w:val="004C6317"/>
    <w:rsid w:val="004C643E"/>
    <w:rsid w:val="004C6504"/>
    <w:rsid w:val="004C6696"/>
    <w:rsid w:val="004C67F3"/>
    <w:rsid w:val="004C6907"/>
    <w:rsid w:val="004C6BAF"/>
    <w:rsid w:val="004C6D65"/>
    <w:rsid w:val="004C6DFE"/>
    <w:rsid w:val="004C6E7C"/>
    <w:rsid w:val="004C6F6C"/>
    <w:rsid w:val="004C7200"/>
    <w:rsid w:val="004C770C"/>
    <w:rsid w:val="004C78DB"/>
    <w:rsid w:val="004C78FA"/>
    <w:rsid w:val="004C7925"/>
    <w:rsid w:val="004C7A6B"/>
    <w:rsid w:val="004C7BD6"/>
    <w:rsid w:val="004C7DBD"/>
    <w:rsid w:val="004C7ED4"/>
    <w:rsid w:val="004C7F19"/>
    <w:rsid w:val="004C7F7D"/>
    <w:rsid w:val="004C9308"/>
    <w:rsid w:val="004D00C6"/>
    <w:rsid w:val="004D00F3"/>
    <w:rsid w:val="004D01A8"/>
    <w:rsid w:val="004D0308"/>
    <w:rsid w:val="004D05E0"/>
    <w:rsid w:val="004D086F"/>
    <w:rsid w:val="004D08AA"/>
    <w:rsid w:val="004D08DC"/>
    <w:rsid w:val="004D0982"/>
    <w:rsid w:val="004D0AEA"/>
    <w:rsid w:val="004D0D22"/>
    <w:rsid w:val="004D0F95"/>
    <w:rsid w:val="004D1141"/>
    <w:rsid w:val="004D1143"/>
    <w:rsid w:val="004D1212"/>
    <w:rsid w:val="004D133D"/>
    <w:rsid w:val="004D13C7"/>
    <w:rsid w:val="004D1671"/>
    <w:rsid w:val="004D168E"/>
    <w:rsid w:val="004D199C"/>
    <w:rsid w:val="004D1B08"/>
    <w:rsid w:val="004D1BE1"/>
    <w:rsid w:val="004D1C35"/>
    <w:rsid w:val="004D1C86"/>
    <w:rsid w:val="004D1C9D"/>
    <w:rsid w:val="004D1E80"/>
    <w:rsid w:val="004D1F0C"/>
    <w:rsid w:val="004D1FE5"/>
    <w:rsid w:val="004D2016"/>
    <w:rsid w:val="004D2107"/>
    <w:rsid w:val="004D21BA"/>
    <w:rsid w:val="004D22D8"/>
    <w:rsid w:val="004D22EF"/>
    <w:rsid w:val="004D23F4"/>
    <w:rsid w:val="004D25C0"/>
    <w:rsid w:val="004D2682"/>
    <w:rsid w:val="004D2725"/>
    <w:rsid w:val="004D2766"/>
    <w:rsid w:val="004D2776"/>
    <w:rsid w:val="004D28BB"/>
    <w:rsid w:val="004D2961"/>
    <w:rsid w:val="004D2978"/>
    <w:rsid w:val="004D2CE6"/>
    <w:rsid w:val="004D2D2D"/>
    <w:rsid w:val="004D2E41"/>
    <w:rsid w:val="004D2F67"/>
    <w:rsid w:val="004D2F9E"/>
    <w:rsid w:val="004D3009"/>
    <w:rsid w:val="004D329E"/>
    <w:rsid w:val="004D339F"/>
    <w:rsid w:val="004D33F6"/>
    <w:rsid w:val="004D345B"/>
    <w:rsid w:val="004D347A"/>
    <w:rsid w:val="004D35A7"/>
    <w:rsid w:val="004D35F8"/>
    <w:rsid w:val="004D375D"/>
    <w:rsid w:val="004D39A9"/>
    <w:rsid w:val="004D3A48"/>
    <w:rsid w:val="004D3A60"/>
    <w:rsid w:val="004D3AA0"/>
    <w:rsid w:val="004D3AB6"/>
    <w:rsid w:val="004D3AD9"/>
    <w:rsid w:val="004D3D16"/>
    <w:rsid w:val="004D3DDA"/>
    <w:rsid w:val="004D3FE9"/>
    <w:rsid w:val="004D408F"/>
    <w:rsid w:val="004D40CB"/>
    <w:rsid w:val="004D4378"/>
    <w:rsid w:val="004D45D7"/>
    <w:rsid w:val="004D470B"/>
    <w:rsid w:val="004D4810"/>
    <w:rsid w:val="004D4A43"/>
    <w:rsid w:val="004D4DF2"/>
    <w:rsid w:val="004D5092"/>
    <w:rsid w:val="004D51D5"/>
    <w:rsid w:val="004D54C6"/>
    <w:rsid w:val="004D557B"/>
    <w:rsid w:val="004D5692"/>
    <w:rsid w:val="004D57B3"/>
    <w:rsid w:val="004D5DE2"/>
    <w:rsid w:val="004D5E2F"/>
    <w:rsid w:val="004D5E54"/>
    <w:rsid w:val="004D5EE4"/>
    <w:rsid w:val="004D5F1D"/>
    <w:rsid w:val="004D6087"/>
    <w:rsid w:val="004D6143"/>
    <w:rsid w:val="004D6152"/>
    <w:rsid w:val="004D6416"/>
    <w:rsid w:val="004D6578"/>
    <w:rsid w:val="004D6584"/>
    <w:rsid w:val="004D662F"/>
    <w:rsid w:val="004D6832"/>
    <w:rsid w:val="004D687B"/>
    <w:rsid w:val="004D6AFC"/>
    <w:rsid w:val="004D6D06"/>
    <w:rsid w:val="004D6D32"/>
    <w:rsid w:val="004D6DBB"/>
    <w:rsid w:val="004D6E74"/>
    <w:rsid w:val="004D6F47"/>
    <w:rsid w:val="004D7090"/>
    <w:rsid w:val="004D71A5"/>
    <w:rsid w:val="004D7240"/>
    <w:rsid w:val="004D7282"/>
    <w:rsid w:val="004D72D6"/>
    <w:rsid w:val="004D738E"/>
    <w:rsid w:val="004D73B3"/>
    <w:rsid w:val="004D749F"/>
    <w:rsid w:val="004D74C2"/>
    <w:rsid w:val="004D7669"/>
    <w:rsid w:val="004D7730"/>
    <w:rsid w:val="004D77FD"/>
    <w:rsid w:val="004D7832"/>
    <w:rsid w:val="004D79DD"/>
    <w:rsid w:val="004D7AE2"/>
    <w:rsid w:val="004D7AF2"/>
    <w:rsid w:val="004D7B01"/>
    <w:rsid w:val="004D7B4A"/>
    <w:rsid w:val="004D7BE2"/>
    <w:rsid w:val="004D7BFE"/>
    <w:rsid w:val="004D7C17"/>
    <w:rsid w:val="004D7CD9"/>
    <w:rsid w:val="004D7D94"/>
    <w:rsid w:val="004E0317"/>
    <w:rsid w:val="004E03E8"/>
    <w:rsid w:val="004E053B"/>
    <w:rsid w:val="004E0604"/>
    <w:rsid w:val="004E0724"/>
    <w:rsid w:val="004E0AF4"/>
    <w:rsid w:val="004E0CB5"/>
    <w:rsid w:val="004E0E4D"/>
    <w:rsid w:val="004E11AE"/>
    <w:rsid w:val="004E13AE"/>
    <w:rsid w:val="004E13D9"/>
    <w:rsid w:val="004E1485"/>
    <w:rsid w:val="004E15EA"/>
    <w:rsid w:val="004E1BD5"/>
    <w:rsid w:val="004E1DC1"/>
    <w:rsid w:val="004E1E1C"/>
    <w:rsid w:val="004E1EA8"/>
    <w:rsid w:val="004E1EFA"/>
    <w:rsid w:val="004E1F7C"/>
    <w:rsid w:val="004E204B"/>
    <w:rsid w:val="004E212F"/>
    <w:rsid w:val="004E2141"/>
    <w:rsid w:val="004E2205"/>
    <w:rsid w:val="004E2236"/>
    <w:rsid w:val="004E224F"/>
    <w:rsid w:val="004E243E"/>
    <w:rsid w:val="004E2526"/>
    <w:rsid w:val="004E28E5"/>
    <w:rsid w:val="004E2D78"/>
    <w:rsid w:val="004E2EB7"/>
    <w:rsid w:val="004E2F55"/>
    <w:rsid w:val="004E300A"/>
    <w:rsid w:val="004E3063"/>
    <w:rsid w:val="004E326E"/>
    <w:rsid w:val="004E3347"/>
    <w:rsid w:val="004E3526"/>
    <w:rsid w:val="004E37EF"/>
    <w:rsid w:val="004E3D48"/>
    <w:rsid w:val="004E3FE0"/>
    <w:rsid w:val="004E4053"/>
    <w:rsid w:val="004E4113"/>
    <w:rsid w:val="004E4189"/>
    <w:rsid w:val="004E41E4"/>
    <w:rsid w:val="004E4203"/>
    <w:rsid w:val="004E4228"/>
    <w:rsid w:val="004E4454"/>
    <w:rsid w:val="004E44C6"/>
    <w:rsid w:val="004E468B"/>
    <w:rsid w:val="004E47B2"/>
    <w:rsid w:val="004E493F"/>
    <w:rsid w:val="004E495E"/>
    <w:rsid w:val="004E49C4"/>
    <w:rsid w:val="004E4A6D"/>
    <w:rsid w:val="004E4B35"/>
    <w:rsid w:val="004E4BBE"/>
    <w:rsid w:val="004E4C01"/>
    <w:rsid w:val="004E4E26"/>
    <w:rsid w:val="004E4EE4"/>
    <w:rsid w:val="004E51DF"/>
    <w:rsid w:val="004E5394"/>
    <w:rsid w:val="004E53AD"/>
    <w:rsid w:val="004E5572"/>
    <w:rsid w:val="004E5960"/>
    <w:rsid w:val="004E5B22"/>
    <w:rsid w:val="004E5B4F"/>
    <w:rsid w:val="004E5E89"/>
    <w:rsid w:val="004E618B"/>
    <w:rsid w:val="004E6434"/>
    <w:rsid w:val="004E65EF"/>
    <w:rsid w:val="004E66ED"/>
    <w:rsid w:val="004E6737"/>
    <w:rsid w:val="004E674B"/>
    <w:rsid w:val="004E682A"/>
    <w:rsid w:val="004E6928"/>
    <w:rsid w:val="004E6974"/>
    <w:rsid w:val="004E69CB"/>
    <w:rsid w:val="004E6AE0"/>
    <w:rsid w:val="004E6B6B"/>
    <w:rsid w:val="004E6BA8"/>
    <w:rsid w:val="004E6BB9"/>
    <w:rsid w:val="004E6C3F"/>
    <w:rsid w:val="004E6D64"/>
    <w:rsid w:val="004E6D81"/>
    <w:rsid w:val="004E6F60"/>
    <w:rsid w:val="004E71D8"/>
    <w:rsid w:val="004E7223"/>
    <w:rsid w:val="004E737F"/>
    <w:rsid w:val="004E74A7"/>
    <w:rsid w:val="004E74D2"/>
    <w:rsid w:val="004E753E"/>
    <w:rsid w:val="004E7592"/>
    <w:rsid w:val="004E76A3"/>
    <w:rsid w:val="004E775B"/>
    <w:rsid w:val="004E78F4"/>
    <w:rsid w:val="004E7A66"/>
    <w:rsid w:val="004E7A93"/>
    <w:rsid w:val="004E7BBA"/>
    <w:rsid w:val="004E7C03"/>
    <w:rsid w:val="004E7CB6"/>
    <w:rsid w:val="004E7D02"/>
    <w:rsid w:val="004E7D29"/>
    <w:rsid w:val="004E7E1B"/>
    <w:rsid w:val="004E7E5B"/>
    <w:rsid w:val="004E7F27"/>
    <w:rsid w:val="004E7F8B"/>
    <w:rsid w:val="004F02CA"/>
    <w:rsid w:val="004F04D5"/>
    <w:rsid w:val="004F079B"/>
    <w:rsid w:val="004F0874"/>
    <w:rsid w:val="004F0A7B"/>
    <w:rsid w:val="004F0AAE"/>
    <w:rsid w:val="004F0AF3"/>
    <w:rsid w:val="004F0BDF"/>
    <w:rsid w:val="004F0F76"/>
    <w:rsid w:val="004F0FC5"/>
    <w:rsid w:val="004F10CB"/>
    <w:rsid w:val="004F10E3"/>
    <w:rsid w:val="004F1157"/>
    <w:rsid w:val="004F1188"/>
    <w:rsid w:val="004F148A"/>
    <w:rsid w:val="004F1668"/>
    <w:rsid w:val="004F17ED"/>
    <w:rsid w:val="004F180D"/>
    <w:rsid w:val="004F19AA"/>
    <w:rsid w:val="004F19B4"/>
    <w:rsid w:val="004F1BE8"/>
    <w:rsid w:val="004F1C45"/>
    <w:rsid w:val="004F1CD0"/>
    <w:rsid w:val="004F1E04"/>
    <w:rsid w:val="004F1FE2"/>
    <w:rsid w:val="004F2135"/>
    <w:rsid w:val="004F23D4"/>
    <w:rsid w:val="004F2690"/>
    <w:rsid w:val="004F28C1"/>
    <w:rsid w:val="004F2B10"/>
    <w:rsid w:val="004F2B12"/>
    <w:rsid w:val="004F2CBF"/>
    <w:rsid w:val="004F2F0E"/>
    <w:rsid w:val="004F304A"/>
    <w:rsid w:val="004F305F"/>
    <w:rsid w:val="004F30E6"/>
    <w:rsid w:val="004F327B"/>
    <w:rsid w:val="004F33FE"/>
    <w:rsid w:val="004F3408"/>
    <w:rsid w:val="004F340C"/>
    <w:rsid w:val="004F34CA"/>
    <w:rsid w:val="004F34DC"/>
    <w:rsid w:val="004F356C"/>
    <w:rsid w:val="004F357E"/>
    <w:rsid w:val="004F3733"/>
    <w:rsid w:val="004F38A9"/>
    <w:rsid w:val="004F3992"/>
    <w:rsid w:val="004F39C3"/>
    <w:rsid w:val="004F39D7"/>
    <w:rsid w:val="004F3DBB"/>
    <w:rsid w:val="004F3F48"/>
    <w:rsid w:val="004F4163"/>
    <w:rsid w:val="004F4226"/>
    <w:rsid w:val="004F4378"/>
    <w:rsid w:val="004F443D"/>
    <w:rsid w:val="004F445C"/>
    <w:rsid w:val="004F44BB"/>
    <w:rsid w:val="004F4507"/>
    <w:rsid w:val="004F4A88"/>
    <w:rsid w:val="004F4D2B"/>
    <w:rsid w:val="004F4F25"/>
    <w:rsid w:val="004F4FEE"/>
    <w:rsid w:val="004F5012"/>
    <w:rsid w:val="004F5052"/>
    <w:rsid w:val="004F5291"/>
    <w:rsid w:val="004F542A"/>
    <w:rsid w:val="004F5715"/>
    <w:rsid w:val="004F57B6"/>
    <w:rsid w:val="004F58C0"/>
    <w:rsid w:val="004F5936"/>
    <w:rsid w:val="004F597F"/>
    <w:rsid w:val="004F59D3"/>
    <w:rsid w:val="004F5A56"/>
    <w:rsid w:val="004F5A7B"/>
    <w:rsid w:val="004F5AAD"/>
    <w:rsid w:val="004F5CF0"/>
    <w:rsid w:val="004F5E08"/>
    <w:rsid w:val="004F5F51"/>
    <w:rsid w:val="004F5FF6"/>
    <w:rsid w:val="004F6042"/>
    <w:rsid w:val="004F611B"/>
    <w:rsid w:val="004F636D"/>
    <w:rsid w:val="004F6500"/>
    <w:rsid w:val="004F6728"/>
    <w:rsid w:val="004F67E9"/>
    <w:rsid w:val="004F6826"/>
    <w:rsid w:val="004F6857"/>
    <w:rsid w:val="004F6951"/>
    <w:rsid w:val="004F6B02"/>
    <w:rsid w:val="004F6C04"/>
    <w:rsid w:val="004F6DF0"/>
    <w:rsid w:val="004F705E"/>
    <w:rsid w:val="004F7075"/>
    <w:rsid w:val="004F70C4"/>
    <w:rsid w:val="004F73C0"/>
    <w:rsid w:val="004F74CA"/>
    <w:rsid w:val="004F75E4"/>
    <w:rsid w:val="004F7619"/>
    <w:rsid w:val="004F7620"/>
    <w:rsid w:val="004F798C"/>
    <w:rsid w:val="004F7993"/>
    <w:rsid w:val="004F7A87"/>
    <w:rsid w:val="004F7AAE"/>
    <w:rsid w:val="004F7B17"/>
    <w:rsid w:val="004F7B36"/>
    <w:rsid w:val="004F7B81"/>
    <w:rsid w:val="004F7EA8"/>
    <w:rsid w:val="004F7EFA"/>
    <w:rsid w:val="00500038"/>
    <w:rsid w:val="0050011A"/>
    <w:rsid w:val="0050023F"/>
    <w:rsid w:val="0050041C"/>
    <w:rsid w:val="0050049D"/>
    <w:rsid w:val="0050064E"/>
    <w:rsid w:val="005006AC"/>
    <w:rsid w:val="005006C9"/>
    <w:rsid w:val="0050072B"/>
    <w:rsid w:val="00500926"/>
    <w:rsid w:val="005009EB"/>
    <w:rsid w:val="00500BC4"/>
    <w:rsid w:val="00500BDD"/>
    <w:rsid w:val="00500BFE"/>
    <w:rsid w:val="00500D99"/>
    <w:rsid w:val="00500E17"/>
    <w:rsid w:val="00500EA7"/>
    <w:rsid w:val="00500F34"/>
    <w:rsid w:val="005013CB"/>
    <w:rsid w:val="00501546"/>
    <w:rsid w:val="00501595"/>
    <w:rsid w:val="00501667"/>
    <w:rsid w:val="00501836"/>
    <w:rsid w:val="00501AE2"/>
    <w:rsid w:val="00501C89"/>
    <w:rsid w:val="00501CFD"/>
    <w:rsid w:val="00501D35"/>
    <w:rsid w:val="00501EEF"/>
    <w:rsid w:val="00501F0D"/>
    <w:rsid w:val="00501F1E"/>
    <w:rsid w:val="00502091"/>
    <w:rsid w:val="005020E2"/>
    <w:rsid w:val="005020E8"/>
    <w:rsid w:val="00502105"/>
    <w:rsid w:val="005021D1"/>
    <w:rsid w:val="00502265"/>
    <w:rsid w:val="005022D7"/>
    <w:rsid w:val="00502331"/>
    <w:rsid w:val="00502399"/>
    <w:rsid w:val="005026F5"/>
    <w:rsid w:val="005027E5"/>
    <w:rsid w:val="00502824"/>
    <w:rsid w:val="005028AA"/>
    <w:rsid w:val="005028B8"/>
    <w:rsid w:val="005028E8"/>
    <w:rsid w:val="00502A63"/>
    <w:rsid w:val="00502BD0"/>
    <w:rsid w:val="00502C89"/>
    <w:rsid w:val="00502EFA"/>
    <w:rsid w:val="005030C6"/>
    <w:rsid w:val="005030E8"/>
    <w:rsid w:val="00503134"/>
    <w:rsid w:val="005032FB"/>
    <w:rsid w:val="00503332"/>
    <w:rsid w:val="0050338B"/>
    <w:rsid w:val="0050357C"/>
    <w:rsid w:val="0050362C"/>
    <w:rsid w:val="00503690"/>
    <w:rsid w:val="00503905"/>
    <w:rsid w:val="00503C0C"/>
    <w:rsid w:val="00503CCA"/>
    <w:rsid w:val="00503D62"/>
    <w:rsid w:val="00503DC8"/>
    <w:rsid w:val="00503E5F"/>
    <w:rsid w:val="00503EB5"/>
    <w:rsid w:val="005046B9"/>
    <w:rsid w:val="00504A31"/>
    <w:rsid w:val="00504AC2"/>
    <w:rsid w:val="00504AC8"/>
    <w:rsid w:val="00504B93"/>
    <w:rsid w:val="00504C2E"/>
    <w:rsid w:val="00504C4A"/>
    <w:rsid w:val="00504CCF"/>
    <w:rsid w:val="00504CE3"/>
    <w:rsid w:val="00504CFB"/>
    <w:rsid w:val="00504DA1"/>
    <w:rsid w:val="00504DEC"/>
    <w:rsid w:val="00505053"/>
    <w:rsid w:val="00505162"/>
    <w:rsid w:val="005052C4"/>
    <w:rsid w:val="0050532F"/>
    <w:rsid w:val="00505468"/>
    <w:rsid w:val="005054D3"/>
    <w:rsid w:val="0050569D"/>
    <w:rsid w:val="005056C4"/>
    <w:rsid w:val="0050574B"/>
    <w:rsid w:val="005058D5"/>
    <w:rsid w:val="005058F4"/>
    <w:rsid w:val="00505983"/>
    <w:rsid w:val="00505ACE"/>
    <w:rsid w:val="00505B62"/>
    <w:rsid w:val="00505C0B"/>
    <w:rsid w:val="00505D10"/>
    <w:rsid w:val="00505DCD"/>
    <w:rsid w:val="005061FA"/>
    <w:rsid w:val="00506514"/>
    <w:rsid w:val="00506579"/>
    <w:rsid w:val="0050657D"/>
    <w:rsid w:val="0050671D"/>
    <w:rsid w:val="005067B3"/>
    <w:rsid w:val="00506916"/>
    <w:rsid w:val="00506B78"/>
    <w:rsid w:val="00506C47"/>
    <w:rsid w:val="00506CEB"/>
    <w:rsid w:val="00506D12"/>
    <w:rsid w:val="00506DB3"/>
    <w:rsid w:val="00506DBA"/>
    <w:rsid w:val="00506E44"/>
    <w:rsid w:val="00506E81"/>
    <w:rsid w:val="00507139"/>
    <w:rsid w:val="00507392"/>
    <w:rsid w:val="0050752F"/>
    <w:rsid w:val="0050753B"/>
    <w:rsid w:val="00507563"/>
    <w:rsid w:val="00507632"/>
    <w:rsid w:val="005076B2"/>
    <w:rsid w:val="00507703"/>
    <w:rsid w:val="0050795D"/>
    <w:rsid w:val="005079AA"/>
    <w:rsid w:val="00507B4B"/>
    <w:rsid w:val="00507BD4"/>
    <w:rsid w:val="00507C80"/>
    <w:rsid w:val="00507D0D"/>
    <w:rsid w:val="00507E2B"/>
    <w:rsid w:val="00507EA7"/>
    <w:rsid w:val="00507F18"/>
    <w:rsid w:val="00507F54"/>
    <w:rsid w:val="00507FCA"/>
    <w:rsid w:val="00510262"/>
    <w:rsid w:val="005103FC"/>
    <w:rsid w:val="005105F6"/>
    <w:rsid w:val="0051086B"/>
    <w:rsid w:val="00510889"/>
    <w:rsid w:val="00510AFC"/>
    <w:rsid w:val="00510DC4"/>
    <w:rsid w:val="00510E13"/>
    <w:rsid w:val="00510FA4"/>
    <w:rsid w:val="0051102E"/>
    <w:rsid w:val="00511615"/>
    <w:rsid w:val="0051180B"/>
    <w:rsid w:val="0051186F"/>
    <w:rsid w:val="00511901"/>
    <w:rsid w:val="00511B26"/>
    <w:rsid w:val="00511B36"/>
    <w:rsid w:val="00511C25"/>
    <w:rsid w:val="00511C81"/>
    <w:rsid w:val="00511EB1"/>
    <w:rsid w:val="00511EC5"/>
    <w:rsid w:val="00511F12"/>
    <w:rsid w:val="00511F42"/>
    <w:rsid w:val="00511FD6"/>
    <w:rsid w:val="0051202E"/>
    <w:rsid w:val="0051209E"/>
    <w:rsid w:val="005120C7"/>
    <w:rsid w:val="005126AE"/>
    <w:rsid w:val="00512701"/>
    <w:rsid w:val="00512756"/>
    <w:rsid w:val="00512781"/>
    <w:rsid w:val="005127E9"/>
    <w:rsid w:val="00512861"/>
    <w:rsid w:val="00512952"/>
    <w:rsid w:val="005129F1"/>
    <w:rsid w:val="00512B00"/>
    <w:rsid w:val="00512B45"/>
    <w:rsid w:val="00512B68"/>
    <w:rsid w:val="00512D28"/>
    <w:rsid w:val="00512FFD"/>
    <w:rsid w:val="00513011"/>
    <w:rsid w:val="00513064"/>
    <w:rsid w:val="005130D2"/>
    <w:rsid w:val="005131A1"/>
    <w:rsid w:val="00513362"/>
    <w:rsid w:val="00513395"/>
    <w:rsid w:val="00513497"/>
    <w:rsid w:val="005134DE"/>
    <w:rsid w:val="005135EB"/>
    <w:rsid w:val="00513657"/>
    <w:rsid w:val="00513705"/>
    <w:rsid w:val="00513822"/>
    <w:rsid w:val="005139DA"/>
    <w:rsid w:val="00513A37"/>
    <w:rsid w:val="00513A3D"/>
    <w:rsid w:val="00513B99"/>
    <w:rsid w:val="00513C11"/>
    <w:rsid w:val="00513EC0"/>
    <w:rsid w:val="0051405C"/>
    <w:rsid w:val="005142DB"/>
    <w:rsid w:val="005144E1"/>
    <w:rsid w:val="005146D7"/>
    <w:rsid w:val="0051499B"/>
    <w:rsid w:val="005149C3"/>
    <w:rsid w:val="00514AFD"/>
    <w:rsid w:val="00514B72"/>
    <w:rsid w:val="00514C19"/>
    <w:rsid w:val="00514C33"/>
    <w:rsid w:val="00514DEF"/>
    <w:rsid w:val="00514E9A"/>
    <w:rsid w:val="00514F1C"/>
    <w:rsid w:val="00514FD8"/>
    <w:rsid w:val="005150ED"/>
    <w:rsid w:val="00515333"/>
    <w:rsid w:val="00515497"/>
    <w:rsid w:val="005154C8"/>
    <w:rsid w:val="0051568D"/>
    <w:rsid w:val="0051573B"/>
    <w:rsid w:val="00515778"/>
    <w:rsid w:val="00515836"/>
    <w:rsid w:val="005158B7"/>
    <w:rsid w:val="00515B37"/>
    <w:rsid w:val="00515CAF"/>
    <w:rsid w:val="00515E64"/>
    <w:rsid w:val="00515E98"/>
    <w:rsid w:val="00515EAB"/>
    <w:rsid w:val="00515F6E"/>
    <w:rsid w:val="00516030"/>
    <w:rsid w:val="005160D0"/>
    <w:rsid w:val="00516354"/>
    <w:rsid w:val="00516434"/>
    <w:rsid w:val="005165E7"/>
    <w:rsid w:val="0051673A"/>
    <w:rsid w:val="00516754"/>
    <w:rsid w:val="00516795"/>
    <w:rsid w:val="005167C2"/>
    <w:rsid w:val="00516872"/>
    <w:rsid w:val="00516985"/>
    <w:rsid w:val="00516EC7"/>
    <w:rsid w:val="00516F02"/>
    <w:rsid w:val="0051709C"/>
    <w:rsid w:val="0051716A"/>
    <w:rsid w:val="0051744D"/>
    <w:rsid w:val="005175B6"/>
    <w:rsid w:val="00517888"/>
    <w:rsid w:val="00517951"/>
    <w:rsid w:val="00517A27"/>
    <w:rsid w:val="00517C5F"/>
    <w:rsid w:val="00517CA2"/>
    <w:rsid w:val="00517D68"/>
    <w:rsid w:val="00517DA0"/>
    <w:rsid w:val="00520035"/>
    <w:rsid w:val="005201BE"/>
    <w:rsid w:val="005201FB"/>
    <w:rsid w:val="005201FC"/>
    <w:rsid w:val="00520283"/>
    <w:rsid w:val="005202BE"/>
    <w:rsid w:val="005202E1"/>
    <w:rsid w:val="0052052C"/>
    <w:rsid w:val="0052056F"/>
    <w:rsid w:val="005208AD"/>
    <w:rsid w:val="0052092F"/>
    <w:rsid w:val="00520B54"/>
    <w:rsid w:val="00520E4C"/>
    <w:rsid w:val="00520EC4"/>
    <w:rsid w:val="00521000"/>
    <w:rsid w:val="00521287"/>
    <w:rsid w:val="005212E5"/>
    <w:rsid w:val="005214C4"/>
    <w:rsid w:val="00521534"/>
    <w:rsid w:val="00521598"/>
    <w:rsid w:val="005215C0"/>
    <w:rsid w:val="00521605"/>
    <w:rsid w:val="00521647"/>
    <w:rsid w:val="00521685"/>
    <w:rsid w:val="00521695"/>
    <w:rsid w:val="0052175D"/>
    <w:rsid w:val="00521898"/>
    <w:rsid w:val="005218A1"/>
    <w:rsid w:val="0052191F"/>
    <w:rsid w:val="00521AFE"/>
    <w:rsid w:val="00521B71"/>
    <w:rsid w:val="00521BD0"/>
    <w:rsid w:val="00521C5F"/>
    <w:rsid w:val="00521DB7"/>
    <w:rsid w:val="00521E0F"/>
    <w:rsid w:val="00521FE9"/>
    <w:rsid w:val="005220BE"/>
    <w:rsid w:val="005221B7"/>
    <w:rsid w:val="00522202"/>
    <w:rsid w:val="005224F4"/>
    <w:rsid w:val="005226E4"/>
    <w:rsid w:val="00522872"/>
    <w:rsid w:val="005229FF"/>
    <w:rsid w:val="00522B15"/>
    <w:rsid w:val="00522CDC"/>
    <w:rsid w:val="00522E15"/>
    <w:rsid w:val="00522E5D"/>
    <w:rsid w:val="00522FB1"/>
    <w:rsid w:val="00522FC6"/>
    <w:rsid w:val="00522FE1"/>
    <w:rsid w:val="0052312F"/>
    <w:rsid w:val="0052319D"/>
    <w:rsid w:val="005234C7"/>
    <w:rsid w:val="005234E8"/>
    <w:rsid w:val="005235ED"/>
    <w:rsid w:val="005235FC"/>
    <w:rsid w:val="005236A1"/>
    <w:rsid w:val="00523719"/>
    <w:rsid w:val="00523806"/>
    <w:rsid w:val="0052387A"/>
    <w:rsid w:val="00523CF6"/>
    <w:rsid w:val="00523EED"/>
    <w:rsid w:val="00523FBD"/>
    <w:rsid w:val="00524031"/>
    <w:rsid w:val="00524265"/>
    <w:rsid w:val="00524296"/>
    <w:rsid w:val="00524365"/>
    <w:rsid w:val="0052441A"/>
    <w:rsid w:val="005246A5"/>
    <w:rsid w:val="00524724"/>
    <w:rsid w:val="00524F08"/>
    <w:rsid w:val="005251BA"/>
    <w:rsid w:val="0052533D"/>
    <w:rsid w:val="005253BE"/>
    <w:rsid w:val="00525429"/>
    <w:rsid w:val="00525447"/>
    <w:rsid w:val="005255AC"/>
    <w:rsid w:val="00525963"/>
    <w:rsid w:val="00525A4A"/>
    <w:rsid w:val="00525BC4"/>
    <w:rsid w:val="00525D29"/>
    <w:rsid w:val="00525D7B"/>
    <w:rsid w:val="00525D8A"/>
    <w:rsid w:val="00525DC4"/>
    <w:rsid w:val="00525EB0"/>
    <w:rsid w:val="0052624A"/>
    <w:rsid w:val="00526265"/>
    <w:rsid w:val="0052642C"/>
    <w:rsid w:val="0052645A"/>
    <w:rsid w:val="005264D9"/>
    <w:rsid w:val="00526670"/>
    <w:rsid w:val="00526758"/>
    <w:rsid w:val="00526817"/>
    <w:rsid w:val="005269B5"/>
    <w:rsid w:val="00526A4D"/>
    <w:rsid w:val="00526BDE"/>
    <w:rsid w:val="00526C0F"/>
    <w:rsid w:val="00526C38"/>
    <w:rsid w:val="00526C58"/>
    <w:rsid w:val="00526F44"/>
    <w:rsid w:val="00527176"/>
    <w:rsid w:val="00527193"/>
    <w:rsid w:val="00527380"/>
    <w:rsid w:val="005275AC"/>
    <w:rsid w:val="00527785"/>
    <w:rsid w:val="005278FD"/>
    <w:rsid w:val="00527941"/>
    <w:rsid w:val="0052795D"/>
    <w:rsid w:val="005279FA"/>
    <w:rsid w:val="00527AC2"/>
    <w:rsid w:val="00527B0F"/>
    <w:rsid w:val="00527B1D"/>
    <w:rsid w:val="00527C23"/>
    <w:rsid w:val="00527C77"/>
    <w:rsid w:val="00527D32"/>
    <w:rsid w:val="00527E33"/>
    <w:rsid w:val="00527FF5"/>
    <w:rsid w:val="0053000C"/>
    <w:rsid w:val="00530063"/>
    <w:rsid w:val="0053014B"/>
    <w:rsid w:val="005301EF"/>
    <w:rsid w:val="005301F7"/>
    <w:rsid w:val="005302E2"/>
    <w:rsid w:val="005303B4"/>
    <w:rsid w:val="00530412"/>
    <w:rsid w:val="0053044C"/>
    <w:rsid w:val="005304C0"/>
    <w:rsid w:val="00530524"/>
    <w:rsid w:val="0053055B"/>
    <w:rsid w:val="00530A42"/>
    <w:rsid w:val="00530A4B"/>
    <w:rsid w:val="00530C1A"/>
    <w:rsid w:val="00530CB3"/>
    <w:rsid w:val="00530CB5"/>
    <w:rsid w:val="00530D7E"/>
    <w:rsid w:val="0053103E"/>
    <w:rsid w:val="005310CE"/>
    <w:rsid w:val="00531297"/>
    <w:rsid w:val="00531340"/>
    <w:rsid w:val="0053144B"/>
    <w:rsid w:val="0053160E"/>
    <w:rsid w:val="00531677"/>
    <w:rsid w:val="005316C8"/>
    <w:rsid w:val="0053187A"/>
    <w:rsid w:val="005318D8"/>
    <w:rsid w:val="00531A9F"/>
    <w:rsid w:val="00531C2E"/>
    <w:rsid w:val="00531E9C"/>
    <w:rsid w:val="00531EDC"/>
    <w:rsid w:val="00531F4D"/>
    <w:rsid w:val="00531FF0"/>
    <w:rsid w:val="00532098"/>
    <w:rsid w:val="0053226C"/>
    <w:rsid w:val="005322F1"/>
    <w:rsid w:val="0053234F"/>
    <w:rsid w:val="00532412"/>
    <w:rsid w:val="005325C3"/>
    <w:rsid w:val="00532695"/>
    <w:rsid w:val="00532725"/>
    <w:rsid w:val="005327CF"/>
    <w:rsid w:val="0053293A"/>
    <w:rsid w:val="00532A30"/>
    <w:rsid w:val="00532A44"/>
    <w:rsid w:val="00532AFA"/>
    <w:rsid w:val="00532B6B"/>
    <w:rsid w:val="00532B91"/>
    <w:rsid w:val="00532B95"/>
    <w:rsid w:val="00532C35"/>
    <w:rsid w:val="00532D3C"/>
    <w:rsid w:val="00532D9C"/>
    <w:rsid w:val="00532E34"/>
    <w:rsid w:val="00532E9D"/>
    <w:rsid w:val="00532F53"/>
    <w:rsid w:val="00532F8C"/>
    <w:rsid w:val="00532FC4"/>
    <w:rsid w:val="005330EE"/>
    <w:rsid w:val="00533118"/>
    <w:rsid w:val="0053316B"/>
    <w:rsid w:val="0053320F"/>
    <w:rsid w:val="0053321C"/>
    <w:rsid w:val="00533220"/>
    <w:rsid w:val="00533492"/>
    <w:rsid w:val="005335D9"/>
    <w:rsid w:val="00533894"/>
    <w:rsid w:val="00533930"/>
    <w:rsid w:val="005339DC"/>
    <w:rsid w:val="00533AA5"/>
    <w:rsid w:val="00533B64"/>
    <w:rsid w:val="00533BB8"/>
    <w:rsid w:val="00533CE5"/>
    <w:rsid w:val="00533F2C"/>
    <w:rsid w:val="00533FAD"/>
    <w:rsid w:val="0053402D"/>
    <w:rsid w:val="0053405C"/>
    <w:rsid w:val="005342AE"/>
    <w:rsid w:val="0053431C"/>
    <w:rsid w:val="005344FF"/>
    <w:rsid w:val="005348CD"/>
    <w:rsid w:val="00534D68"/>
    <w:rsid w:val="00534DD8"/>
    <w:rsid w:val="00534EB2"/>
    <w:rsid w:val="00535115"/>
    <w:rsid w:val="0053527D"/>
    <w:rsid w:val="005352EB"/>
    <w:rsid w:val="005353A9"/>
    <w:rsid w:val="0053554F"/>
    <w:rsid w:val="0053580E"/>
    <w:rsid w:val="005358C0"/>
    <w:rsid w:val="00535A4F"/>
    <w:rsid w:val="00535BF8"/>
    <w:rsid w:val="00535C51"/>
    <w:rsid w:val="00535C78"/>
    <w:rsid w:val="00535E35"/>
    <w:rsid w:val="00536058"/>
    <w:rsid w:val="0053606E"/>
    <w:rsid w:val="005360F7"/>
    <w:rsid w:val="00536121"/>
    <w:rsid w:val="00536369"/>
    <w:rsid w:val="0053638F"/>
    <w:rsid w:val="0053643F"/>
    <w:rsid w:val="0053652B"/>
    <w:rsid w:val="005365F3"/>
    <w:rsid w:val="0053688E"/>
    <w:rsid w:val="00536B03"/>
    <w:rsid w:val="00536B98"/>
    <w:rsid w:val="00536C13"/>
    <w:rsid w:val="00536C17"/>
    <w:rsid w:val="00536EBD"/>
    <w:rsid w:val="00536FE5"/>
    <w:rsid w:val="0053707B"/>
    <w:rsid w:val="005371D8"/>
    <w:rsid w:val="005372F3"/>
    <w:rsid w:val="00537407"/>
    <w:rsid w:val="005375AA"/>
    <w:rsid w:val="00537691"/>
    <w:rsid w:val="005376C9"/>
    <w:rsid w:val="005377D0"/>
    <w:rsid w:val="005377D9"/>
    <w:rsid w:val="0053787F"/>
    <w:rsid w:val="005378C1"/>
    <w:rsid w:val="0053793C"/>
    <w:rsid w:val="00537A28"/>
    <w:rsid w:val="00537EF4"/>
    <w:rsid w:val="005400CC"/>
    <w:rsid w:val="00540194"/>
    <w:rsid w:val="0054029B"/>
    <w:rsid w:val="005405C5"/>
    <w:rsid w:val="0054067F"/>
    <w:rsid w:val="0054071F"/>
    <w:rsid w:val="005408D0"/>
    <w:rsid w:val="005409C8"/>
    <w:rsid w:val="00540B27"/>
    <w:rsid w:val="00540BEF"/>
    <w:rsid w:val="00540C20"/>
    <w:rsid w:val="00540C86"/>
    <w:rsid w:val="00540DA8"/>
    <w:rsid w:val="00540E87"/>
    <w:rsid w:val="00541045"/>
    <w:rsid w:val="00541055"/>
    <w:rsid w:val="0054115B"/>
    <w:rsid w:val="0054123E"/>
    <w:rsid w:val="005412C6"/>
    <w:rsid w:val="00541573"/>
    <w:rsid w:val="00541683"/>
    <w:rsid w:val="0054175B"/>
    <w:rsid w:val="005418D1"/>
    <w:rsid w:val="00541A2A"/>
    <w:rsid w:val="00541A68"/>
    <w:rsid w:val="00541A89"/>
    <w:rsid w:val="00541C12"/>
    <w:rsid w:val="00541C60"/>
    <w:rsid w:val="00541D52"/>
    <w:rsid w:val="00541FC3"/>
    <w:rsid w:val="00542186"/>
    <w:rsid w:val="00542219"/>
    <w:rsid w:val="0054223C"/>
    <w:rsid w:val="00542268"/>
    <w:rsid w:val="005422B1"/>
    <w:rsid w:val="005423CD"/>
    <w:rsid w:val="005427D5"/>
    <w:rsid w:val="00542846"/>
    <w:rsid w:val="00542849"/>
    <w:rsid w:val="0054285C"/>
    <w:rsid w:val="005428CE"/>
    <w:rsid w:val="00542B9D"/>
    <w:rsid w:val="00542BFA"/>
    <w:rsid w:val="0054301F"/>
    <w:rsid w:val="00543099"/>
    <w:rsid w:val="005430BB"/>
    <w:rsid w:val="00543482"/>
    <w:rsid w:val="005434DE"/>
    <w:rsid w:val="005435A6"/>
    <w:rsid w:val="005436A0"/>
    <w:rsid w:val="00543A26"/>
    <w:rsid w:val="00543A90"/>
    <w:rsid w:val="00543CC9"/>
    <w:rsid w:val="00543D4F"/>
    <w:rsid w:val="00543D54"/>
    <w:rsid w:val="00543DF7"/>
    <w:rsid w:val="00543E26"/>
    <w:rsid w:val="00543EC5"/>
    <w:rsid w:val="00543F29"/>
    <w:rsid w:val="00544009"/>
    <w:rsid w:val="00544050"/>
    <w:rsid w:val="00544116"/>
    <w:rsid w:val="0054415C"/>
    <w:rsid w:val="005441BA"/>
    <w:rsid w:val="00544694"/>
    <w:rsid w:val="00544971"/>
    <w:rsid w:val="00544A11"/>
    <w:rsid w:val="00544A78"/>
    <w:rsid w:val="00544A8C"/>
    <w:rsid w:val="00544B0D"/>
    <w:rsid w:val="00544C63"/>
    <w:rsid w:val="00544CC9"/>
    <w:rsid w:val="00544CDF"/>
    <w:rsid w:val="00544CEC"/>
    <w:rsid w:val="00544DA2"/>
    <w:rsid w:val="00544DC7"/>
    <w:rsid w:val="00544E12"/>
    <w:rsid w:val="00544E2C"/>
    <w:rsid w:val="00544E59"/>
    <w:rsid w:val="00544E71"/>
    <w:rsid w:val="00545021"/>
    <w:rsid w:val="0054517D"/>
    <w:rsid w:val="00545196"/>
    <w:rsid w:val="00545285"/>
    <w:rsid w:val="00545347"/>
    <w:rsid w:val="005453AC"/>
    <w:rsid w:val="005457ED"/>
    <w:rsid w:val="0054591D"/>
    <w:rsid w:val="00545B9B"/>
    <w:rsid w:val="00545BAB"/>
    <w:rsid w:val="00545CC9"/>
    <w:rsid w:val="00545D8B"/>
    <w:rsid w:val="0054632D"/>
    <w:rsid w:val="005463C4"/>
    <w:rsid w:val="00546554"/>
    <w:rsid w:val="00546574"/>
    <w:rsid w:val="005466A1"/>
    <w:rsid w:val="005466AF"/>
    <w:rsid w:val="005466B5"/>
    <w:rsid w:val="005468EF"/>
    <w:rsid w:val="00546C09"/>
    <w:rsid w:val="00546CC5"/>
    <w:rsid w:val="00546D32"/>
    <w:rsid w:val="00546F13"/>
    <w:rsid w:val="00546F46"/>
    <w:rsid w:val="0054706A"/>
    <w:rsid w:val="005470E7"/>
    <w:rsid w:val="0054728A"/>
    <w:rsid w:val="00547322"/>
    <w:rsid w:val="005474B8"/>
    <w:rsid w:val="005474CB"/>
    <w:rsid w:val="00547515"/>
    <w:rsid w:val="00547611"/>
    <w:rsid w:val="005476CB"/>
    <w:rsid w:val="005477CC"/>
    <w:rsid w:val="005477CF"/>
    <w:rsid w:val="00547931"/>
    <w:rsid w:val="00547A17"/>
    <w:rsid w:val="00547A9E"/>
    <w:rsid w:val="00547B52"/>
    <w:rsid w:val="00547BB4"/>
    <w:rsid w:val="00547BEA"/>
    <w:rsid w:val="00547C9E"/>
    <w:rsid w:val="00547E9A"/>
    <w:rsid w:val="00547EE6"/>
    <w:rsid w:val="00547F62"/>
    <w:rsid w:val="00550221"/>
    <w:rsid w:val="0055031D"/>
    <w:rsid w:val="00550339"/>
    <w:rsid w:val="00550449"/>
    <w:rsid w:val="005504DE"/>
    <w:rsid w:val="0055090B"/>
    <w:rsid w:val="00550913"/>
    <w:rsid w:val="00550974"/>
    <w:rsid w:val="005509A6"/>
    <w:rsid w:val="005509DB"/>
    <w:rsid w:val="00550C5A"/>
    <w:rsid w:val="00550FC9"/>
    <w:rsid w:val="005510E5"/>
    <w:rsid w:val="005511FA"/>
    <w:rsid w:val="00551260"/>
    <w:rsid w:val="005512B0"/>
    <w:rsid w:val="005514B0"/>
    <w:rsid w:val="00551533"/>
    <w:rsid w:val="00551594"/>
    <w:rsid w:val="005515C2"/>
    <w:rsid w:val="005515E5"/>
    <w:rsid w:val="0055180D"/>
    <w:rsid w:val="00551890"/>
    <w:rsid w:val="005519B5"/>
    <w:rsid w:val="00551A93"/>
    <w:rsid w:val="00551AFD"/>
    <w:rsid w:val="00551D45"/>
    <w:rsid w:val="00551E55"/>
    <w:rsid w:val="00551EE0"/>
    <w:rsid w:val="00551F82"/>
    <w:rsid w:val="0055212A"/>
    <w:rsid w:val="00552165"/>
    <w:rsid w:val="005521D2"/>
    <w:rsid w:val="005523C6"/>
    <w:rsid w:val="005523D3"/>
    <w:rsid w:val="005523DE"/>
    <w:rsid w:val="005524CC"/>
    <w:rsid w:val="00552846"/>
    <w:rsid w:val="0055298A"/>
    <w:rsid w:val="005529A3"/>
    <w:rsid w:val="005529F5"/>
    <w:rsid w:val="00552AF5"/>
    <w:rsid w:val="00552BC2"/>
    <w:rsid w:val="00552C81"/>
    <w:rsid w:val="00552D33"/>
    <w:rsid w:val="00552F48"/>
    <w:rsid w:val="00552FF0"/>
    <w:rsid w:val="0055327F"/>
    <w:rsid w:val="00553399"/>
    <w:rsid w:val="005533A4"/>
    <w:rsid w:val="00553484"/>
    <w:rsid w:val="0055370D"/>
    <w:rsid w:val="0055384A"/>
    <w:rsid w:val="0055390B"/>
    <w:rsid w:val="00553D55"/>
    <w:rsid w:val="00553D5F"/>
    <w:rsid w:val="00553DE5"/>
    <w:rsid w:val="00553F81"/>
    <w:rsid w:val="005542E1"/>
    <w:rsid w:val="00554489"/>
    <w:rsid w:val="00554570"/>
    <w:rsid w:val="00554603"/>
    <w:rsid w:val="00554682"/>
    <w:rsid w:val="0055484F"/>
    <w:rsid w:val="00554A01"/>
    <w:rsid w:val="00554A87"/>
    <w:rsid w:val="00554B1A"/>
    <w:rsid w:val="00554B26"/>
    <w:rsid w:val="00554C8B"/>
    <w:rsid w:val="00554C9D"/>
    <w:rsid w:val="00554D86"/>
    <w:rsid w:val="00554DCA"/>
    <w:rsid w:val="00555139"/>
    <w:rsid w:val="005551C5"/>
    <w:rsid w:val="00555289"/>
    <w:rsid w:val="0055529F"/>
    <w:rsid w:val="005552F5"/>
    <w:rsid w:val="00555442"/>
    <w:rsid w:val="0055547C"/>
    <w:rsid w:val="00555523"/>
    <w:rsid w:val="005556A9"/>
    <w:rsid w:val="005556B5"/>
    <w:rsid w:val="0055570B"/>
    <w:rsid w:val="0055578C"/>
    <w:rsid w:val="0055584C"/>
    <w:rsid w:val="00555870"/>
    <w:rsid w:val="005559BF"/>
    <w:rsid w:val="00555B35"/>
    <w:rsid w:val="00555D8F"/>
    <w:rsid w:val="00555E11"/>
    <w:rsid w:val="00555EAE"/>
    <w:rsid w:val="00556033"/>
    <w:rsid w:val="005561EB"/>
    <w:rsid w:val="005561F7"/>
    <w:rsid w:val="0055639C"/>
    <w:rsid w:val="005563DF"/>
    <w:rsid w:val="00556540"/>
    <w:rsid w:val="005567C0"/>
    <w:rsid w:val="0055684D"/>
    <w:rsid w:val="00556949"/>
    <w:rsid w:val="00556BFE"/>
    <w:rsid w:val="00556E17"/>
    <w:rsid w:val="00556EAE"/>
    <w:rsid w:val="00556F35"/>
    <w:rsid w:val="00556F5D"/>
    <w:rsid w:val="00557050"/>
    <w:rsid w:val="005570CD"/>
    <w:rsid w:val="00557608"/>
    <w:rsid w:val="005576F6"/>
    <w:rsid w:val="005577D7"/>
    <w:rsid w:val="0055791C"/>
    <w:rsid w:val="00557D26"/>
    <w:rsid w:val="00557DC6"/>
    <w:rsid w:val="00560066"/>
    <w:rsid w:val="00560147"/>
    <w:rsid w:val="005601DF"/>
    <w:rsid w:val="005602F6"/>
    <w:rsid w:val="00560328"/>
    <w:rsid w:val="0056033B"/>
    <w:rsid w:val="0056044F"/>
    <w:rsid w:val="005604A8"/>
    <w:rsid w:val="00560517"/>
    <w:rsid w:val="00560776"/>
    <w:rsid w:val="005607A7"/>
    <w:rsid w:val="00560C18"/>
    <w:rsid w:val="00560C9E"/>
    <w:rsid w:val="00560D62"/>
    <w:rsid w:val="00560DD4"/>
    <w:rsid w:val="00560EB8"/>
    <w:rsid w:val="0056107D"/>
    <w:rsid w:val="0056123A"/>
    <w:rsid w:val="00561243"/>
    <w:rsid w:val="005612C1"/>
    <w:rsid w:val="00561426"/>
    <w:rsid w:val="00561551"/>
    <w:rsid w:val="0056157D"/>
    <w:rsid w:val="0056161C"/>
    <w:rsid w:val="0056167F"/>
    <w:rsid w:val="0056169D"/>
    <w:rsid w:val="00561776"/>
    <w:rsid w:val="00561854"/>
    <w:rsid w:val="00561ADD"/>
    <w:rsid w:val="00561B27"/>
    <w:rsid w:val="00561B40"/>
    <w:rsid w:val="00561C85"/>
    <w:rsid w:val="00561CA0"/>
    <w:rsid w:val="00561E56"/>
    <w:rsid w:val="00561E7B"/>
    <w:rsid w:val="00561F71"/>
    <w:rsid w:val="00561F75"/>
    <w:rsid w:val="0056214A"/>
    <w:rsid w:val="00562166"/>
    <w:rsid w:val="005621F4"/>
    <w:rsid w:val="0056221B"/>
    <w:rsid w:val="00562491"/>
    <w:rsid w:val="005625D1"/>
    <w:rsid w:val="00562631"/>
    <w:rsid w:val="00562680"/>
    <w:rsid w:val="00562920"/>
    <w:rsid w:val="00562B35"/>
    <w:rsid w:val="00562BB2"/>
    <w:rsid w:val="00562D06"/>
    <w:rsid w:val="00562D22"/>
    <w:rsid w:val="00562F7C"/>
    <w:rsid w:val="00562FB7"/>
    <w:rsid w:val="005632E3"/>
    <w:rsid w:val="00563343"/>
    <w:rsid w:val="00563371"/>
    <w:rsid w:val="005633E4"/>
    <w:rsid w:val="0056341C"/>
    <w:rsid w:val="00563467"/>
    <w:rsid w:val="00563723"/>
    <w:rsid w:val="0056378A"/>
    <w:rsid w:val="005638A3"/>
    <w:rsid w:val="005638A7"/>
    <w:rsid w:val="005639AB"/>
    <w:rsid w:val="00563A05"/>
    <w:rsid w:val="00563A24"/>
    <w:rsid w:val="00563A2A"/>
    <w:rsid w:val="00563A6A"/>
    <w:rsid w:val="00563E0E"/>
    <w:rsid w:val="00563E2C"/>
    <w:rsid w:val="00563EEC"/>
    <w:rsid w:val="00563EF6"/>
    <w:rsid w:val="00563F02"/>
    <w:rsid w:val="00563F0E"/>
    <w:rsid w:val="005642D1"/>
    <w:rsid w:val="00564309"/>
    <w:rsid w:val="0056437E"/>
    <w:rsid w:val="00564428"/>
    <w:rsid w:val="00564495"/>
    <w:rsid w:val="005644B2"/>
    <w:rsid w:val="005644E1"/>
    <w:rsid w:val="00564580"/>
    <w:rsid w:val="00564916"/>
    <w:rsid w:val="0056491C"/>
    <w:rsid w:val="00564DA3"/>
    <w:rsid w:val="00564EC8"/>
    <w:rsid w:val="00564F8A"/>
    <w:rsid w:val="00565393"/>
    <w:rsid w:val="0056539C"/>
    <w:rsid w:val="00565519"/>
    <w:rsid w:val="005655D5"/>
    <w:rsid w:val="00565747"/>
    <w:rsid w:val="00565836"/>
    <w:rsid w:val="0056584B"/>
    <w:rsid w:val="005658CA"/>
    <w:rsid w:val="005658E7"/>
    <w:rsid w:val="00565973"/>
    <w:rsid w:val="00565A94"/>
    <w:rsid w:val="00565C5F"/>
    <w:rsid w:val="00565C92"/>
    <w:rsid w:val="00565C9A"/>
    <w:rsid w:val="00565F39"/>
    <w:rsid w:val="005661BA"/>
    <w:rsid w:val="00566425"/>
    <w:rsid w:val="0056658B"/>
    <w:rsid w:val="005665DE"/>
    <w:rsid w:val="005665E2"/>
    <w:rsid w:val="00566613"/>
    <w:rsid w:val="00566778"/>
    <w:rsid w:val="0056691F"/>
    <w:rsid w:val="00566CAE"/>
    <w:rsid w:val="00566D19"/>
    <w:rsid w:val="00566D4B"/>
    <w:rsid w:val="00566E23"/>
    <w:rsid w:val="00566E8C"/>
    <w:rsid w:val="00566EE3"/>
    <w:rsid w:val="00566EE4"/>
    <w:rsid w:val="00566F5C"/>
    <w:rsid w:val="00567215"/>
    <w:rsid w:val="005672A5"/>
    <w:rsid w:val="00567579"/>
    <w:rsid w:val="00567617"/>
    <w:rsid w:val="005676BB"/>
    <w:rsid w:val="005679AC"/>
    <w:rsid w:val="005679B0"/>
    <w:rsid w:val="00567A94"/>
    <w:rsid w:val="00567B49"/>
    <w:rsid w:val="00567C5B"/>
    <w:rsid w:val="00567CF1"/>
    <w:rsid w:val="00567E24"/>
    <w:rsid w:val="0057004D"/>
    <w:rsid w:val="005701D5"/>
    <w:rsid w:val="00570271"/>
    <w:rsid w:val="00570640"/>
    <w:rsid w:val="00570699"/>
    <w:rsid w:val="0057079A"/>
    <w:rsid w:val="00570906"/>
    <w:rsid w:val="005709E5"/>
    <w:rsid w:val="00570D80"/>
    <w:rsid w:val="00570EC9"/>
    <w:rsid w:val="00570F6D"/>
    <w:rsid w:val="00570F8E"/>
    <w:rsid w:val="00571467"/>
    <w:rsid w:val="00571699"/>
    <w:rsid w:val="00571819"/>
    <w:rsid w:val="00571854"/>
    <w:rsid w:val="005719EB"/>
    <w:rsid w:val="00571A0D"/>
    <w:rsid w:val="00571B18"/>
    <w:rsid w:val="00571BB7"/>
    <w:rsid w:val="00571CF7"/>
    <w:rsid w:val="00571D12"/>
    <w:rsid w:val="00571DA1"/>
    <w:rsid w:val="00571DEF"/>
    <w:rsid w:val="005725C7"/>
    <w:rsid w:val="0057275E"/>
    <w:rsid w:val="0057277D"/>
    <w:rsid w:val="005727F1"/>
    <w:rsid w:val="00572931"/>
    <w:rsid w:val="00572B8E"/>
    <w:rsid w:val="00572F74"/>
    <w:rsid w:val="00573085"/>
    <w:rsid w:val="00573438"/>
    <w:rsid w:val="00573455"/>
    <w:rsid w:val="0057375A"/>
    <w:rsid w:val="005737BC"/>
    <w:rsid w:val="005738AE"/>
    <w:rsid w:val="00573A62"/>
    <w:rsid w:val="00573A84"/>
    <w:rsid w:val="00573A99"/>
    <w:rsid w:val="00573A9E"/>
    <w:rsid w:val="00573ADF"/>
    <w:rsid w:val="00573BA0"/>
    <w:rsid w:val="0057415C"/>
    <w:rsid w:val="005742A2"/>
    <w:rsid w:val="00574395"/>
    <w:rsid w:val="00574473"/>
    <w:rsid w:val="00574487"/>
    <w:rsid w:val="005744A9"/>
    <w:rsid w:val="0057454D"/>
    <w:rsid w:val="00574702"/>
    <w:rsid w:val="00574875"/>
    <w:rsid w:val="005749FD"/>
    <w:rsid w:val="00574AA5"/>
    <w:rsid w:val="00574B4F"/>
    <w:rsid w:val="00574E95"/>
    <w:rsid w:val="00574ED0"/>
    <w:rsid w:val="00574F54"/>
    <w:rsid w:val="00574F81"/>
    <w:rsid w:val="00574FD4"/>
    <w:rsid w:val="00574FFF"/>
    <w:rsid w:val="0057534F"/>
    <w:rsid w:val="00575982"/>
    <w:rsid w:val="005759BD"/>
    <w:rsid w:val="00575A55"/>
    <w:rsid w:val="00575C86"/>
    <w:rsid w:val="00575CAA"/>
    <w:rsid w:val="00575EED"/>
    <w:rsid w:val="00575FD2"/>
    <w:rsid w:val="00576014"/>
    <w:rsid w:val="0057604B"/>
    <w:rsid w:val="0057620F"/>
    <w:rsid w:val="00576270"/>
    <w:rsid w:val="005762E1"/>
    <w:rsid w:val="005763C9"/>
    <w:rsid w:val="005764FD"/>
    <w:rsid w:val="0057685F"/>
    <w:rsid w:val="00576897"/>
    <w:rsid w:val="005768B4"/>
    <w:rsid w:val="00576964"/>
    <w:rsid w:val="00576A0A"/>
    <w:rsid w:val="00576B78"/>
    <w:rsid w:val="00576BCF"/>
    <w:rsid w:val="00576BFD"/>
    <w:rsid w:val="00576D10"/>
    <w:rsid w:val="00576FD7"/>
    <w:rsid w:val="00577093"/>
    <w:rsid w:val="005770BF"/>
    <w:rsid w:val="005771D7"/>
    <w:rsid w:val="00577218"/>
    <w:rsid w:val="0057721A"/>
    <w:rsid w:val="0057735F"/>
    <w:rsid w:val="0057736B"/>
    <w:rsid w:val="00577389"/>
    <w:rsid w:val="005773D2"/>
    <w:rsid w:val="0057746D"/>
    <w:rsid w:val="005774CE"/>
    <w:rsid w:val="00577546"/>
    <w:rsid w:val="00577BE1"/>
    <w:rsid w:val="00577DD8"/>
    <w:rsid w:val="0058007B"/>
    <w:rsid w:val="0058018C"/>
    <w:rsid w:val="0058025D"/>
    <w:rsid w:val="005802A7"/>
    <w:rsid w:val="00580676"/>
    <w:rsid w:val="005806FF"/>
    <w:rsid w:val="005807D7"/>
    <w:rsid w:val="00580833"/>
    <w:rsid w:val="005808A8"/>
    <w:rsid w:val="00580910"/>
    <w:rsid w:val="005809A1"/>
    <w:rsid w:val="00580B7E"/>
    <w:rsid w:val="00580C8B"/>
    <w:rsid w:val="00580D28"/>
    <w:rsid w:val="00580E11"/>
    <w:rsid w:val="005811B8"/>
    <w:rsid w:val="00581235"/>
    <w:rsid w:val="005813C0"/>
    <w:rsid w:val="00581517"/>
    <w:rsid w:val="005816A8"/>
    <w:rsid w:val="0058174E"/>
    <w:rsid w:val="0058180A"/>
    <w:rsid w:val="005818B5"/>
    <w:rsid w:val="005818D2"/>
    <w:rsid w:val="00581961"/>
    <w:rsid w:val="00581ACD"/>
    <w:rsid w:val="00581B77"/>
    <w:rsid w:val="00581C42"/>
    <w:rsid w:val="00581DA4"/>
    <w:rsid w:val="00581DDA"/>
    <w:rsid w:val="00581E12"/>
    <w:rsid w:val="00581F57"/>
    <w:rsid w:val="00581FFF"/>
    <w:rsid w:val="0058200C"/>
    <w:rsid w:val="00582015"/>
    <w:rsid w:val="00582261"/>
    <w:rsid w:val="005824B1"/>
    <w:rsid w:val="005826FA"/>
    <w:rsid w:val="00582745"/>
    <w:rsid w:val="0058284C"/>
    <w:rsid w:val="005828DE"/>
    <w:rsid w:val="005829A6"/>
    <w:rsid w:val="00582CEE"/>
    <w:rsid w:val="00582D27"/>
    <w:rsid w:val="00582E55"/>
    <w:rsid w:val="00583073"/>
    <w:rsid w:val="005833B5"/>
    <w:rsid w:val="00583409"/>
    <w:rsid w:val="0058348E"/>
    <w:rsid w:val="005834D4"/>
    <w:rsid w:val="005835A8"/>
    <w:rsid w:val="005836B1"/>
    <w:rsid w:val="005836C7"/>
    <w:rsid w:val="0058381B"/>
    <w:rsid w:val="00583857"/>
    <w:rsid w:val="00583AC8"/>
    <w:rsid w:val="00583AF2"/>
    <w:rsid w:val="00583BE7"/>
    <w:rsid w:val="00583E44"/>
    <w:rsid w:val="00583F3B"/>
    <w:rsid w:val="0058410A"/>
    <w:rsid w:val="00584115"/>
    <w:rsid w:val="005842B7"/>
    <w:rsid w:val="005843E6"/>
    <w:rsid w:val="005843E9"/>
    <w:rsid w:val="00584534"/>
    <w:rsid w:val="005845BC"/>
    <w:rsid w:val="00584747"/>
    <w:rsid w:val="00584854"/>
    <w:rsid w:val="00584B47"/>
    <w:rsid w:val="00584C56"/>
    <w:rsid w:val="00584C85"/>
    <w:rsid w:val="00584C9C"/>
    <w:rsid w:val="00584EAA"/>
    <w:rsid w:val="00584F68"/>
    <w:rsid w:val="00584F73"/>
    <w:rsid w:val="00584F7F"/>
    <w:rsid w:val="00584FC8"/>
    <w:rsid w:val="0058506C"/>
    <w:rsid w:val="00585223"/>
    <w:rsid w:val="0058575A"/>
    <w:rsid w:val="00585796"/>
    <w:rsid w:val="0058581A"/>
    <w:rsid w:val="00585835"/>
    <w:rsid w:val="005858EB"/>
    <w:rsid w:val="00585AB6"/>
    <w:rsid w:val="00585BA6"/>
    <w:rsid w:val="00585CF7"/>
    <w:rsid w:val="00585D2F"/>
    <w:rsid w:val="00585E69"/>
    <w:rsid w:val="00585F32"/>
    <w:rsid w:val="00586262"/>
    <w:rsid w:val="00586304"/>
    <w:rsid w:val="00586498"/>
    <w:rsid w:val="005864B1"/>
    <w:rsid w:val="00586532"/>
    <w:rsid w:val="005865AD"/>
    <w:rsid w:val="005866EF"/>
    <w:rsid w:val="005869A8"/>
    <w:rsid w:val="00586B17"/>
    <w:rsid w:val="00586BE0"/>
    <w:rsid w:val="00586BF6"/>
    <w:rsid w:val="00586C65"/>
    <w:rsid w:val="00586CDB"/>
    <w:rsid w:val="005871BB"/>
    <w:rsid w:val="005871F9"/>
    <w:rsid w:val="0058728E"/>
    <w:rsid w:val="005872E8"/>
    <w:rsid w:val="00587437"/>
    <w:rsid w:val="0058755F"/>
    <w:rsid w:val="0058769E"/>
    <w:rsid w:val="0058789B"/>
    <w:rsid w:val="005878DC"/>
    <w:rsid w:val="005878F7"/>
    <w:rsid w:val="005879D4"/>
    <w:rsid w:val="00587AB7"/>
    <w:rsid w:val="00587ABE"/>
    <w:rsid w:val="00587B27"/>
    <w:rsid w:val="00587B46"/>
    <w:rsid w:val="00587BDD"/>
    <w:rsid w:val="00587BF6"/>
    <w:rsid w:val="00587DE4"/>
    <w:rsid w:val="00587F13"/>
    <w:rsid w:val="00590082"/>
    <w:rsid w:val="00590157"/>
    <w:rsid w:val="005901D4"/>
    <w:rsid w:val="00590458"/>
    <w:rsid w:val="00590529"/>
    <w:rsid w:val="0059055D"/>
    <w:rsid w:val="00590681"/>
    <w:rsid w:val="005906A2"/>
    <w:rsid w:val="00590767"/>
    <w:rsid w:val="0059084B"/>
    <w:rsid w:val="00590949"/>
    <w:rsid w:val="005909A6"/>
    <w:rsid w:val="005909F1"/>
    <w:rsid w:val="00590A3F"/>
    <w:rsid w:val="00590B2E"/>
    <w:rsid w:val="00590C62"/>
    <w:rsid w:val="00590CC5"/>
    <w:rsid w:val="00590ED8"/>
    <w:rsid w:val="00591080"/>
    <w:rsid w:val="0059128D"/>
    <w:rsid w:val="0059131D"/>
    <w:rsid w:val="0059135B"/>
    <w:rsid w:val="0059197F"/>
    <w:rsid w:val="00591AE2"/>
    <w:rsid w:val="00591FD7"/>
    <w:rsid w:val="0059210D"/>
    <w:rsid w:val="0059226E"/>
    <w:rsid w:val="005922C0"/>
    <w:rsid w:val="005922FF"/>
    <w:rsid w:val="005923EB"/>
    <w:rsid w:val="00592442"/>
    <w:rsid w:val="005927CC"/>
    <w:rsid w:val="00592907"/>
    <w:rsid w:val="00592912"/>
    <w:rsid w:val="00592B4C"/>
    <w:rsid w:val="00592B5A"/>
    <w:rsid w:val="00592C79"/>
    <w:rsid w:val="00592D8D"/>
    <w:rsid w:val="00592F01"/>
    <w:rsid w:val="00592F31"/>
    <w:rsid w:val="00592FFC"/>
    <w:rsid w:val="005931AA"/>
    <w:rsid w:val="00593284"/>
    <w:rsid w:val="00593309"/>
    <w:rsid w:val="00593325"/>
    <w:rsid w:val="00593367"/>
    <w:rsid w:val="0059361A"/>
    <w:rsid w:val="00593664"/>
    <w:rsid w:val="005936CB"/>
    <w:rsid w:val="005937B7"/>
    <w:rsid w:val="00593A47"/>
    <w:rsid w:val="00593A6C"/>
    <w:rsid w:val="00593CAF"/>
    <w:rsid w:val="00593D4C"/>
    <w:rsid w:val="00593DDB"/>
    <w:rsid w:val="00593EA2"/>
    <w:rsid w:val="00594022"/>
    <w:rsid w:val="0059413B"/>
    <w:rsid w:val="00594384"/>
    <w:rsid w:val="005943AA"/>
    <w:rsid w:val="005943DB"/>
    <w:rsid w:val="00594477"/>
    <w:rsid w:val="0059455F"/>
    <w:rsid w:val="0059462B"/>
    <w:rsid w:val="0059483A"/>
    <w:rsid w:val="00594BA6"/>
    <w:rsid w:val="00594BAD"/>
    <w:rsid w:val="00594CDA"/>
    <w:rsid w:val="00594D56"/>
    <w:rsid w:val="00594DA7"/>
    <w:rsid w:val="00594DB1"/>
    <w:rsid w:val="00594DD7"/>
    <w:rsid w:val="00594DF6"/>
    <w:rsid w:val="00594F49"/>
    <w:rsid w:val="00594FA2"/>
    <w:rsid w:val="0059519A"/>
    <w:rsid w:val="0059519D"/>
    <w:rsid w:val="00595527"/>
    <w:rsid w:val="0059554C"/>
    <w:rsid w:val="00595568"/>
    <w:rsid w:val="00595676"/>
    <w:rsid w:val="00595799"/>
    <w:rsid w:val="0059589F"/>
    <w:rsid w:val="00595CCD"/>
    <w:rsid w:val="00595CEC"/>
    <w:rsid w:val="00595D5C"/>
    <w:rsid w:val="00595F10"/>
    <w:rsid w:val="00595FB5"/>
    <w:rsid w:val="00595FBF"/>
    <w:rsid w:val="00595FFE"/>
    <w:rsid w:val="00596035"/>
    <w:rsid w:val="00596103"/>
    <w:rsid w:val="0059621C"/>
    <w:rsid w:val="0059643E"/>
    <w:rsid w:val="0059680C"/>
    <w:rsid w:val="00596882"/>
    <w:rsid w:val="005968D9"/>
    <w:rsid w:val="005968E7"/>
    <w:rsid w:val="00596B20"/>
    <w:rsid w:val="00596C74"/>
    <w:rsid w:val="00596C7B"/>
    <w:rsid w:val="00596E5C"/>
    <w:rsid w:val="005972BE"/>
    <w:rsid w:val="00597449"/>
    <w:rsid w:val="0059749E"/>
    <w:rsid w:val="00597570"/>
    <w:rsid w:val="0059760C"/>
    <w:rsid w:val="005977DF"/>
    <w:rsid w:val="00597820"/>
    <w:rsid w:val="00597A3D"/>
    <w:rsid w:val="00597B1C"/>
    <w:rsid w:val="00597BAB"/>
    <w:rsid w:val="00597D5D"/>
    <w:rsid w:val="00597E04"/>
    <w:rsid w:val="005A00E5"/>
    <w:rsid w:val="005A03A5"/>
    <w:rsid w:val="005A03FB"/>
    <w:rsid w:val="005A0408"/>
    <w:rsid w:val="005A055E"/>
    <w:rsid w:val="005A06B3"/>
    <w:rsid w:val="005A079E"/>
    <w:rsid w:val="005A083F"/>
    <w:rsid w:val="005A08F5"/>
    <w:rsid w:val="005A0958"/>
    <w:rsid w:val="005A0A03"/>
    <w:rsid w:val="005A0CE0"/>
    <w:rsid w:val="005A0E08"/>
    <w:rsid w:val="005A1006"/>
    <w:rsid w:val="005A1453"/>
    <w:rsid w:val="005A1484"/>
    <w:rsid w:val="005A15D6"/>
    <w:rsid w:val="005A15E6"/>
    <w:rsid w:val="005A1AB0"/>
    <w:rsid w:val="005A1ABA"/>
    <w:rsid w:val="005A1BBF"/>
    <w:rsid w:val="005A1DFA"/>
    <w:rsid w:val="005A1E5D"/>
    <w:rsid w:val="005A1F4E"/>
    <w:rsid w:val="005A1F57"/>
    <w:rsid w:val="005A20B9"/>
    <w:rsid w:val="005A20E9"/>
    <w:rsid w:val="005A212E"/>
    <w:rsid w:val="005A233A"/>
    <w:rsid w:val="005A25FF"/>
    <w:rsid w:val="005A265D"/>
    <w:rsid w:val="005A27AC"/>
    <w:rsid w:val="005A285B"/>
    <w:rsid w:val="005A28EB"/>
    <w:rsid w:val="005A2995"/>
    <w:rsid w:val="005A2A6A"/>
    <w:rsid w:val="005A2B8E"/>
    <w:rsid w:val="005A2C5E"/>
    <w:rsid w:val="005A2D48"/>
    <w:rsid w:val="005A2EC2"/>
    <w:rsid w:val="005A2F5F"/>
    <w:rsid w:val="005A30E9"/>
    <w:rsid w:val="005A31C8"/>
    <w:rsid w:val="005A321B"/>
    <w:rsid w:val="005A3381"/>
    <w:rsid w:val="005A3490"/>
    <w:rsid w:val="005A34C2"/>
    <w:rsid w:val="005A3614"/>
    <w:rsid w:val="005A3696"/>
    <w:rsid w:val="005A375A"/>
    <w:rsid w:val="005A384B"/>
    <w:rsid w:val="005A3A95"/>
    <w:rsid w:val="005A3C2A"/>
    <w:rsid w:val="005A3C64"/>
    <w:rsid w:val="005A3C90"/>
    <w:rsid w:val="005A3D3C"/>
    <w:rsid w:val="005A3DCD"/>
    <w:rsid w:val="005A3F1B"/>
    <w:rsid w:val="005A3F9F"/>
    <w:rsid w:val="005A4039"/>
    <w:rsid w:val="005A406C"/>
    <w:rsid w:val="005A4074"/>
    <w:rsid w:val="005A41CF"/>
    <w:rsid w:val="005A4228"/>
    <w:rsid w:val="005A4437"/>
    <w:rsid w:val="005A445A"/>
    <w:rsid w:val="005A4468"/>
    <w:rsid w:val="005A44F5"/>
    <w:rsid w:val="005A45C4"/>
    <w:rsid w:val="005A462B"/>
    <w:rsid w:val="005A47F6"/>
    <w:rsid w:val="005A48B3"/>
    <w:rsid w:val="005A48C7"/>
    <w:rsid w:val="005A48E1"/>
    <w:rsid w:val="005A49AA"/>
    <w:rsid w:val="005A4B28"/>
    <w:rsid w:val="005A4C08"/>
    <w:rsid w:val="005A4E27"/>
    <w:rsid w:val="005A4FA0"/>
    <w:rsid w:val="005A51C1"/>
    <w:rsid w:val="005A5365"/>
    <w:rsid w:val="005A5466"/>
    <w:rsid w:val="005A54CC"/>
    <w:rsid w:val="005A57B4"/>
    <w:rsid w:val="005A58DA"/>
    <w:rsid w:val="005A59E1"/>
    <w:rsid w:val="005A5DEB"/>
    <w:rsid w:val="005A5E99"/>
    <w:rsid w:val="005A5F95"/>
    <w:rsid w:val="005A5FFE"/>
    <w:rsid w:val="005A60DC"/>
    <w:rsid w:val="005A626E"/>
    <w:rsid w:val="005A6398"/>
    <w:rsid w:val="005A63BC"/>
    <w:rsid w:val="005A6431"/>
    <w:rsid w:val="005A6446"/>
    <w:rsid w:val="005A654B"/>
    <w:rsid w:val="005A66E7"/>
    <w:rsid w:val="005A67C9"/>
    <w:rsid w:val="005A69CC"/>
    <w:rsid w:val="005A6C52"/>
    <w:rsid w:val="005A6D60"/>
    <w:rsid w:val="005A7035"/>
    <w:rsid w:val="005A70BF"/>
    <w:rsid w:val="005A7172"/>
    <w:rsid w:val="005A718F"/>
    <w:rsid w:val="005A71F3"/>
    <w:rsid w:val="005A7355"/>
    <w:rsid w:val="005A7386"/>
    <w:rsid w:val="005A74A6"/>
    <w:rsid w:val="005A7758"/>
    <w:rsid w:val="005A7904"/>
    <w:rsid w:val="005A7A7A"/>
    <w:rsid w:val="005A7AC5"/>
    <w:rsid w:val="005A7ACC"/>
    <w:rsid w:val="005A7B96"/>
    <w:rsid w:val="005A7BAF"/>
    <w:rsid w:val="005A7CA1"/>
    <w:rsid w:val="005A7D04"/>
    <w:rsid w:val="005A7EED"/>
    <w:rsid w:val="005B003A"/>
    <w:rsid w:val="005B0192"/>
    <w:rsid w:val="005B0370"/>
    <w:rsid w:val="005B0429"/>
    <w:rsid w:val="005B046A"/>
    <w:rsid w:val="005B04A6"/>
    <w:rsid w:val="005B078A"/>
    <w:rsid w:val="005B0791"/>
    <w:rsid w:val="005B08E0"/>
    <w:rsid w:val="005B0957"/>
    <w:rsid w:val="005B09DC"/>
    <w:rsid w:val="005B0BC4"/>
    <w:rsid w:val="005B0CB0"/>
    <w:rsid w:val="005B0DB9"/>
    <w:rsid w:val="005B0EAE"/>
    <w:rsid w:val="005B0EED"/>
    <w:rsid w:val="005B1050"/>
    <w:rsid w:val="005B112C"/>
    <w:rsid w:val="005B1434"/>
    <w:rsid w:val="005B1465"/>
    <w:rsid w:val="005B196A"/>
    <w:rsid w:val="005B1B28"/>
    <w:rsid w:val="005B1B76"/>
    <w:rsid w:val="005B1B8F"/>
    <w:rsid w:val="005B1BCB"/>
    <w:rsid w:val="005B1C92"/>
    <w:rsid w:val="005B1D5A"/>
    <w:rsid w:val="005B1D6C"/>
    <w:rsid w:val="005B1EB7"/>
    <w:rsid w:val="005B1ED1"/>
    <w:rsid w:val="005B1FDC"/>
    <w:rsid w:val="005B2029"/>
    <w:rsid w:val="005B2092"/>
    <w:rsid w:val="005B2257"/>
    <w:rsid w:val="005B24D2"/>
    <w:rsid w:val="005B255A"/>
    <w:rsid w:val="005B25F2"/>
    <w:rsid w:val="005B262E"/>
    <w:rsid w:val="005B275E"/>
    <w:rsid w:val="005B27CE"/>
    <w:rsid w:val="005B2ACE"/>
    <w:rsid w:val="005B2B7D"/>
    <w:rsid w:val="005B2C4D"/>
    <w:rsid w:val="005B2C81"/>
    <w:rsid w:val="005B2CE1"/>
    <w:rsid w:val="005B2D8C"/>
    <w:rsid w:val="005B2E07"/>
    <w:rsid w:val="005B2FB3"/>
    <w:rsid w:val="005B2FD4"/>
    <w:rsid w:val="005B2FD7"/>
    <w:rsid w:val="005B3160"/>
    <w:rsid w:val="005B3363"/>
    <w:rsid w:val="005B3393"/>
    <w:rsid w:val="005B340E"/>
    <w:rsid w:val="005B3427"/>
    <w:rsid w:val="005B3766"/>
    <w:rsid w:val="005B3785"/>
    <w:rsid w:val="005B38D6"/>
    <w:rsid w:val="005B3A83"/>
    <w:rsid w:val="005B3B2D"/>
    <w:rsid w:val="005B3BBE"/>
    <w:rsid w:val="005B3D36"/>
    <w:rsid w:val="005B3DFE"/>
    <w:rsid w:val="005B3EAC"/>
    <w:rsid w:val="005B3F78"/>
    <w:rsid w:val="005B4143"/>
    <w:rsid w:val="005B420C"/>
    <w:rsid w:val="005B4240"/>
    <w:rsid w:val="005B42B4"/>
    <w:rsid w:val="005B42BE"/>
    <w:rsid w:val="005B4383"/>
    <w:rsid w:val="005B4400"/>
    <w:rsid w:val="005B440D"/>
    <w:rsid w:val="005B4498"/>
    <w:rsid w:val="005B4736"/>
    <w:rsid w:val="005B4837"/>
    <w:rsid w:val="005B48F1"/>
    <w:rsid w:val="005B4AAC"/>
    <w:rsid w:val="005B4B77"/>
    <w:rsid w:val="005B4CA9"/>
    <w:rsid w:val="005B4E1C"/>
    <w:rsid w:val="005B4E83"/>
    <w:rsid w:val="005B5096"/>
    <w:rsid w:val="005B5132"/>
    <w:rsid w:val="005B5205"/>
    <w:rsid w:val="005B52DA"/>
    <w:rsid w:val="005B535D"/>
    <w:rsid w:val="005B549F"/>
    <w:rsid w:val="005B55BC"/>
    <w:rsid w:val="005B5675"/>
    <w:rsid w:val="005B5838"/>
    <w:rsid w:val="005B595D"/>
    <w:rsid w:val="005B598F"/>
    <w:rsid w:val="005B5A7A"/>
    <w:rsid w:val="005B5A8D"/>
    <w:rsid w:val="005B5C69"/>
    <w:rsid w:val="005B5C82"/>
    <w:rsid w:val="005B5DA1"/>
    <w:rsid w:val="005B5DBA"/>
    <w:rsid w:val="005B626D"/>
    <w:rsid w:val="005B628C"/>
    <w:rsid w:val="005B653E"/>
    <w:rsid w:val="005B658F"/>
    <w:rsid w:val="005B660B"/>
    <w:rsid w:val="005B6645"/>
    <w:rsid w:val="005B6649"/>
    <w:rsid w:val="005B67AF"/>
    <w:rsid w:val="005B67D7"/>
    <w:rsid w:val="005B67E1"/>
    <w:rsid w:val="005B68A6"/>
    <w:rsid w:val="005B68BD"/>
    <w:rsid w:val="005B6905"/>
    <w:rsid w:val="005B69A4"/>
    <w:rsid w:val="005B6A90"/>
    <w:rsid w:val="005B6AFE"/>
    <w:rsid w:val="005B6B17"/>
    <w:rsid w:val="005B6D43"/>
    <w:rsid w:val="005B6F78"/>
    <w:rsid w:val="005B6FA2"/>
    <w:rsid w:val="005B711C"/>
    <w:rsid w:val="005B71F7"/>
    <w:rsid w:val="005B72B0"/>
    <w:rsid w:val="005B731D"/>
    <w:rsid w:val="005B738E"/>
    <w:rsid w:val="005B748E"/>
    <w:rsid w:val="005B76FF"/>
    <w:rsid w:val="005B7956"/>
    <w:rsid w:val="005B7AB9"/>
    <w:rsid w:val="005B7B91"/>
    <w:rsid w:val="005B7C67"/>
    <w:rsid w:val="005B7DB8"/>
    <w:rsid w:val="005BFA3F"/>
    <w:rsid w:val="005C01DF"/>
    <w:rsid w:val="005C027F"/>
    <w:rsid w:val="005C02B0"/>
    <w:rsid w:val="005C02C3"/>
    <w:rsid w:val="005C02D4"/>
    <w:rsid w:val="005C06EE"/>
    <w:rsid w:val="005C0747"/>
    <w:rsid w:val="005C0765"/>
    <w:rsid w:val="005C07C5"/>
    <w:rsid w:val="005C0858"/>
    <w:rsid w:val="005C087B"/>
    <w:rsid w:val="005C0B55"/>
    <w:rsid w:val="005C0B7D"/>
    <w:rsid w:val="005C0CCF"/>
    <w:rsid w:val="005C0CF7"/>
    <w:rsid w:val="005C0D20"/>
    <w:rsid w:val="005C0FE7"/>
    <w:rsid w:val="005C10D8"/>
    <w:rsid w:val="005C10F0"/>
    <w:rsid w:val="005C11A5"/>
    <w:rsid w:val="005C11EB"/>
    <w:rsid w:val="005C125D"/>
    <w:rsid w:val="005C131C"/>
    <w:rsid w:val="005C1585"/>
    <w:rsid w:val="005C15A2"/>
    <w:rsid w:val="005C18E4"/>
    <w:rsid w:val="005C1AB2"/>
    <w:rsid w:val="005C1C28"/>
    <w:rsid w:val="005C1D8B"/>
    <w:rsid w:val="005C1E64"/>
    <w:rsid w:val="005C1F96"/>
    <w:rsid w:val="005C2006"/>
    <w:rsid w:val="005C2110"/>
    <w:rsid w:val="005C23E3"/>
    <w:rsid w:val="005C240B"/>
    <w:rsid w:val="005C28B4"/>
    <w:rsid w:val="005C28F8"/>
    <w:rsid w:val="005C29DE"/>
    <w:rsid w:val="005C2A45"/>
    <w:rsid w:val="005C2BB3"/>
    <w:rsid w:val="005C2CF4"/>
    <w:rsid w:val="005C2DE9"/>
    <w:rsid w:val="005C30C1"/>
    <w:rsid w:val="005C31B8"/>
    <w:rsid w:val="005C324F"/>
    <w:rsid w:val="005C351E"/>
    <w:rsid w:val="005C37E0"/>
    <w:rsid w:val="005C3A4C"/>
    <w:rsid w:val="005C3AE7"/>
    <w:rsid w:val="005C3C85"/>
    <w:rsid w:val="005C3CFA"/>
    <w:rsid w:val="005C3D26"/>
    <w:rsid w:val="005C3F09"/>
    <w:rsid w:val="005C3FC8"/>
    <w:rsid w:val="005C40EA"/>
    <w:rsid w:val="005C419D"/>
    <w:rsid w:val="005C41B8"/>
    <w:rsid w:val="005C41BF"/>
    <w:rsid w:val="005C426F"/>
    <w:rsid w:val="005C4360"/>
    <w:rsid w:val="005C43CC"/>
    <w:rsid w:val="005C46E3"/>
    <w:rsid w:val="005C4937"/>
    <w:rsid w:val="005C49CA"/>
    <w:rsid w:val="005C4B74"/>
    <w:rsid w:val="005C4B90"/>
    <w:rsid w:val="005C526E"/>
    <w:rsid w:val="005C52D9"/>
    <w:rsid w:val="005C5467"/>
    <w:rsid w:val="005C5568"/>
    <w:rsid w:val="005C560F"/>
    <w:rsid w:val="005C56BC"/>
    <w:rsid w:val="005C5753"/>
    <w:rsid w:val="005C59A4"/>
    <w:rsid w:val="005C59FE"/>
    <w:rsid w:val="005C5A65"/>
    <w:rsid w:val="005C5CA5"/>
    <w:rsid w:val="005C5CBA"/>
    <w:rsid w:val="005C5D7C"/>
    <w:rsid w:val="005C6030"/>
    <w:rsid w:val="005C609C"/>
    <w:rsid w:val="005C6121"/>
    <w:rsid w:val="005C62DA"/>
    <w:rsid w:val="005C6525"/>
    <w:rsid w:val="005C6566"/>
    <w:rsid w:val="005C6657"/>
    <w:rsid w:val="005C66D8"/>
    <w:rsid w:val="005C6737"/>
    <w:rsid w:val="005C67AD"/>
    <w:rsid w:val="005C6826"/>
    <w:rsid w:val="005C69FB"/>
    <w:rsid w:val="005C6A09"/>
    <w:rsid w:val="005C6B1E"/>
    <w:rsid w:val="005C6C1B"/>
    <w:rsid w:val="005C6CEB"/>
    <w:rsid w:val="005C6DAF"/>
    <w:rsid w:val="005C6E96"/>
    <w:rsid w:val="005C6FD7"/>
    <w:rsid w:val="005C707B"/>
    <w:rsid w:val="005C7152"/>
    <w:rsid w:val="005C726E"/>
    <w:rsid w:val="005C7407"/>
    <w:rsid w:val="005C746C"/>
    <w:rsid w:val="005C7511"/>
    <w:rsid w:val="005C75AE"/>
    <w:rsid w:val="005C75DA"/>
    <w:rsid w:val="005C76B3"/>
    <w:rsid w:val="005C76DB"/>
    <w:rsid w:val="005C76E4"/>
    <w:rsid w:val="005C7701"/>
    <w:rsid w:val="005C7739"/>
    <w:rsid w:val="005C77F5"/>
    <w:rsid w:val="005C77FA"/>
    <w:rsid w:val="005C78B1"/>
    <w:rsid w:val="005C7962"/>
    <w:rsid w:val="005C799D"/>
    <w:rsid w:val="005C79A8"/>
    <w:rsid w:val="005C7B12"/>
    <w:rsid w:val="005C7D91"/>
    <w:rsid w:val="005C7E21"/>
    <w:rsid w:val="005C7EA1"/>
    <w:rsid w:val="005D0196"/>
    <w:rsid w:val="005D0198"/>
    <w:rsid w:val="005D01C5"/>
    <w:rsid w:val="005D01EB"/>
    <w:rsid w:val="005D02E4"/>
    <w:rsid w:val="005D0315"/>
    <w:rsid w:val="005D03B5"/>
    <w:rsid w:val="005D084C"/>
    <w:rsid w:val="005D08B1"/>
    <w:rsid w:val="005D09C0"/>
    <w:rsid w:val="005D0BC7"/>
    <w:rsid w:val="005D0BD2"/>
    <w:rsid w:val="005D0C63"/>
    <w:rsid w:val="005D0D09"/>
    <w:rsid w:val="005D0D1D"/>
    <w:rsid w:val="005D0ECA"/>
    <w:rsid w:val="005D0F4E"/>
    <w:rsid w:val="005D0F7E"/>
    <w:rsid w:val="005D0F95"/>
    <w:rsid w:val="005D0FB1"/>
    <w:rsid w:val="005D101E"/>
    <w:rsid w:val="005D10BD"/>
    <w:rsid w:val="005D1107"/>
    <w:rsid w:val="005D11C2"/>
    <w:rsid w:val="005D11D9"/>
    <w:rsid w:val="005D142A"/>
    <w:rsid w:val="005D16B2"/>
    <w:rsid w:val="005D19C6"/>
    <w:rsid w:val="005D1BFF"/>
    <w:rsid w:val="005D1C53"/>
    <w:rsid w:val="005D1D20"/>
    <w:rsid w:val="005D1D54"/>
    <w:rsid w:val="005D1F11"/>
    <w:rsid w:val="005D1F79"/>
    <w:rsid w:val="005D204C"/>
    <w:rsid w:val="005D220E"/>
    <w:rsid w:val="005D226B"/>
    <w:rsid w:val="005D2286"/>
    <w:rsid w:val="005D23F7"/>
    <w:rsid w:val="005D24F5"/>
    <w:rsid w:val="005D253D"/>
    <w:rsid w:val="005D25E8"/>
    <w:rsid w:val="005D2782"/>
    <w:rsid w:val="005D279D"/>
    <w:rsid w:val="005D2838"/>
    <w:rsid w:val="005D2A19"/>
    <w:rsid w:val="005D2BDD"/>
    <w:rsid w:val="005D2C03"/>
    <w:rsid w:val="005D2C65"/>
    <w:rsid w:val="005D2E83"/>
    <w:rsid w:val="005D30FB"/>
    <w:rsid w:val="005D323C"/>
    <w:rsid w:val="005D33AE"/>
    <w:rsid w:val="005D33E6"/>
    <w:rsid w:val="005D3417"/>
    <w:rsid w:val="005D37B5"/>
    <w:rsid w:val="005D3989"/>
    <w:rsid w:val="005D3BA4"/>
    <w:rsid w:val="005D3E7E"/>
    <w:rsid w:val="005D3EFF"/>
    <w:rsid w:val="005D40B2"/>
    <w:rsid w:val="005D40DC"/>
    <w:rsid w:val="005D4155"/>
    <w:rsid w:val="005D4206"/>
    <w:rsid w:val="005D467D"/>
    <w:rsid w:val="005D46BE"/>
    <w:rsid w:val="005D473F"/>
    <w:rsid w:val="005D4755"/>
    <w:rsid w:val="005D4782"/>
    <w:rsid w:val="005D496B"/>
    <w:rsid w:val="005D49B6"/>
    <w:rsid w:val="005D49FA"/>
    <w:rsid w:val="005D4A58"/>
    <w:rsid w:val="005D4A62"/>
    <w:rsid w:val="005D4C36"/>
    <w:rsid w:val="005D4C5E"/>
    <w:rsid w:val="005D4D02"/>
    <w:rsid w:val="005D4D9D"/>
    <w:rsid w:val="005D4EC6"/>
    <w:rsid w:val="005D4F38"/>
    <w:rsid w:val="005D50C1"/>
    <w:rsid w:val="005D51D2"/>
    <w:rsid w:val="005D5216"/>
    <w:rsid w:val="005D5393"/>
    <w:rsid w:val="005D5505"/>
    <w:rsid w:val="005D550C"/>
    <w:rsid w:val="005D5560"/>
    <w:rsid w:val="005D56E4"/>
    <w:rsid w:val="005D5741"/>
    <w:rsid w:val="005D5756"/>
    <w:rsid w:val="005D58EC"/>
    <w:rsid w:val="005D5C66"/>
    <w:rsid w:val="005D5C8C"/>
    <w:rsid w:val="005D5CC4"/>
    <w:rsid w:val="005D5CF1"/>
    <w:rsid w:val="005D5CFA"/>
    <w:rsid w:val="005D5D2B"/>
    <w:rsid w:val="005D5E2C"/>
    <w:rsid w:val="005D5EF2"/>
    <w:rsid w:val="005D6227"/>
    <w:rsid w:val="005D6A6E"/>
    <w:rsid w:val="005D6B04"/>
    <w:rsid w:val="005D6BF4"/>
    <w:rsid w:val="005D6BF6"/>
    <w:rsid w:val="005D6C09"/>
    <w:rsid w:val="005D6D18"/>
    <w:rsid w:val="005D6D64"/>
    <w:rsid w:val="005D6DCB"/>
    <w:rsid w:val="005D70A1"/>
    <w:rsid w:val="005D7326"/>
    <w:rsid w:val="005D732E"/>
    <w:rsid w:val="005D73C5"/>
    <w:rsid w:val="005D7508"/>
    <w:rsid w:val="005D7679"/>
    <w:rsid w:val="005D7AB8"/>
    <w:rsid w:val="005D7DCF"/>
    <w:rsid w:val="005D7F4C"/>
    <w:rsid w:val="005DE4FD"/>
    <w:rsid w:val="005E012D"/>
    <w:rsid w:val="005E013F"/>
    <w:rsid w:val="005E0168"/>
    <w:rsid w:val="005E042D"/>
    <w:rsid w:val="005E0888"/>
    <w:rsid w:val="005E0932"/>
    <w:rsid w:val="005E0A2D"/>
    <w:rsid w:val="005E0BDE"/>
    <w:rsid w:val="005E0DE0"/>
    <w:rsid w:val="005E0DE3"/>
    <w:rsid w:val="005E0DE5"/>
    <w:rsid w:val="005E0FAD"/>
    <w:rsid w:val="005E10B5"/>
    <w:rsid w:val="005E1135"/>
    <w:rsid w:val="005E1141"/>
    <w:rsid w:val="005E115F"/>
    <w:rsid w:val="005E129A"/>
    <w:rsid w:val="005E134D"/>
    <w:rsid w:val="005E1373"/>
    <w:rsid w:val="005E13C8"/>
    <w:rsid w:val="005E145D"/>
    <w:rsid w:val="005E157C"/>
    <w:rsid w:val="005E1856"/>
    <w:rsid w:val="005E1941"/>
    <w:rsid w:val="005E1954"/>
    <w:rsid w:val="005E19C2"/>
    <w:rsid w:val="005E1ABD"/>
    <w:rsid w:val="005E1AD1"/>
    <w:rsid w:val="005E1E50"/>
    <w:rsid w:val="005E1EA1"/>
    <w:rsid w:val="005E1FEC"/>
    <w:rsid w:val="005E2015"/>
    <w:rsid w:val="005E20CA"/>
    <w:rsid w:val="005E222D"/>
    <w:rsid w:val="005E2372"/>
    <w:rsid w:val="005E25CF"/>
    <w:rsid w:val="005E2669"/>
    <w:rsid w:val="005E26FF"/>
    <w:rsid w:val="005E2A6D"/>
    <w:rsid w:val="005E2AC5"/>
    <w:rsid w:val="005E2BCB"/>
    <w:rsid w:val="005E2CCF"/>
    <w:rsid w:val="005E2CE9"/>
    <w:rsid w:val="005E2E25"/>
    <w:rsid w:val="005E2F75"/>
    <w:rsid w:val="005E2FA9"/>
    <w:rsid w:val="005E2FB9"/>
    <w:rsid w:val="005E338E"/>
    <w:rsid w:val="005E3462"/>
    <w:rsid w:val="005E3547"/>
    <w:rsid w:val="005E35AF"/>
    <w:rsid w:val="005E35DB"/>
    <w:rsid w:val="005E3638"/>
    <w:rsid w:val="005E38AF"/>
    <w:rsid w:val="005E39F6"/>
    <w:rsid w:val="005E3B51"/>
    <w:rsid w:val="005E3C0D"/>
    <w:rsid w:val="005E3C3D"/>
    <w:rsid w:val="005E3CA6"/>
    <w:rsid w:val="005E3D80"/>
    <w:rsid w:val="005E3DFE"/>
    <w:rsid w:val="005E3EE9"/>
    <w:rsid w:val="005E407C"/>
    <w:rsid w:val="005E4453"/>
    <w:rsid w:val="005E47A0"/>
    <w:rsid w:val="005E47DC"/>
    <w:rsid w:val="005E4A49"/>
    <w:rsid w:val="005E4A9C"/>
    <w:rsid w:val="005E4E7A"/>
    <w:rsid w:val="005E4EA6"/>
    <w:rsid w:val="005E4EA7"/>
    <w:rsid w:val="005E4EEE"/>
    <w:rsid w:val="005E5198"/>
    <w:rsid w:val="005E527C"/>
    <w:rsid w:val="005E5439"/>
    <w:rsid w:val="005E5714"/>
    <w:rsid w:val="005E59BA"/>
    <w:rsid w:val="005E5D1F"/>
    <w:rsid w:val="005E5DA3"/>
    <w:rsid w:val="005E5F1E"/>
    <w:rsid w:val="005E5F26"/>
    <w:rsid w:val="005E5F9D"/>
    <w:rsid w:val="005E6346"/>
    <w:rsid w:val="005E6391"/>
    <w:rsid w:val="005E639E"/>
    <w:rsid w:val="005E6547"/>
    <w:rsid w:val="005E6A7F"/>
    <w:rsid w:val="005E6CB6"/>
    <w:rsid w:val="005E6CE1"/>
    <w:rsid w:val="005E6DED"/>
    <w:rsid w:val="005E6FCD"/>
    <w:rsid w:val="005E701A"/>
    <w:rsid w:val="005E7045"/>
    <w:rsid w:val="005E7215"/>
    <w:rsid w:val="005E7378"/>
    <w:rsid w:val="005E73D7"/>
    <w:rsid w:val="005E7489"/>
    <w:rsid w:val="005E7558"/>
    <w:rsid w:val="005E7585"/>
    <w:rsid w:val="005E760A"/>
    <w:rsid w:val="005E7782"/>
    <w:rsid w:val="005E7849"/>
    <w:rsid w:val="005E7909"/>
    <w:rsid w:val="005E7A07"/>
    <w:rsid w:val="005E7C52"/>
    <w:rsid w:val="005E7D50"/>
    <w:rsid w:val="005E7E08"/>
    <w:rsid w:val="005F02D3"/>
    <w:rsid w:val="005F0497"/>
    <w:rsid w:val="005F0637"/>
    <w:rsid w:val="005F0760"/>
    <w:rsid w:val="005F0763"/>
    <w:rsid w:val="005F07BA"/>
    <w:rsid w:val="005F07FE"/>
    <w:rsid w:val="005F0814"/>
    <w:rsid w:val="005F08AB"/>
    <w:rsid w:val="005F0935"/>
    <w:rsid w:val="005F0949"/>
    <w:rsid w:val="005F09C3"/>
    <w:rsid w:val="005F0B72"/>
    <w:rsid w:val="005F0F24"/>
    <w:rsid w:val="005F1021"/>
    <w:rsid w:val="005F1075"/>
    <w:rsid w:val="005F12B4"/>
    <w:rsid w:val="005F13C3"/>
    <w:rsid w:val="005F1419"/>
    <w:rsid w:val="005F1485"/>
    <w:rsid w:val="005F1565"/>
    <w:rsid w:val="005F15D3"/>
    <w:rsid w:val="005F17B0"/>
    <w:rsid w:val="005F184D"/>
    <w:rsid w:val="005F18C7"/>
    <w:rsid w:val="005F1F2C"/>
    <w:rsid w:val="005F204A"/>
    <w:rsid w:val="005F2388"/>
    <w:rsid w:val="005F2541"/>
    <w:rsid w:val="005F2562"/>
    <w:rsid w:val="005F26F8"/>
    <w:rsid w:val="005F2707"/>
    <w:rsid w:val="005F2A24"/>
    <w:rsid w:val="005F2A75"/>
    <w:rsid w:val="005F2A94"/>
    <w:rsid w:val="005F2B67"/>
    <w:rsid w:val="005F2B8E"/>
    <w:rsid w:val="005F2BAE"/>
    <w:rsid w:val="005F2D1A"/>
    <w:rsid w:val="005F2D3B"/>
    <w:rsid w:val="005F2DDE"/>
    <w:rsid w:val="005F2DE0"/>
    <w:rsid w:val="005F2E3A"/>
    <w:rsid w:val="005F2E44"/>
    <w:rsid w:val="005F308A"/>
    <w:rsid w:val="005F30A8"/>
    <w:rsid w:val="005F3188"/>
    <w:rsid w:val="005F318A"/>
    <w:rsid w:val="005F32D5"/>
    <w:rsid w:val="005F32E1"/>
    <w:rsid w:val="005F3495"/>
    <w:rsid w:val="005F376C"/>
    <w:rsid w:val="005F3911"/>
    <w:rsid w:val="005F399E"/>
    <w:rsid w:val="005F3C13"/>
    <w:rsid w:val="005F3C90"/>
    <w:rsid w:val="005F3CC8"/>
    <w:rsid w:val="005F3D01"/>
    <w:rsid w:val="005F3DBE"/>
    <w:rsid w:val="005F3E32"/>
    <w:rsid w:val="005F3EB2"/>
    <w:rsid w:val="005F3F7C"/>
    <w:rsid w:val="005F4032"/>
    <w:rsid w:val="005F40FE"/>
    <w:rsid w:val="005F436C"/>
    <w:rsid w:val="005F4568"/>
    <w:rsid w:val="005F45B6"/>
    <w:rsid w:val="005F460B"/>
    <w:rsid w:val="005F486E"/>
    <w:rsid w:val="005F492E"/>
    <w:rsid w:val="005F4A59"/>
    <w:rsid w:val="005F4A7C"/>
    <w:rsid w:val="005F4AFC"/>
    <w:rsid w:val="005F4C31"/>
    <w:rsid w:val="005F4CA6"/>
    <w:rsid w:val="005F4DF9"/>
    <w:rsid w:val="005F4E24"/>
    <w:rsid w:val="005F4F02"/>
    <w:rsid w:val="005F532C"/>
    <w:rsid w:val="005F5352"/>
    <w:rsid w:val="005F56BF"/>
    <w:rsid w:val="005F56F4"/>
    <w:rsid w:val="005F57CF"/>
    <w:rsid w:val="005F5893"/>
    <w:rsid w:val="005F58F0"/>
    <w:rsid w:val="005F5921"/>
    <w:rsid w:val="005F5951"/>
    <w:rsid w:val="005F5A3D"/>
    <w:rsid w:val="005F5B3D"/>
    <w:rsid w:val="005F5E9A"/>
    <w:rsid w:val="005F5EBA"/>
    <w:rsid w:val="005F60A1"/>
    <w:rsid w:val="005F6166"/>
    <w:rsid w:val="005F61BC"/>
    <w:rsid w:val="005F61D4"/>
    <w:rsid w:val="005F6297"/>
    <w:rsid w:val="005F62E5"/>
    <w:rsid w:val="005F6374"/>
    <w:rsid w:val="005F64BF"/>
    <w:rsid w:val="005F64E0"/>
    <w:rsid w:val="005F65BC"/>
    <w:rsid w:val="005F674A"/>
    <w:rsid w:val="005F67B1"/>
    <w:rsid w:val="005F69AB"/>
    <w:rsid w:val="005F69ED"/>
    <w:rsid w:val="005F6AB3"/>
    <w:rsid w:val="005F6BE6"/>
    <w:rsid w:val="005F6D9D"/>
    <w:rsid w:val="005F6DA5"/>
    <w:rsid w:val="005F6E1D"/>
    <w:rsid w:val="005F6E82"/>
    <w:rsid w:val="005F7351"/>
    <w:rsid w:val="005F74E4"/>
    <w:rsid w:val="005F751E"/>
    <w:rsid w:val="005F766B"/>
    <w:rsid w:val="005F7789"/>
    <w:rsid w:val="005F77B9"/>
    <w:rsid w:val="005F77BB"/>
    <w:rsid w:val="005F77FA"/>
    <w:rsid w:val="005F7833"/>
    <w:rsid w:val="005F784F"/>
    <w:rsid w:val="005F7CA0"/>
    <w:rsid w:val="005F7D0C"/>
    <w:rsid w:val="005F7E5C"/>
    <w:rsid w:val="00600192"/>
    <w:rsid w:val="00600199"/>
    <w:rsid w:val="006001BD"/>
    <w:rsid w:val="0060030D"/>
    <w:rsid w:val="0060038E"/>
    <w:rsid w:val="006003B5"/>
    <w:rsid w:val="00600431"/>
    <w:rsid w:val="006008B5"/>
    <w:rsid w:val="00600A0F"/>
    <w:rsid w:val="00600A34"/>
    <w:rsid w:val="00600AED"/>
    <w:rsid w:val="00600BC1"/>
    <w:rsid w:val="00600C7E"/>
    <w:rsid w:val="00600EA4"/>
    <w:rsid w:val="00601019"/>
    <w:rsid w:val="006015DD"/>
    <w:rsid w:val="006017E0"/>
    <w:rsid w:val="0060189E"/>
    <w:rsid w:val="006018EC"/>
    <w:rsid w:val="00601BB2"/>
    <w:rsid w:val="00601BC6"/>
    <w:rsid w:val="00601CE1"/>
    <w:rsid w:val="00601D35"/>
    <w:rsid w:val="00601DD8"/>
    <w:rsid w:val="00601EDB"/>
    <w:rsid w:val="00601FCE"/>
    <w:rsid w:val="0060273C"/>
    <w:rsid w:val="0060277C"/>
    <w:rsid w:val="0060283A"/>
    <w:rsid w:val="006028E1"/>
    <w:rsid w:val="0060293A"/>
    <w:rsid w:val="00602C4F"/>
    <w:rsid w:val="00602F33"/>
    <w:rsid w:val="00603304"/>
    <w:rsid w:val="006034B1"/>
    <w:rsid w:val="00603588"/>
    <w:rsid w:val="0060360B"/>
    <w:rsid w:val="00603702"/>
    <w:rsid w:val="00603871"/>
    <w:rsid w:val="0060397B"/>
    <w:rsid w:val="006039DD"/>
    <w:rsid w:val="00603A37"/>
    <w:rsid w:val="00603AF7"/>
    <w:rsid w:val="00603DFA"/>
    <w:rsid w:val="00604132"/>
    <w:rsid w:val="006041CC"/>
    <w:rsid w:val="006043FD"/>
    <w:rsid w:val="00604BC3"/>
    <w:rsid w:val="00604BC9"/>
    <w:rsid w:val="00604C3C"/>
    <w:rsid w:val="00604C8A"/>
    <w:rsid w:val="00604ED4"/>
    <w:rsid w:val="0060515E"/>
    <w:rsid w:val="006051B6"/>
    <w:rsid w:val="0060539E"/>
    <w:rsid w:val="0060551B"/>
    <w:rsid w:val="0060568A"/>
    <w:rsid w:val="00605A96"/>
    <w:rsid w:val="00605C37"/>
    <w:rsid w:val="00605C7A"/>
    <w:rsid w:val="00605E9D"/>
    <w:rsid w:val="00606090"/>
    <w:rsid w:val="006060F7"/>
    <w:rsid w:val="006061CF"/>
    <w:rsid w:val="006062BC"/>
    <w:rsid w:val="006065DB"/>
    <w:rsid w:val="006066E8"/>
    <w:rsid w:val="00606847"/>
    <w:rsid w:val="00606997"/>
    <w:rsid w:val="00606A0A"/>
    <w:rsid w:val="00606AC8"/>
    <w:rsid w:val="00606B5F"/>
    <w:rsid w:val="00606C13"/>
    <w:rsid w:val="00606C1C"/>
    <w:rsid w:val="00606F71"/>
    <w:rsid w:val="006070E6"/>
    <w:rsid w:val="006070F2"/>
    <w:rsid w:val="00607290"/>
    <w:rsid w:val="00607312"/>
    <w:rsid w:val="006073EB"/>
    <w:rsid w:val="00607469"/>
    <w:rsid w:val="0060753A"/>
    <w:rsid w:val="006076B0"/>
    <w:rsid w:val="0060778E"/>
    <w:rsid w:val="0060795D"/>
    <w:rsid w:val="0060797B"/>
    <w:rsid w:val="00607C07"/>
    <w:rsid w:val="00607C60"/>
    <w:rsid w:val="00607CC0"/>
    <w:rsid w:val="00607DA0"/>
    <w:rsid w:val="00607DC8"/>
    <w:rsid w:val="00607F25"/>
    <w:rsid w:val="00607FC9"/>
    <w:rsid w:val="0061025F"/>
    <w:rsid w:val="006102D0"/>
    <w:rsid w:val="0061039E"/>
    <w:rsid w:val="0061042A"/>
    <w:rsid w:val="00610475"/>
    <w:rsid w:val="00610494"/>
    <w:rsid w:val="00610498"/>
    <w:rsid w:val="0061056E"/>
    <w:rsid w:val="006105C7"/>
    <w:rsid w:val="0061079E"/>
    <w:rsid w:val="0061080E"/>
    <w:rsid w:val="00610B52"/>
    <w:rsid w:val="00610CAA"/>
    <w:rsid w:val="00610E14"/>
    <w:rsid w:val="00610F6F"/>
    <w:rsid w:val="00611067"/>
    <w:rsid w:val="00611089"/>
    <w:rsid w:val="006112B7"/>
    <w:rsid w:val="00611320"/>
    <w:rsid w:val="006115AB"/>
    <w:rsid w:val="006115BD"/>
    <w:rsid w:val="006115E9"/>
    <w:rsid w:val="0061179F"/>
    <w:rsid w:val="00611981"/>
    <w:rsid w:val="00611A64"/>
    <w:rsid w:val="00611D73"/>
    <w:rsid w:val="00611F81"/>
    <w:rsid w:val="006120E2"/>
    <w:rsid w:val="0061228D"/>
    <w:rsid w:val="00612306"/>
    <w:rsid w:val="0061253E"/>
    <w:rsid w:val="006125AA"/>
    <w:rsid w:val="00612676"/>
    <w:rsid w:val="0061267E"/>
    <w:rsid w:val="00612706"/>
    <w:rsid w:val="0061279B"/>
    <w:rsid w:val="00612995"/>
    <w:rsid w:val="00612BAA"/>
    <w:rsid w:val="00612C12"/>
    <w:rsid w:val="00612D16"/>
    <w:rsid w:val="00612D28"/>
    <w:rsid w:val="006130A8"/>
    <w:rsid w:val="006130B6"/>
    <w:rsid w:val="006131E2"/>
    <w:rsid w:val="0061329A"/>
    <w:rsid w:val="00613309"/>
    <w:rsid w:val="006133B0"/>
    <w:rsid w:val="006133DC"/>
    <w:rsid w:val="00613495"/>
    <w:rsid w:val="006136C4"/>
    <w:rsid w:val="00613707"/>
    <w:rsid w:val="0061372C"/>
    <w:rsid w:val="00613865"/>
    <w:rsid w:val="0061387B"/>
    <w:rsid w:val="00613909"/>
    <w:rsid w:val="00613AA6"/>
    <w:rsid w:val="00613ACD"/>
    <w:rsid w:val="00613BC7"/>
    <w:rsid w:val="00613C10"/>
    <w:rsid w:val="00613C64"/>
    <w:rsid w:val="00613D30"/>
    <w:rsid w:val="00613D45"/>
    <w:rsid w:val="00613EF8"/>
    <w:rsid w:val="006142E5"/>
    <w:rsid w:val="0061430D"/>
    <w:rsid w:val="00614358"/>
    <w:rsid w:val="0061435E"/>
    <w:rsid w:val="0061462D"/>
    <w:rsid w:val="00614719"/>
    <w:rsid w:val="00614761"/>
    <w:rsid w:val="00614817"/>
    <w:rsid w:val="006148EC"/>
    <w:rsid w:val="0061496D"/>
    <w:rsid w:val="00614989"/>
    <w:rsid w:val="00614AC9"/>
    <w:rsid w:val="00614D4E"/>
    <w:rsid w:val="00614DAF"/>
    <w:rsid w:val="00614F5F"/>
    <w:rsid w:val="00614F8F"/>
    <w:rsid w:val="00614FE0"/>
    <w:rsid w:val="0061520B"/>
    <w:rsid w:val="006152F4"/>
    <w:rsid w:val="0061536C"/>
    <w:rsid w:val="0061551A"/>
    <w:rsid w:val="00615578"/>
    <w:rsid w:val="006155B5"/>
    <w:rsid w:val="00615724"/>
    <w:rsid w:val="006157BF"/>
    <w:rsid w:val="0061588A"/>
    <w:rsid w:val="006159B2"/>
    <w:rsid w:val="00615B77"/>
    <w:rsid w:val="00615C5C"/>
    <w:rsid w:val="00615D59"/>
    <w:rsid w:val="00615D9D"/>
    <w:rsid w:val="00615E88"/>
    <w:rsid w:val="00615E9C"/>
    <w:rsid w:val="00615FAA"/>
    <w:rsid w:val="00616294"/>
    <w:rsid w:val="006162C9"/>
    <w:rsid w:val="0061644E"/>
    <w:rsid w:val="0061649B"/>
    <w:rsid w:val="006164C2"/>
    <w:rsid w:val="00616538"/>
    <w:rsid w:val="006166BC"/>
    <w:rsid w:val="00616783"/>
    <w:rsid w:val="00616880"/>
    <w:rsid w:val="0061689D"/>
    <w:rsid w:val="006168D6"/>
    <w:rsid w:val="00616E41"/>
    <w:rsid w:val="00616E68"/>
    <w:rsid w:val="00616EF0"/>
    <w:rsid w:val="00616FA8"/>
    <w:rsid w:val="006171D3"/>
    <w:rsid w:val="0061744C"/>
    <w:rsid w:val="00617495"/>
    <w:rsid w:val="00617658"/>
    <w:rsid w:val="00617845"/>
    <w:rsid w:val="00617A68"/>
    <w:rsid w:val="00617BF3"/>
    <w:rsid w:val="00617BF9"/>
    <w:rsid w:val="0062000C"/>
    <w:rsid w:val="006202F4"/>
    <w:rsid w:val="006206B9"/>
    <w:rsid w:val="00620AC4"/>
    <w:rsid w:val="00620B1B"/>
    <w:rsid w:val="00620DD9"/>
    <w:rsid w:val="00620E2C"/>
    <w:rsid w:val="00620FFC"/>
    <w:rsid w:val="00621108"/>
    <w:rsid w:val="006212BD"/>
    <w:rsid w:val="006212E9"/>
    <w:rsid w:val="006213F6"/>
    <w:rsid w:val="006214F6"/>
    <w:rsid w:val="00621729"/>
    <w:rsid w:val="006218E1"/>
    <w:rsid w:val="0062192C"/>
    <w:rsid w:val="006219CA"/>
    <w:rsid w:val="00621AFB"/>
    <w:rsid w:val="00621D46"/>
    <w:rsid w:val="00621E58"/>
    <w:rsid w:val="00621E99"/>
    <w:rsid w:val="00621FB5"/>
    <w:rsid w:val="0062233D"/>
    <w:rsid w:val="006223C5"/>
    <w:rsid w:val="00622678"/>
    <w:rsid w:val="006226B8"/>
    <w:rsid w:val="0062270A"/>
    <w:rsid w:val="00622BE2"/>
    <w:rsid w:val="00622C03"/>
    <w:rsid w:val="00622DFC"/>
    <w:rsid w:val="00622E83"/>
    <w:rsid w:val="006230BA"/>
    <w:rsid w:val="00623282"/>
    <w:rsid w:val="00623400"/>
    <w:rsid w:val="006234E0"/>
    <w:rsid w:val="00623530"/>
    <w:rsid w:val="006236E5"/>
    <w:rsid w:val="006237E4"/>
    <w:rsid w:val="00623A3C"/>
    <w:rsid w:val="00623B69"/>
    <w:rsid w:val="00623BC9"/>
    <w:rsid w:val="00623C4F"/>
    <w:rsid w:val="00623D52"/>
    <w:rsid w:val="00623E30"/>
    <w:rsid w:val="00623E4F"/>
    <w:rsid w:val="00623F4C"/>
    <w:rsid w:val="00623F92"/>
    <w:rsid w:val="006241D4"/>
    <w:rsid w:val="006246F7"/>
    <w:rsid w:val="0062476C"/>
    <w:rsid w:val="006247A0"/>
    <w:rsid w:val="00624A86"/>
    <w:rsid w:val="00624B27"/>
    <w:rsid w:val="00624CEB"/>
    <w:rsid w:val="00624DDB"/>
    <w:rsid w:val="00624E26"/>
    <w:rsid w:val="00624F5C"/>
    <w:rsid w:val="00624FDF"/>
    <w:rsid w:val="00625038"/>
    <w:rsid w:val="00625223"/>
    <w:rsid w:val="00625226"/>
    <w:rsid w:val="0062530C"/>
    <w:rsid w:val="00625357"/>
    <w:rsid w:val="006253AD"/>
    <w:rsid w:val="006253F8"/>
    <w:rsid w:val="0062542A"/>
    <w:rsid w:val="006254C5"/>
    <w:rsid w:val="006255D9"/>
    <w:rsid w:val="00625627"/>
    <w:rsid w:val="00625678"/>
    <w:rsid w:val="0062572A"/>
    <w:rsid w:val="0062576D"/>
    <w:rsid w:val="00625935"/>
    <w:rsid w:val="00625BFB"/>
    <w:rsid w:val="00625C48"/>
    <w:rsid w:val="00625C89"/>
    <w:rsid w:val="00625CB3"/>
    <w:rsid w:val="00625CD0"/>
    <w:rsid w:val="00625CEB"/>
    <w:rsid w:val="00625D78"/>
    <w:rsid w:val="00625DF2"/>
    <w:rsid w:val="00625E08"/>
    <w:rsid w:val="00625EA0"/>
    <w:rsid w:val="0062607F"/>
    <w:rsid w:val="0062609F"/>
    <w:rsid w:val="00626250"/>
    <w:rsid w:val="006262AB"/>
    <w:rsid w:val="0062642A"/>
    <w:rsid w:val="00626645"/>
    <w:rsid w:val="0062677F"/>
    <w:rsid w:val="00626A45"/>
    <w:rsid w:val="00626A61"/>
    <w:rsid w:val="00626DC6"/>
    <w:rsid w:val="006270FC"/>
    <w:rsid w:val="0062718B"/>
    <w:rsid w:val="006271E4"/>
    <w:rsid w:val="0062721E"/>
    <w:rsid w:val="0062725B"/>
    <w:rsid w:val="00627313"/>
    <w:rsid w:val="0062742F"/>
    <w:rsid w:val="00627481"/>
    <w:rsid w:val="00627505"/>
    <w:rsid w:val="00627640"/>
    <w:rsid w:val="006276B4"/>
    <w:rsid w:val="0062784B"/>
    <w:rsid w:val="0062794D"/>
    <w:rsid w:val="006279C0"/>
    <w:rsid w:val="00627A02"/>
    <w:rsid w:val="00627ADF"/>
    <w:rsid w:val="00627AF5"/>
    <w:rsid w:val="00627B4E"/>
    <w:rsid w:val="00627BB5"/>
    <w:rsid w:val="00627D4F"/>
    <w:rsid w:val="00627D78"/>
    <w:rsid w:val="00627E1A"/>
    <w:rsid w:val="00627F86"/>
    <w:rsid w:val="00630002"/>
    <w:rsid w:val="00630082"/>
    <w:rsid w:val="006300BC"/>
    <w:rsid w:val="0063019F"/>
    <w:rsid w:val="006302E1"/>
    <w:rsid w:val="0063059D"/>
    <w:rsid w:val="0063065D"/>
    <w:rsid w:val="006306CE"/>
    <w:rsid w:val="006307C6"/>
    <w:rsid w:val="0063091E"/>
    <w:rsid w:val="006309EB"/>
    <w:rsid w:val="00630AEC"/>
    <w:rsid w:val="00630B97"/>
    <w:rsid w:val="00630E25"/>
    <w:rsid w:val="00630E4E"/>
    <w:rsid w:val="00630F24"/>
    <w:rsid w:val="00631195"/>
    <w:rsid w:val="006311B0"/>
    <w:rsid w:val="0063120F"/>
    <w:rsid w:val="0063130F"/>
    <w:rsid w:val="0063136D"/>
    <w:rsid w:val="00631511"/>
    <w:rsid w:val="00631587"/>
    <w:rsid w:val="006317F3"/>
    <w:rsid w:val="0063180D"/>
    <w:rsid w:val="00631918"/>
    <w:rsid w:val="006319C6"/>
    <w:rsid w:val="00631A2A"/>
    <w:rsid w:val="00631A89"/>
    <w:rsid w:val="00631B6B"/>
    <w:rsid w:val="006320C0"/>
    <w:rsid w:val="0063210D"/>
    <w:rsid w:val="00632173"/>
    <w:rsid w:val="006322B2"/>
    <w:rsid w:val="006323A5"/>
    <w:rsid w:val="00632551"/>
    <w:rsid w:val="00632572"/>
    <w:rsid w:val="006325B0"/>
    <w:rsid w:val="0063273C"/>
    <w:rsid w:val="0063276F"/>
    <w:rsid w:val="00632803"/>
    <w:rsid w:val="006329DF"/>
    <w:rsid w:val="00632AF4"/>
    <w:rsid w:val="00632E42"/>
    <w:rsid w:val="00632EA2"/>
    <w:rsid w:val="00632EBA"/>
    <w:rsid w:val="00632EFC"/>
    <w:rsid w:val="00633164"/>
    <w:rsid w:val="00633182"/>
    <w:rsid w:val="00633183"/>
    <w:rsid w:val="00633318"/>
    <w:rsid w:val="00633329"/>
    <w:rsid w:val="006334F5"/>
    <w:rsid w:val="006337A0"/>
    <w:rsid w:val="00633A96"/>
    <w:rsid w:val="00633DE3"/>
    <w:rsid w:val="00633E98"/>
    <w:rsid w:val="00633F4D"/>
    <w:rsid w:val="00633F53"/>
    <w:rsid w:val="0063417A"/>
    <w:rsid w:val="006342E9"/>
    <w:rsid w:val="0063434B"/>
    <w:rsid w:val="006345E1"/>
    <w:rsid w:val="006349BE"/>
    <w:rsid w:val="00634BA7"/>
    <w:rsid w:val="00634F08"/>
    <w:rsid w:val="00634F55"/>
    <w:rsid w:val="00635161"/>
    <w:rsid w:val="006351BA"/>
    <w:rsid w:val="00635243"/>
    <w:rsid w:val="00635293"/>
    <w:rsid w:val="0063547A"/>
    <w:rsid w:val="006354A6"/>
    <w:rsid w:val="00635686"/>
    <w:rsid w:val="006358F8"/>
    <w:rsid w:val="00635929"/>
    <w:rsid w:val="0063593F"/>
    <w:rsid w:val="00635A31"/>
    <w:rsid w:val="00635B71"/>
    <w:rsid w:val="00635CD0"/>
    <w:rsid w:val="00635D77"/>
    <w:rsid w:val="00635F56"/>
    <w:rsid w:val="006360FD"/>
    <w:rsid w:val="00636177"/>
    <w:rsid w:val="006361DF"/>
    <w:rsid w:val="00636637"/>
    <w:rsid w:val="00636906"/>
    <w:rsid w:val="006369AD"/>
    <w:rsid w:val="006369D2"/>
    <w:rsid w:val="00636AC2"/>
    <w:rsid w:val="00636B87"/>
    <w:rsid w:val="00636C83"/>
    <w:rsid w:val="00636EA1"/>
    <w:rsid w:val="006370A6"/>
    <w:rsid w:val="00637165"/>
    <w:rsid w:val="0063721A"/>
    <w:rsid w:val="0063721C"/>
    <w:rsid w:val="006373FC"/>
    <w:rsid w:val="006374E4"/>
    <w:rsid w:val="00637516"/>
    <w:rsid w:val="00637741"/>
    <w:rsid w:val="00637ACE"/>
    <w:rsid w:val="00637AD0"/>
    <w:rsid w:val="00637B22"/>
    <w:rsid w:val="00637C29"/>
    <w:rsid w:val="00637D0F"/>
    <w:rsid w:val="00637D8F"/>
    <w:rsid w:val="00637F9B"/>
    <w:rsid w:val="00640081"/>
    <w:rsid w:val="006403C1"/>
    <w:rsid w:val="006404ED"/>
    <w:rsid w:val="006405EA"/>
    <w:rsid w:val="006407A0"/>
    <w:rsid w:val="006408BB"/>
    <w:rsid w:val="00640A04"/>
    <w:rsid w:val="00640A49"/>
    <w:rsid w:val="00640B59"/>
    <w:rsid w:val="00640C65"/>
    <w:rsid w:val="00640FB4"/>
    <w:rsid w:val="0064120E"/>
    <w:rsid w:val="006413B7"/>
    <w:rsid w:val="0064153A"/>
    <w:rsid w:val="006415FC"/>
    <w:rsid w:val="00641619"/>
    <w:rsid w:val="0064163F"/>
    <w:rsid w:val="00641845"/>
    <w:rsid w:val="00641955"/>
    <w:rsid w:val="00641985"/>
    <w:rsid w:val="0064198D"/>
    <w:rsid w:val="00641B41"/>
    <w:rsid w:val="00641C5F"/>
    <w:rsid w:val="00641C84"/>
    <w:rsid w:val="00641DA0"/>
    <w:rsid w:val="00641E6A"/>
    <w:rsid w:val="00641E6B"/>
    <w:rsid w:val="00642095"/>
    <w:rsid w:val="0064215D"/>
    <w:rsid w:val="006428E5"/>
    <w:rsid w:val="00642A7F"/>
    <w:rsid w:val="00642BD2"/>
    <w:rsid w:val="00642CA5"/>
    <w:rsid w:val="00642D9A"/>
    <w:rsid w:val="0064310B"/>
    <w:rsid w:val="0064322E"/>
    <w:rsid w:val="0064353E"/>
    <w:rsid w:val="00643569"/>
    <w:rsid w:val="00643594"/>
    <w:rsid w:val="006435E6"/>
    <w:rsid w:val="00643813"/>
    <w:rsid w:val="00643AB4"/>
    <w:rsid w:val="00643E4E"/>
    <w:rsid w:val="00643E6E"/>
    <w:rsid w:val="00643E71"/>
    <w:rsid w:val="00644250"/>
    <w:rsid w:val="006444B8"/>
    <w:rsid w:val="006445D0"/>
    <w:rsid w:val="006445D9"/>
    <w:rsid w:val="006445FD"/>
    <w:rsid w:val="006446B4"/>
    <w:rsid w:val="0064492B"/>
    <w:rsid w:val="00644AD9"/>
    <w:rsid w:val="00644C2E"/>
    <w:rsid w:val="00644C7F"/>
    <w:rsid w:val="00644CC0"/>
    <w:rsid w:val="00644DF4"/>
    <w:rsid w:val="00644E51"/>
    <w:rsid w:val="00644F45"/>
    <w:rsid w:val="0064502A"/>
    <w:rsid w:val="00645087"/>
    <w:rsid w:val="00645173"/>
    <w:rsid w:val="0064528F"/>
    <w:rsid w:val="0064529A"/>
    <w:rsid w:val="0064531E"/>
    <w:rsid w:val="006454C9"/>
    <w:rsid w:val="006454FA"/>
    <w:rsid w:val="0064557F"/>
    <w:rsid w:val="006458C8"/>
    <w:rsid w:val="00645907"/>
    <w:rsid w:val="00645E23"/>
    <w:rsid w:val="00645EEA"/>
    <w:rsid w:val="00645F24"/>
    <w:rsid w:val="0064606D"/>
    <w:rsid w:val="0064615A"/>
    <w:rsid w:val="006462D5"/>
    <w:rsid w:val="00646571"/>
    <w:rsid w:val="006468E2"/>
    <w:rsid w:val="00646AF6"/>
    <w:rsid w:val="00646FDA"/>
    <w:rsid w:val="00647082"/>
    <w:rsid w:val="00647107"/>
    <w:rsid w:val="00647165"/>
    <w:rsid w:val="00647260"/>
    <w:rsid w:val="006474A2"/>
    <w:rsid w:val="0064754B"/>
    <w:rsid w:val="006477B3"/>
    <w:rsid w:val="006478AA"/>
    <w:rsid w:val="006479C2"/>
    <w:rsid w:val="006479C9"/>
    <w:rsid w:val="00647AD6"/>
    <w:rsid w:val="00647CC8"/>
    <w:rsid w:val="00647DCD"/>
    <w:rsid w:val="00647ED3"/>
    <w:rsid w:val="00647F8C"/>
    <w:rsid w:val="0064A9F0"/>
    <w:rsid w:val="0065017F"/>
    <w:rsid w:val="006502AA"/>
    <w:rsid w:val="006502E1"/>
    <w:rsid w:val="006503EC"/>
    <w:rsid w:val="00650455"/>
    <w:rsid w:val="0065067A"/>
    <w:rsid w:val="00650844"/>
    <w:rsid w:val="00650847"/>
    <w:rsid w:val="00650A81"/>
    <w:rsid w:val="00650D26"/>
    <w:rsid w:val="00650D61"/>
    <w:rsid w:val="00651149"/>
    <w:rsid w:val="006511EA"/>
    <w:rsid w:val="00651530"/>
    <w:rsid w:val="0065172A"/>
    <w:rsid w:val="0065175A"/>
    <w:rsid w:val="006519DD"/>
    <w:rsid w:val="00651C5C"/>
    <w:rsid w:val="00651DD7"/>
    <w:rsid w:val="00651FE7"/>
    <w:rsid w:val="0065213B"/>
    <w:rsid w:val="006521A6"/>
    <w:rsid w:val="00652483"/>
    <w:rsid w:val="00652742"/>
    <w:rsid w:val="00652799"/>
    <w:rsid w:val="0065291A"/>
    <w:rsid w:val="00652A46"/>
    <w:rsid w:val="00652AF1"/>
    <w:rsid w:val="00652AFA"/>
    <w:rsid w:val="00652DC3"/>
    <w:rsid w:val="00652FDF"/>
    <w:rsid w:val="00653014"/>
    <w:rsid w:val="00653249"/>
    <w:rsid w:val="0065338E"/>
    <w:rsid w:val="00653542"/>
    <w:rsid w:val="006536B9"/>
    <w:rsid w:val="006537B7"/>
    <w:rsid w:val="00653A00"/>
    <w:rsid w:val="00653BBF"/>
    <w:rsid w:val="00653BDE"/>
    <w:rsid w:val="00653CBA"/>
    <w:rsid w:val="00653D93"/>
    <w:rsid w:val="00653F5C"/>
    <w:rsid w:val="00654039"/>
    <w:rsid w:val="0065405F"/>
    <w:rsid w:val="0065406C"/>
    <w:rsid w:val="00654167"/>
    <w:rsid w:val="00654204"/>
    <w:rsid w:val="00654261"/>
    <w:rsid w:val="0065436B"/>
    <w:rsid w:val="00654465"/>
    <w:rsid w:val="0065466C"/>
    <w:rsid w:val="00654758"/>
    <w:rsid w:val="00654880"/>
    <w:rsid w:val="006549E4"/>
    <w:rsid w:val="00654C3C"/>
    <w:rsid w:val="00654C5F"/>
    <w:rsid w:val="00654DCF"/>
    <w:rsid w:val="00654E01"/>
    <w:rsid w:val="00654F43"/>
    <w:rsid w:val="00654FC6"/>
    <w:rsid w:val="006550C0"/>
    <w:rsid w:val="0065524E"/>
    <w:rsid w:val="00655289"/>
    <w:rsid w:val="006552AE"/>
    <w:rsid w:val="006553D6"/>
    <w:rsid w:val="006557DF"/>
    <w:rsid w:val="00655A69"/>
    <w:rsid w:val="00655AC7"/>
    <w:rsid w:val="00655B03"/>
    <w:rsid w:val="00655DC4"/>
    <w:rsid w:val="00655DE7"/>
    <w:rsid w:val="00655EDD"/>
    <w:rsid w:val="00655F83"/>
    <w:rsid w:val="00655FA7"/>
    <w:rsid w:val="006560B9"/>
    <w:rsid w:val="006560D9"/>
    <w:rsid w:val="00656106"/>
    <w:rsid w:val="00656147"/>
    <w:rsid w:val="006561B7"/>
    <w:rsid w:val="00656404"/>
    <w:rsid w:val="006566A1"/>
    <w:rsid w:val="006568F0"/>
    <w:rsid w:val="00656B2A"/>
    <w:rsid w:val="00656E8F"/>
    <w:rsid w:val="00656EFE"/>
    <w:rsid w:val="00656FD2"/>
    <w:rsid w:val="006570AD"/>
    <w:rsid w:val="006572D2"/>
    <w:rsid w:val="006573D1"/>
    <w:rsid w:val="006574F1"/>
    <w:rsid w:val="00657895"/>
    <w:rsid w:val="00657927"/>
    <w:rsid w:val="00657AB7"/>
    <w:rsid w:val="00657C33"/>
    <w:rsid w:val="00657EAC"/>
    <w:rsid w:val="00657EAE"/>
    <w:rsid w:val="00657F62"/>
    <w:rsid w:val="006600B4"/>
    <w:rsid w:val="0066014A"/>
    <w:rsid w:val="00660206"/>
    <w:rsid w:val="00660721"/>
    <w:rsid w:val="00660723"/>
    <w:rsid w:val="0066074E"/>
    <w:rsid w:val="006608D5"/>
    <w:rsid w:val="00660933"/>
    <w:rsid w:val="00660940"/>
    <w:rsid w:val="006609A4"/>
    <w:rsid w:val="00660A6F"/>
    <w:rsid w:val="00660D15"/>
    <w:rsid w:val="00660EA3"/>
    <w:rsid w:val="00660F14"/>
    <w:rsid w:val="006610B5"/>
    <w:rsid w:val="006612FE"/>
    <w:rsid w:val="006613EF"/>
    <w:rsid w:val="006613F0"/>
    <w:rsid w:val="0066149E"/>
    <w:rsid w:val="006614FE"/>
    <w:rsid w:val="0066163C"/>
    <w:rsid w:val="006616D1"/>
    <w:rsid w:val="00661786"/>
    <w:rsid w:val="006617B3"/>
    <w:rsid w:val="006617E6"/>
    <w:rsid w:val="00661823"/>
    <w:rsid w:val="00661933"/>
    <w:rsid w:val="00661975"/>
    <w:rsid w:val="006619E9"/>
    <w:rsid w:val="00661CB9"/>
    <w:rsid w:val="00661D7D"/>
    <w:rsid w:val="00661FCE"/>
    <w:rsid w:val="006620D3"/>
    <w:rsid w:val="00662250"/>
    <w:rsid w:val="006622E1"/>
    <w:rsid w:val="0066241C"/>
    <w:rsid w:val="00662487"/>
    <w:rsid w:val="00662509"/>
    <w:rsid w:val="00662517"/>
    <w:rsid w:val="00662534"/>
    <w:rsid w:val="006625CB"/>
    <w:rsid w:val="006625F6"/>
    <w:rsid w:val="00662699"/>
    <w:rsid w:val="00662B00"/>
    <w:rsid w:val="00662B57"/>
    <w:rsid w:val="00663139"/>
    <w:rsid w:val="00663162"/>
    <w:rsid w:val="006632A2"/>
    <w:rsid w:val="006633CE"/>
    <w:rsid w:val="006637C2"/>
    <w:rsid w:val="006637E8"/>
    <w:rsid w:val="006637EA"/>
    <w:rsid w:val="006637FB"/>
    <w:rsid w:val="006639DC"/>
    <w:rsid w:val="00663AD9"/>
    <w:rsid w:val="00663B42"/>
    <w:rsid w:val="00663C98"/>
    <w:rsid w:val="00663CEF"/>
    <w:rsid w:val="00663F86"/>
    <w:rsid w:val="00663F8B"/>
    <w:rsid w:val="00663FB3"/>
    <w:rsid w:val="00663FF9"/>
    <w:rsid w:val="00664002"/>
    <w:rsid w:val="00664096"/>
    <w:rsid w:val="0066424E"/>
    <w:rsid w:val="006643C2"/>
    <w:rsid w:val="0066441C"/>
    <w:rsid w:val="00664465"/>
    <w:rsid w:val="00664486"/>
    <w:rsid w:val="006644A4"/>
    <w:rsid w:val="0066455C"/>
    <w:rsid w:val="006646A4"/>
    <w:rsid w:val="00664C6A"/>
    <w:rsid w:val="00664DA4"/>
    <w:rsid w:val="00664DB5"/>
    <w:rsid w:val="00664E72"/>
    <w:rsid w:val="00664F8F"/>
    <w:rsid w:val="00665035"/>
    <w:rsid w:val="006650AF"/>
    <w:rsid w:val="00665107"/>
    <w:rsid w:val="00665159"/>
    <w:rsid w:val="006651A6"/>
    <w:rsid w:val="0066535C"/>
    <w:rsid w:val="00665404"/>
    <w:rsid w:val="006654B1"/>
    <w:rsid w:val="006654DB"/>
    <w:rsid w:val="006654F6"/>
    <w:rsid w:val="006655FD"/>
    <w:rsid w:val="00665635"/>
    <w:rsid w:val="0066582B"/>
    <w:rsid w:val="006658A8"/>
    <w:rsid w:val="00665B1F"/>
    <w:rsid w:val="00665BDE"/>
    <w:rsid w:val="00665C74"/>
    <w:rsid w:val="00665C96"/>
    <w:rsid w:val="00665D3E"/>
    <w:rsid w:val="00665E89"/>
    <w:rsid w:val="00665EBA"/>
    <w:rsid w:val="00665F92"/>
    <w:rsid w:val="00665FE4"/>
    <w:rsid w:val="006662FF"/>
    <w:rsid w:val="00666493"/>
    <w:rsid w:val="006664D0"/>
    <w:rsid w:val="0066654C"/>
    <w:rsid w:val="00666622"/>
    <w:rsid w:val="00666675"/>
    <w:rsid w:val="00666683"/>
    <w:rsid w:val="006667D8"/>
    <w:rsid w:val="00666887"/>
    <w:rsid w:val="006668C3"/>
    <w:rsid w:val="00666901"/>
    <w:rsid w:val="0066695F"/>
    <w:rsid w:val="00666A1E"/>
    <w:rsid w:val="00666B41"/>
    <w:rsid w:val="00666BA4"/>
    <w:rsid w:val="00666CA2"/>
    <w:rsid w:val="00666DAA"/>
    <w:rsid w:val="00666E05"/>
    <w:rsid w:val="00666E7D"/>
    <w:rsid w:val="00666EAE"/>
    <w:rsid w:val="0066706D"/>
    <w:rsid w:val="006670C1"/>
    <w:rsid w:val="006672A3"/>
    <w:rsid w:val="006673D7"/>
    <w:rsid w:val="006675D4"/>
    <w:rsid w:val="0066767E"/>
    <w:rsid w:val="0066769C"/>
    <w:rsid w:val="00667735"/>
    <w:rsid w:val="006677F4"/>
    <w:rsid w:val="006678EA"/>
    <w:rsid w:val="00667926"/>
    <w:rsid w:val="00667960"/>
    <w:rsid w:val="00667A39"/>
    <w:rsid w:val="00667B26"/>
    <w:rsid w:val="00667BDF"/>
    <w:rsid w:val="00667DA0"/>
    <w:rsid w:val="00667DEC"/>
    <w:rsid w:val="00667E75"/>
    <w:rsid w:val="006700CA"/>
    <w:rsid w:val="00670232"/>
    <w:rsid w:val="00670245"/>
    <w:rsid w:val="0067030E"/>
    <w:rsid w:val="006703B3"/>
    <w:rsid w:val="00670406"/>
    <w:rsid w:val="006704F1"/>
    <w:rsid w:val="006709A9"/>
    <w:rsid w:val="00670AB0"/>
    <w:rsid w:val="00670AE6"/>
    <w:rsid w:val="00670CA1"/>
    <w:rsid w:val="00670DD7"/>
    <w:rsid w:val="00670EF2"/>
    <w:rsid w:val="00670F6E"/>
    <w:rsid w:val="00670F91"/>
    <w:rsid w:val="0067129D"/>
    <w:rsid w:val="00671374"/>
    <w:rsid w:val="006714D2"/>
    <w:rsid w:val="00671680"/>
    <w:rsid w:val="006717D1"/>
    <w:rsid w:val="00671A7B"/>
    <w:rsid w:val="00671AC5"/>
    <w:rsid w:val="00671C50"/>
    <w:rsid w:val="00671F57"/>
    <w:rsid w:val="00672092"/>
    <w:rsid w:val="006721A6"/>
    <w:rsid w:val="006721D6"/>
    <w:rsid w:val="00672284"/>
    <w:rsid w:val="0067236D"/>
    <w:rsid w:val="006724C5"/>
    <w:rsid w:val="006725D0"/>
    <w:rsid w:val="006726CA"/>
    <w:rsid w:val="00672742"/>
    <w:rsid w:val="0067277B"/>
    <w:rsid w:val="006728A1"/>
    <w:rsid w:val="00672976"/>
    <w:rsid w:val="00672B00"/>
    <w:rsid w:val="00672D6C"/>
    <w:rsid w:val="00672EB3"/>
    <w:rsid w:val="00672EEA"/>
    <w:rsid w:val="00672F74"/>
    <w:rsid w:val="00672FDA"/>
    <w:rsid w:val="00673403"/>
    <w:rsid w:val="006736AC"/>
    <w:rsid w:val="006737BF"/>
    <w:rsid w:val="006738B7"/>
    <w:rsid w:val="00673ADD"/>
    <w:rsid w:val="00673BE8"/>
    <w:rsid w:val="00673DAB"/>
    <w:rsid w:val="00673E97"/>
    <w:rsid w:val="00673FE1"/>
    <w:rsid w:val="0067434C"/>
    <w:rsid w:val="00674403"/>
    <w:rsid w:val="0067441F"/>
    <w:rsid w:val="00674453"/>
    <w:rsid w:val="00674461"/>
    <w:rsid w:val="006744C5"/>
    <w:rsid w:val="00674538"/>
    <w:rsid w:val="006746C8"/>
    <w:rsid w:val="006746D8"/>
    <w:rsid w:val="00674825"/>
    <w:rsid w:val="00674934"/>
    <w:rsid w:val="006749BC"/>
    <w:rsid w:val="006749E8"/>
    <w:rsid w:val="00674A2D"/>
    <w:rsid w:val="00674BC7"/>
    <w:rsid w:val="00674CF0"/>
    <w:rsid w:val="00674D1B"/>
    <w:rsid w:val="00674FC3"/>
    <w:rsid w:val="00674FFA"/>
    <w:rsid w:val="00675192"/>
    <w:rsid w:val="006753CA"/>
    <w:rsid w:val="0067547D"/>
    <w:rsid w:val="00675486"/>
    <w:rsid w:val="00675787"/>
    <w:rsid w:val="00675844"/>
    <w:rsid w:val="006759C7"/>
    <w:rsid w:val="00675A33"/>
    <w:rsid w:val="00675BC4"/>
    <w:rsid w:val="00675D0D"/>
    <w:rsid w:val="00675D79"/>
    <w:rsid w:val="00675F74"/>
    <w:rsid w:val="00675FF6"/>
    <w:rsid w:val="006760C9"/>
    <w:rsid w:val="006760FE"/>
    <w:rsid w:val="0067631E"/>
    <w:rsid w:val="00676409"/>
    <w:rsid w:val="00676829"/>
    <w:rsid w:val="00676864"/>
    <w:rsid w:val="00676950"/>
    <w:rsid w:val="0067696C"/>
    <w:rsid w:val="006769D2"/>
    <w:rsid w:val="00676A9A"/>
    <w:rsid w:val="00676B02"/>
    <w:rsid w:val="00676D7A"/>
    <w:rsid w:val="00676F67"/>
    <w:rsid w:val="00676F9D"/>
    <w:rsid w:val="00677005"/>
    <w:rsid w:val="0067703B"/>
    <w:rsid w:val="006770ED"/>
    <w:rsid w:val="006772D1"/>
    <w:rsid w:val="0067734F"/>
    <w:rsid w:val="006773CB"/>
    <w:rsid w:val="006774FB"/>
    <w:rsid w:val="006775B0"/>
    <w:rsid w:val="006776DB"/>
    <w:rsid w:val="006776FA"/>
    <w:rsid w:val="00677CC3"/>
    <w:rsid w:val="00677D7B"/>
    <w:rsid w:val="00677E06"/>
    <w:rsid w:val="00677EEB"/>
    <w:rsid w:val="00677F40"/>
    <w:rsid w:val="006801C3"/>
    <w:rsid w:val="006803A5"/>
    <w:rsid w:val="00680572"/>
    <w:rsid w:val="006806E4"/>
    <w:rsid w:val="0068075E"/>
    <w:rsid w:val="00680BFB"/>
    <w:rsid w:val="00680CFF"/>
    <w:rsid w:val="00680E67"/>
    <w:rsid w:val="00680EF2"/>
    <w:rsid w:val="00681182"/>
    <w:rsid w:val="006811A9"/>
    <w:rsid w:val="006812FA"/>
    <w:rsid w:val="0068136C"/>
    <w:rsid w:val="0068149B"/>
    <w:rsid w:val="00681516"/>
    <w:rsid w:val="00681621"/>
    <w:rsid w:val="00681648"/>
    <w:rsid w:val="00681739"/>
    <w:rsid w:val="006818D3"/>
    <w:rsid w:val="006819DB"/>
    <w:rsid w:val="00681A22"/>
    <w:rsid w:val="00681A37"/>
    <w:rsid w:val="00681C41"/>
    <w:rsid w:val="00681CDA"/>
    <w:rsid w:val="00681CE4"/>
    <w:rsid w:val="00681D4A"/>
    <w:rsid w:val="00681F19"/>
    <w:rsid w:val="006820A9"/>
    <w:rsid w:val="006822D0"/>
    <w:rsid w:val="00682510"/>
    <w:rsid w:val="00682536"/>
    <w:rsid w:val="006826F1"/>
    <w:rsid w:val="00682768"/>
    <w:rsid w:val="00682B1F"/>
    <w:rsid w:val="00682BDD"/>
    <w:rsid w:val="00682C28"/>
    <w:rsid w:val="00682C4F"/>
    <w:rsid w:val="00682C5A"/>
    <w:rsid w:val="00682D03"/>
    <w:rsid w:val="00682EE2"/>
    <w:rsid w:val="00682FDB"/>
    <w:rsid w:val="006830D2"/>
    <w:rsid w:val="006830DB"/>
    <w:rsid w:val="00683112"/>
    <w:rsid w:val="006831E8"/>
    <w:rsid w:val="00683294"/>
    <w:rsid w:val="006832D3"/>
    <w:rsid w:val="006833A5"/>
    <w:rsid w:val="0068358B"/>
    <w:rsid w:val="006837E7"/>
    <w:rsid w:val="00683968"/>
    <w:rsid w:val="00683D2D"/>
    <w:rsid w:val="00683D61"/>
    <w:rsid w:val="00683D9D"/>
    <w:rsid w:val="00683E19"/>
    <w:rsid w:val="00683E9A"/>
    <w:rsid w:val="006840B0"/>
    <w:rsid w:val="00684559"/>
    <w:rsid w:val="006846BC"/>
    <w:rsid w:val="00684753"/>
    <w:rsid w:val="006847A7"/>
    <w:rsid w:val="006848DC"/>
    <w:rsid w:val="006849C3"/>
    <w:rsid w:val="006849CD"/>
    <w:rsid w:val="00684A38"/>
    <w:rsid w:val="00684BB6"/>
    <w:rsid w:val="00684BD6"/>
    <w:rsid w:val="00684CC6"/>
    <w:rsid w:val="00684DE9"/>
    <w:rsid w:val="00684E28"/>
    <w:rsid w:val="00684E43"/>
    <w:rsid w:val="0068505A"/>
    <w:rsid w:val="006850CC"/>
    <w:rsid w:val="00685179"/>
    <w:rsid w:val="0068532C"/>
    <w:rsid w:val="0068543D"/>
    <w:rsid w:val="00685447"/>
    <w:rsid w:val="006854CA"/>
    <w:rsid w:val="006855C3"/>
    <w:rsid w:val="00685764"/>
    <w:rsid w:val="0068576D"/>
    <w:rsid w:val="006858AC"/>
    <w:rsid w:val="00685913"/>
    <w:rsid w:val="00685936"/>
    <w:rsid w:val="00685A06"/>
    <w:rsid w:val="00685A4A"/>
    <w:rsid w:val="00685A89"/>
    <w:rsid w:val="00685B00"/>
    <w:rsid w:val="00685BB5"/>
    <w:rsid w:val="00685C34"/>
    <w:rsid w:val="00685C65"/>
    <w:rsid w:val="00685CD7"/>
    <w:rsid w:val="00685F9C"/>
    <w:rsid w:val="00685FF6"/>
    <w:rsid w:val="00686140"/>
    <w:rsid w:val="006861D6"/>
    <w:rsid w:val="00686376"/>
    <w:rsid w:val="0068644E"/>
    <w:rsid w:val="00686512"/>
    <w:rsid w:val="0068655B"/>
    <w:rsid w:val="006865BB"/>
    <w:rsid w:val="00686613"/>
    <w:rsid w:val="00686747"/>
    <w:rsid w:val="00686781"/>
    <w:rsid w:val="0068683B"/>
    <w:rsid w:val="00686921"/>
    <w:rsid w:val="0068693D"/>
    <w:rsid w:val="006869F8"/>
    <w:rsid w:val="00686AFE"/>
    <w:rsid w:val="00686D2A"/>
    <w:rsid w:val="00686E5F"/>
    <w:rsid w:val="00686F04"/>
    <w:rsid w:val="00687057"/>
    <w:rsid w:val="00687219"/>
    <w:rsid w:val="00687299"/>
    <w:rsid w:val="0068735C"/>
    <w:rsid w:val="00687365"/>
    <w:rsid w:val="0068740F"/>
    <w:rsid w:val="0068766A"/>
    <w:rsid w:val="006877B1"/>
    <w:rsid w:val="006878C4"/>
    <w:rsid w:val="0068790A"/>
    <w:rsid w:val="00687946"/>
    <w:rsid w:val="006879D0"/>
    <w:rsid w:val="00687B21"/>
    <w:rsid w:val="00687B34"/>
    <w:rsid w:val="00687BB2"/>
    <w:rsid w:val="00687EB2"/>
    <w:rsid w:val="00690368"/>
    <w:rsid w:val="006903B7"/>
    <w:rsid w:val="00690474"/>
    <w:rsid w:val="00690487"/>
    <w:rsid w:val="006906A5"/>
    <w:rsid w:val="00690723"/>
    <w:rsid w:val="00690788"/>
    <w:rsid w:val="00690A66"/>
    <w:rsid w:val="00690C07"/>
    <w:rsid w:val="00690CD6"/>
    <w:rsid w:val="00690CFA"/>
    <w:rsid w:val="0069103F"/>
    <w:rsid w:val="00691064"/>
    <w:rsid w:val="006911BE"/>
    <w:rsid w:val="0069144A"/>
    <w:rsid w:val="00691586"/>
    <w:rsid w:val="00691665"/>
    <w:rsid w:val="006918A3"/>
    <w:rsid w:val="00691962"/>
    <w:rsid w:val="00691AEA"/>
    <w:rsid w:val="00691E92"/>
    <w:rsid w:val="00691F09"/>
    <w:rsid w:val="00691F34"/>
    <w:rsid w:val="0069203D"/>
    <w:rsid w:val="00692204"/>
    <w:rsid w:val="00692250"/>
    <w:rsid w:val="006922D0"/>
    <w:rsid w:val="006922E8"/>
    <w:rsid w:val="00692390"/>
    <w:rsid w:val="0069244D"/>
    <w:rsid w:val="0069245D"/>
    <w:rsid w:val="0069249D"/>
    <w:rsid w:val="00692561"/>
    <w:rsid w:val="00692685"/>
    <w:rsid w:val="006926D3"/>
    <w:rsid w:val="0069271E"/>
    <w:rsid w:val="006929DF"/>
    <w:rsid w:val="00692D67"/>
    <w:rsid w:val="00692D7A"/>
    <w:rsid w:val="00692E77"/>
    <w:rsid w:val="006930C9"/>
    <w:rsid w:val="006931AE"/>
    <w:rsid w:val="006932C3"/>
    <w:rsid w:val="006934D7"/>
    <w:rsid w:val="006935E5"/>
    <w:rsid w:val="006936A6"/>
    <w:rsid w:val="006936F8"/>
    <w:rsid w:val="0069379A"/>
    <w:rsid w:val="00693846"/>
    <w:rsid w:val="00693847"/>
    <w:rsid w:val="00693B08"/>
    <w:rsid w:val="00693BFD"/>
    <w:rsid w:val="00693DAA"/>
    <w:rsid w:val="00693F06"/>
    <w:rsid w:val="00693F22"/>
    <w:rsid w:val="00693F98"/>
    <w:rsid w:val="0069405A"/>
    <w:rsid w:val="0069409F"/>
    <w:rsid w:val="006940C5"/>
    <w:rsid w:val="00694381"/>
    <w:rsid w:val="006943AD"/>
    <w:rsid w:val="006943FE"/>
    <w:rsid w:val="006944A3"/>
    <w:rsid w:val="006945EF"/>
    <w:rsid w:val="00694678"/>
    <w:rsid w:val="006946AB"/>
    <w:rsid w:val="0069478A"/>
    <w:rsid w:val="006947A2"/>
    <w:rsid w:val="006947A6"/>
    <w:rsid w:val="006947E9"/>
    <w:rsid w:val="00694994"/>
    <w:rsid w:val="006949AD"/>
    <w:rsid w:val="00694A63"/>
    <w:rsid w:val="00694BD0"/>
    <w:rsid w:val="00694DFC"/>
    <w:rsid w:val="00694F63"/>
    <w:rsid w:val="00694F88"/>
    <w:rsid w:val="00694FFC"/>
    <w:rsid w:val="006950FB"/>
    <w:rsid w:val="006951C8"/>
    <w:rsid w:val="00695284"/>
    <w:rsid w:val="006954D9"/>
    <w:rsid w:val="0069562A"/>
    <w:rsid w:val="0069578D"/>
    <w:rsid w:val="0069585E"/>
    <w:rsid w:val="006959B0"/>
    <w:rsid w:val="00695B11"/>
    <w:rsid w:val="00695B68"/>
    <w:rsid w:val="00695BF7"/>
    <w:rsid w:val="00695C24"/>
    <w:rsid w:val="00695C72"/>
    <w:rsid w:val="00695C90"/>
    <w:rsid w:val="00695CE3"/>
    <w:rsid w:val="00695E5A"/>
    <w:rsid w:val="0069629B"/>
    <w:rsid w:val="0069646A"/>
    <w:rsid w:val="006964C5"/>
    <w:rsid w:val="00696550"/>
    <w:rsid w:val="00696630"/>
    <w:rsid w:val="00696640"/>
    <w:rsid w:val="00696689"/>
    <w:rsid w:val="00696904"/>
    <w:rsid w:val="006969AE"/>
    <w:rsid w:val="00696A93"/>
    <w:rsid w:val="00696B6A"/>
    <w:rsid w:val="00696B84"/>
    <w:rsid w:val="00696BBA"/>
    <w:rsid w:val="00696CCF"/>
    <w:rsid w:val="00696E57"/>
    <w:rsid w:val="00696EFE"/>
    <w:rsid w:val="006971AD"/>
    <w:rsid w:val="0069751C"/>
    <w:rsid w:val="00697590"/>
    <w:rsid w:val="006976D0"/>
    <w:rsid w:val="006977AD"/>
    <w:rsid w:val="006978DC"/>
    <w:rsid w:val="00697AC1"/>
    <w:rsid w:val="00697BEA"/>
    <w:rsid w:val="00697DA0"/>
    <w:rsid w:val="006A0107"/>
    <w:rsid w:val="006A0205"/>
    <w:rsid w:val="006A0236"/>
    <w:rsid w:val="006A03AF"/>
    <w:rsid w:val="006A0506"/>
    <w:rsid w:val="006A0584"/>
    <w:rsid w:val="006A064C"/>
    <w:rsid w:val="006A0710"/>
    <w:rsid w:val="006A0777"/>
    <w:rsid w:val="006A0B46"/>
    <w:rsid w:val="006A0BC9"/>
    <w:rsid w:val="006A0DA6"/>
    <w:rsid w:val="006A0E00"/>
    <w:rsid w:val="006A1214"/>
    <w:rsid w:val="006A1360"/>
    <w:rsid w:val="006A159C"/>
    <w:rsid w:val="006A16C6"/>
    <w:rsid w:val="006A16E4"/>
    <w:rsid w:val="006A170E"/>
    <w:rsid w:val="006A174E"/>
    <w:rsid w:val="006A1B17"/>
    <w:rsid w:val="006A1B23"/>
    <w:rsid w:val="006A1CAD"/>
    <w:rsid w:val="006A1CBD"/>
    <w:rsid w:val="006A1CFD"/>
    <w:rsid w:val="006A1D12"/>
    <w:rsid w:val="006A1DAD"/>
    <w:rsid w:val="006A1E33"/>
    <w:rsid w:val="006A1EE6"/>
    <w:rsid w:val="006A1F60"/>
    <w:rsid w:val="006A1F86"/>
    <w:rsid w:val="006A213E"/>
    <w:rsid w:val="006A2263"/>
    <w:rsid w:val="006A23AA"/>
    <w:rsid w:val="006A2568"/>
    <w:rsid w:val="006A2576"/>
    <w:rsid w:val="006A25F7"/>
    <w:rsid w:val="006A2639"/>
    <w:rsid w:val="006A2672"/>
    <w:rsid w:val="006A272D"/>
    <w:rsid w:val="006A2745"/>
    <w:rsid w:val="006A274D"/>
    <w:rsid w:val="006A2775"/>
    <w:rsid w:val="006A27A6"/>
    <w:rsid w:val="006A2BF6"/>
    <w:rsid w:val="006A2CBC"/>
    <w:rsid w:val="006A2E48"/>
    <w:rsid w:val="006A2EA8"/>
    <w:rsid w:val="006A2F75"/>
    <w:rsid w:val="006A305E"/>
    <w:rsid w:val="006A3192"/>
    <w:rsid w:val="006A31CA"/>
    <w:rsid w:val="006A3443"/>
    <w:rsid w:val="006A3773"/>
    <w:rsid w:val="006A3807"/>
    <w:rsid w:val="006A381D"/>
    <w:rsid w:val="006A394D"/>
    <w:rsid w:val="006A3BC4"/>
    <w:rsid w:val="006A3C80"/>
    <w:rsid w:val="006A3C90"/>
    <w:rsid w:val="006A3D30"/>
    <w:rsid w:val="006A3DF9"/>
    <w:rsid w:val="006A3E63"/>
    <w:rsid w:val="006A403A"/>
    <w:rsid w:val="006A42F2"/>
    <w:rsid w:val="006A449D"/>
    <w:rsid w:val="006A4550"/>
    <w:rsid w:val="006A459D"/>
    <w:rsid w:val="006A4951"/>
    <w:rsid w:val="006A4973"/>
    <w:rsid w:val="006A4A91"/>
    <w:rsid w:val="006A4B38"/>
    <w:rsid w:val="006A4BF7"/>
    <w:rsid w:val="006A4CF0"/>
    <w:rsid w:val="006A4D07"/>
    <w:rsid w:val="006A4E9A"/>
    <w:rsid w:val="006A4F2A"/>
    <w:rsid w:val="006A513E"/>
    <w:rsid w:val="006A52AF"/>
    <w:rsid w:val="006A54A4"/>
    <w:rsid w:val="006A55B7"/>
    <w:rsid w:val="006A5731"/>
    <w:rsid w:val="006A5831"/>
    <w:rsid w:val="006A5834"/>
    <w:rsid w:val="006A5918"/>
    <w:rsid w:val="006A59F7"/>
    <w:rsid w:val="006A5B93"/>
    <w:rsid w:val="006A5C58"/>
    <w:rsid w:val="006A5C97"/>
    <w:rsid w:val="006A5C99"/>
    <w:rsid w:val="006A5D5A"/>
    <w:rsid w:val="006A6266"/>
    <w:rsid w:val="006A680C"/>
    <w:rsid w:val="006A6B31"/>
    <w:rsid w:val="006A6BDE"/>
    <w:rsid w:val="006A6E14"/>
    <w:rsid w:val="006A7289"/>
    <w:rsid w:val="006A7341"/>
    <w:rsid w:val="006A77D4"/>
    <w:rsid w:val="006A7A9D"/>
    <w:rsid w:val="006A7B4E"/>
    <w:rsid w:val="006A7B8C"/>
    <w:rsid w:val="006A7BE2"/>
    <w:rsid w:val="006A7EC9"/>
    <w:rsid w:val="006AFF83"/>
    <w:rsid w:val="006B006A"/>
    <w:rsid w:val="006B0270"/>
    <w:rsid w:val="006B0595"/>
    <w:rsid w:val="006B0620"/>
    <w:rsid w:val="006B072F"/>
    <w:rsid w:val="006B07F5"/>
    <w:rsid w:val="006B087E"/>
    <w:rsid w:val="006B08A1"/>
    <w:rsid w:val="006B091A"/>
    <w:rsid w:val="006B0975"/>
    <w:rsid w:val="006B099C"/>
    <w:rsid w:val="006B09A5"/>
    <w:rsid w:val="006B0A22"/>
    <w:rsid w:val="006B0BCD"/>
    <w:rsid w:val="006B0D70"/>
    <w:rsid w:val="006B0DF0"/>
    <w:rsid w:val="006B0F57"/>
    <w:rsid w:val="006B0FF1"/>
    <w:rsid w:val="006B1186"/>
    <w:rsid w:val="006B12FC"/>
    <w:rsid w:val="006B13EF"/>
    <w:rsid w:val="006B14DD"/>
    <w:rsid w:val="006B1641"/>
    <w:rsid w:val="006B1735"/>
    <w:rsid w:val="006B186A"/>
    <w:rsid w:val="006B19CE"/>
    <w:rsid w:val="006B1B24"/>
    <w:rsid w:val="006B1B38"/>
    <w:rsid w:val="006B1D00"/>
    <w:rsid w:val="006B1D1F"/>
    <w:rsid w:val="006B1D72"/>
    <w:rsid w:val="006B20EF"/>
    <w:rsid w:val="006B2298"/>
    <w:rsid w:val="006B235F"/>
    <w:rsid w:val="006B2487"/>
    <w:rsid w:val="006B24DE"/>
    <w:rsid w:val="006B2759"/>
    <w:rsid w:val="006B277D"/>
    <w:rsid w:val="006B2866"/>
    <w:rsid w:val="006B2B82"/>
    <w:rsid w:val="006B2BA6"/>
    <w:rsid w:val="006B2CD4"/>
    <w:rsid w:val="006B2E1C"/>
    <w:rsid w:val="006B2EE1"/>
    <w:rsid w:val="006B3078"/>
    <w:rsid w:val="006B312F"/>
    <w:rsid w:val="006B3194"/>
    <w:rsid w:val="006B33CF"/>
    <w:rsid w:val="006B3477"/>
    <w:rsid w:val="006B351B"/>
    <w:rsid w:val="006B374D"/>
    <w:rsid w:val="006B3783"/>
    <w:rsid w:val="006B38B2"/>
    <w:rsid w:val="006B3920"/>
    <w:rsid w:val="006B397E"/>
    <w:rsid w:val="006B3A9A"/>
    <w:rsid w:val="006B3AF7"/>
    <w:rsid w:val="006B3C92"/>
    <w:rsid w:val="006B3D06"/>
    <w:rsid w:val="006B3E86"/>
    <w:rsid w:val="006B3FAA"/>
    <w:rsid w:val="006B40E8"/>
    <w:rsid w:val="006B41AA"/>
    <w:rsid w:val="006B42C2"/>
    <w:rsid w:val="006B43DA"/>
    <w:rsid w:val="006B4569"/>
    <w:rsid w:val="006B47EE"/>
    <w:rsid w:val="006B48FA"/>
    <w:rsid w:val="006B4B04"/>
    <w:rsid w:val="006B4B57"/>
    <w:rsid w:val="006B4B84"/>
    <w:rsid w:val="006B4BB0"/>
    <w:rsid w:val="006B4D20"/>
    <w:rsid w:val="006B4D7B"/>
    <w:rsid w:val="006B4D9E"/>
    <w:rsid w:val="006B5016"/>
    <w:rsid w:val="006B521D"/>
    <w:rsid w:val="006B536D"/>
    <w:rsid w:val="006B575C"/>
    <w:rsid w:val="006B5907"/>
    <w:rsid w:val="006B5BE2"/>
    <w:rsid w:val="006B5DC9"/>
    <w:rsid w:val="006B5E12"/>
    <w:rsid w:val="006B5F67"/>
    <w:rsid w:val="006B6033"/>
    <w:rsid w:val="006B60B2"/>
    <w:rsid w:val="006B61B6"/>
    <w:rsid w:val="006B62A1"/>
    <w:rsid w:val="006B6396"/>
    <w:rsid w:val="006B6464"/>
    <w:rsid w:val="006B6516"/>
    <w:rsid w:val="006B6527"/>
    <w:rsid w:val="006B66C1"/>
    <w:rsid w:val="006B6717"/>
    <w:rsid w:val="006B6767"/>
    <w:rsid w:val="006B6A8F"/>
    <w:rsid w:val="006B6B2F"/>
    <w:rsid w:val="006B6BD4"/>
    <w:rsid w:val="006B6DC5"/>
    <w:rsid w:val="006B6E60"/>
    <w:rsid w:val="006B6EAD"/>
    <w:rsid w:val="006B70C2"/>
    <w:rsid w:val="006B72EF"/>
    <w:rsid w:val="006B7380"/>
    <w:rsid w:val="006B7482"/>
    <w:rsid w:val="006B753C"/>
    <w:rsid w:val="006B779C"/>
    <w:rsid w:val="006B7812"/>
    <w:rsid w:val="006B781C"/>
    <w:rsid w:val="006B785E"/>
    <w:rsid w:val="006B7873"/>
    <w:rsid w:val="006B79DB"/>
    <w:rsid w:val="006B7CBC"/>
    <w:rsid w:val="006B7DBF"/>
    <w:rsid w:val="006B7E13"/>
    <w:rsid w:val="006B7EA0"/>
    <w:rsid w:val="006B7ED4"/>
    <w:rsid w:val="006B7F6E"/>
    <w:rsid w:val="006B7FF8"/>
    <w:rsid w:val="006C00C0"/>
    <w:rsid w:val="006C022E"/>
    <w:rsid w:val="006C054A"/>
    <w:rsid w:val="006C0996"/>
    <w:rsid w:val="006C0C7D"/>
    <w:rsid w:val="006C0C87"/>
    <w:rsid w:val="006C0CDF"/>
    <w:rsid w:val="006C0D4C"/>
    <w:rsid w:val="006C0D57"/>
    <w:rsid w:val="006C0D6C"/>
    <w:rsid w:val="006C0DC6"/>
    <w:rsid w:val="006C0F6B"/>
    <w:rsid w:val="006C107D"/>
    <w:rsid w:val="006C1139"/>
    <w:rsid w:val="006C13DC"/>
    <w:rsid w:val="006C172F"/>
    <w:rsid w:val="006C17BE"/>
    <w:rsid w:val="006C19D9"/>
    <w:rsid w:val="006C19E7"/>
    <w:rsid w:val="006C1B40"/>
    <w:rsid w:val="006C1BEE"/>
    <w:rsid w:val="006C1C34"/>
    <w:rsid w:val="006C1C61"/>
    <w:rsid w:val="006C1E10"/>
    <w:rsid w:val="006C1E1B"/>
    <w:rsid w:val="006C1F10"/>
    <w:rsid w:val="006C1FEA"/>
    <w:rsid w:val="006C215C"/>
    <w:rsid w:val="006C22A4"/>
    <w:rsid w:val="006C2443"/>
    <w:rsid w:val="006C27A1"/>
    <w:rsid w:val="006C2802"/>
    <w:rsid w:val="006C28B2"/>
    <w:rsid w:val="006C2A40"/>
    <w:rsid w:val="006C2B39"/>
    <w:rsid w:val="006C2BA2"/>
    <w:rsid w:val="006C2BE0"/>
    <w:rsid w:val="006C2F6E"/>
    <w:rsid w:val="006C2F9C"/>
    <w:rsid w:val="006C2F9E"/>
    <w:rsid w:val="006C30B4"/>
    <w:rsid w:val="006C30E0"/>
    <w:rsid w:val="006C3205"/>
    <w:rsid w:val="006C3240"/>
    <w:rsid w:val="006C350D"/>
    <w:rsid w:val="006C38C9"/>
    <w:rsid w:val="006C3924"/>
    <w:rsid w:val="006C3A06"/>
    <w:rsid w:val="006C3AE9"/>
    <w:rsid w:val="006C3E22"/>
    <w:rsid w:val="006C3E65"/>
    <w:rsid w:val="006C3F43"/>
    <w:rsid w:val="006C407B"/>
    <w:rsid w:val="006C40C6"/>
    <w:rsid w:val="006C418F"/>
    <w:rsid w:val="006C41C0"/>
    <w:rsid w:val="006C4288"/>
    <w:rsid w:val="006C464C"/>
    <w:rsid w:val="006C46A3"/>
    <w:rsid w:val="006C4704"/>
    <w:rsid w:val="006C47E1"/>
    <w:rsid w:val="006C480C"/>
    <w:rsid w:val="006C48B5"/>
    <w:rsid w:val="006C48FA"/>
    <w:rsid w:val="006C4BE4"/>
    <w:rsid w:val="006C4C7B"/>
    <w:rsid w:val="006C4CC9"/>
    <w:rsid w:val="006C4D05"/>
    <w:rsid w:val="006C4DCB"/>
    <w:rsid w:val="006C4E90"/>
    <w:rsid w:val="006C4F21"/>
    <w:rsid w:val="006C51F8"/>
    <w:rsid w:val="006C527B"/>
    <w:rsid w:val="006C53EC"/>
    <w:rsid w:val="006C5617"/>
    <w:rsid w:val="006C56B5"/>
    <w:rsid w:val="006C56BC"/>
    <w:rsid w:val="006C56ED"/>
    <w:rsid w:val="006C586E"/>
    <w:rsid w:val="006C5901"/>
    <w:rsid w:val="006C5993"/>
    <w:rsid w:val="006C5AEB"/>
    <w:rsid w:val="006C5B58"/>
    <w:rsid w:val="006C5CAE"/>
    <w:rsid w:val="006C5ED0"/>
    <w:rsid w:val="006C614E"/>
    <w:rsid w:val="006C615E"/>
    <w:rsid w:val="006C63DF"/>
    <w:rsid w:val="006C657F"/>
    <w:rsid w:val="006C65AA"/>
    <w:rsid w:val="006C664D"/>
    <w:rsid w:val="006C66A5"/>
    <w:rsid w:val="006C6738"/>
    <w:rsid w:val="006C67AF"/>
    <w:rsid w:val="006C67F3"/>
    <w:rsid w:val="006C6859"/>
    <w:rsid w:val="006C68F1"/>
    <w:rsid w:val="006C693F"/>
    <w:rsid w:val="006C69AA"/>
    <w:rsid w:val="006C6A51"/>
    <w:rsid w:val="006C6B80"/>
    <w:rsid w:val="006C6E5C"/>
    <w:rsid w:val="006C6E8F"/>
    <w:rsid w:val="006C707A"/>
    <w:rsid w:val="006C7278"/>
    <w:rsid w:val="006C7349"/>
    <w:rsid w:val="006C737E"/>
    <w:rsid w:val="006C7616"/>
    <w:rsid w:val="006C768F"/>
    <w:rsid w:val="006C76AE"/>
    <w:rsid w:val="006C7706"/>
    <w:rsid w:val="006C7774"/>
    <w:rsid w:val="006C7897"/>
    <w:rsid w:val="006C78A1"/>
    <w:rsid w:val="006C7A35"/>
    <w:rsid w:val="006C7C3C"/>
    <w:rsid w:val="006D022C"/>
    <w:rsid w:val="006D0358"/>
    <w:rsid w:val="006D05D8"/>
    <w:rsid w:val="006D08B0"/>
    <w:rsid w:val="006D0A02"/>
    <w:rsid w:val="006D0AA1"/>
    <w:rsid w:val="006D0CED"/>
    <w:rsid w:val="006D0DA0"/>
    <w:rsid w:val="006D0EB4"/>
    <w:rsid w:val="006D0FDA"/>
    <w:rsid w:val="006D10B5"/>
    <w:rsid w:val="006D11B8"/>
    <w:rsid w:val="006D13C0"/>
    <w:rsid w:val="006D167D"/>
    <w:rsid w:val="006D16AE"/>
    <w:rsid w:val="006D19BA"/>
    <w:rsid w:val="006D19C4"/>
    <w:rsid w:val="006D1A15"/>
    <w:rsid w:val="006D1A67"/>
    <w:rsid w:val="006D1A92"/>
    <w:rsid w:val="006D1B59"/>
    <w:rsid w:val="006D1B6D"/>
    <w:rsid w:val="006D1BBC"/>
    <w:rsid w:val="006D1BE9"/>
    <w:rsid w:val="006D1BFE"/>
    <w:rsid w:val="006D1C1B"/>
    <w:rsid w:val="006D1F61"/>
    <w:rsid w:val="006D1F82"/>
    <w:rsid w:val="006D1F8D"/>
    <w:rsid w:val="006D234A"/>
    <w:rsid w:val="006D2365"/>
    <w:rsid w:val="006D2450"/>
    <w:rsid w:val="006D27F1"/>
    <w:rsid w:val="006D2897"/>
    <w:rsid w:val="006D2920"/>
    <w:rsid w:val="006D294C"/>
    <w:rsid w:val="006D29E7"/>
    <w:rsid w:val="006D2B7B"/>
    <w:rsid w:val="006D2B9D"/>
    <w:rsid w:val="006D2C8F"/>
    <w:rsid w:val="006D2D9E"/>
    <w:rsid w:val="006D2E48"/>
    <w:rsid w:val="006D2F80"/>
    <w:rsid w:val="006D2FD9"/>
    <w:rsid w:val="006D30D9"/>
    <w:rsid w:val="006D30EA"/>
    <w:rsid w:val="006D3195"/>
    <w:rsid w:val="006D3296"/>
    <w:rsid w:val="006D3330"/>
    <w:rsid w:val="006D3389"/>
    <w:rsid w:val="006D35FB"/>
    <w:rsid w:val="006D3640"/>
    <w:rsid w:val="006D3643"/>
    <w:rsid w:val="006D3675"/>
    <w:rsid w:val="006D36B4"/>
    <w:rsid w:val="006D36FC"/>
    <w:rsid w:val="006D3723"/>
    <w:rsid w:val="006D3855"/>
    <w:rsid w:val="006D38D4"/>
    <w:rsid w:val="006D395A"/>
    <w:rsid w:val="006D3995"/>
    <w:rsid w:val="006D3B71"/>
    <w:rsid w:val="006D3BA8"/>
    <w:rsid w:val="006D3CAF"/>
    <w:rsid w:val="006D3D17"/>
    <w:rsid w:val="006D3D28"/>
    <w:rsid w:val="006D3E3D"/>
    <w:rsid w:val="006D3E77"/>
    <w:rsid w:val="006D3FCD"/>
    <w:rsid w:val="006D44B1"/>
    <w:rsid w:val="006D4586"/>
    <w:rsid w:val="006D45A5"/>
    <w:rsid w:val="006D47BC"/>
    <w:rsid w:val="006D47E0"/>
    <w:rsid w:val="006D4894"/>
    <w:rsid w:val="006D4993"/>
    <w:rsid w:val="006D4BC6"/>
    <w:rsid w:val="006D4E01"/>
    <w:rsid w:val="006D4F3D"/>
    <w:rsid w:val="006D4F7B"/>
    <w:rsid w:val="006D51AE"/>
    <w:rsid w:val="006D51E0"/>
    <w:rsid w:val="006D5241"/>
    <w:rsid w:val="006D52AF"/>
    <w:rsid w:val="006D5475"/>
    <w:rsid w:val="006D54AA"/>
    <w:rsid w:val="006D54EA"/>
    <w:rsid w:val="006D5581"/>
    <w:rsid w:val="006D5853"/>
    <w:rsid w:val="006D5954"/>
    <w:rsid w:val="006D5B0D"/>
    <w:rsid w:val="006D5F26"/>
    <w:rsid w:val="006D601F"/>
    <w:rsid w:val="006D6356"/>
    <w:rsid w:val="006D65CD"/>
    <w:rsid w:val="006D66C6"/>
    <w:rsid w:val="006D6742"/>
    <w:rsid w:val="006D678F"/>
    <w:rsid w:val="006D6991"/>
    <w:rsid w:val="006D69A1"/>
    <w:rsid w:val="006D6A22"/>
    <w:rsid w:val="006D6B3C"/>
    <w:rsid w:val="006D6D0D"/>
    <w:rsid w:val="006D6DDE"/>
    <w:rsid w:val="006D6ED5"/>
    <w:rsid w:val="006D70FB"/>
    <w:rsid w:val="006D7161"/>
    <w:rsid w:val="006D726C"/>
    <w:rsid w:val="006D72DC"/>
    <w:rsid w:val="006D72E3"/>
    <w:rsid w:val="006D7361"/>
    <w:rsid w:val="006D747C"/>
    <w:rsid w:val="006D74F1"/>
    <w:rsid w:val="006D757A"/>
    <w:rsid w:val="006D7621"/>
    <w:rsid w:val="006D77C4"/>
    <w:rsid w:val="006D77F3"/>
    <w:rsid w:val="006D79C8"/>
    <w:rsid w:val="006D7C1B"/>
    <w:rsid w:val="006D7D7F"/>
    <w:rsid w:val="006D7F0A"/>
    <w:rsid w:val="006E0081"/>
    <w:rsid w:val="006E0148"/>
    <w:rsid w:val="006E0662"/>
    <w:rsid w:val="006E08C3"/>
    <w:rsid w:val="006E0930"/>
    <w:rsid w:val="006E0A04"/>
    <w:rsid w:val="006E0B0B"/>
    <w:rsid w:val="006E0DB5"/>
    <w:rsid w:val="006E0EDF"/>
    <w:rsid w:val="006E1041"/>
    <w:rsid w:val="006E10FD"/>
    <w:rsid w:val="006E1233"/>
    <w:rsid w:val="006E135D"/>
    <w:rsid w:val="006E1543"/>
    <w:rsid w:val="006E15EB"/>
    <w:rsid w:val="006E169F"/>
    <w:rsid w:val="006E1976"/>
    <w:rsid w:val="006E19F2"/>
    <w:rsid w:val="006E1ED8"/>
    <w:rsid w:val="006E1F9F"/>
    <w:rsid w:val="006E1FA0"/>
    <w:rsid w:val="006E2031"/>
    <w:rsid w:val="006E2255"/>
    <w:rsid w:val="006E228C"/>
    <w:rsid w:val="006E2300"/>
    <w:rsid w:val="006E23BB"/>
    <w:rsid w:val="006E2698"/>
    <w:rsid w:val="006E26B7"/>
    <w:rsid w:val="006E27E2"/>
    <w:rsid w:val="006E28AA"/>
    <w:rsid w:val="006E28E8"/>
    <w:rsid w:val="006E2A61"/>
    <w:rsid w:val="006E2CD3"/>
    <w:rsid w:val="006E2D14"/>
    <w:rsid w:val="006E2DAC"/>
    <w:rsid w:val="006E2FC2"/>
    <w:rsid w:val="006E309E"/>
    <w:rsid w:val="006E3237"/>
    <w:rsid w:val="006E32A1"/>
    <w:rsid w:val="006E32F6"/>
    <w:rsid w:val="006E340D"/>
    <w:rsid w:val="006E3462"/>
    <w:rsid w:val="006E3530"/>
    <w:rsid w:val="006E36C8"/>
    <w:rsid w:val="006E37FF"/>
    <w:rsid w:val="006E3878"/>
    <w:rsid w:val="006E3962"/>
    <w:rsid w:val="006E3A68"/>
    <w:rsid w:val="006E3AE5"/>
    <w:rsid w:val="006E3C10"/>
    <w:rsid w:val="006E3C95"/>
    <w:rsid w:val="006E3CDE"/>
    <w:rsid w:val="006E406E"/>
    <w:rsid w:val="006E407B"/>
    <w:rsid w:val="006E40D2"/>
    <w:rsid w:val="006E4117"/>
    <w:rsid w:val="006E4230"/>
    <w:rsid w:val="006E43BA"/>
    <w:rsid w:val="006E4404"/>
    <w:rsid w:val="006E448B"/>
    <w:rsid w:val="006E4606"/>
    <w:rsid w:val="006E4A5A"/>
    <w:rsid w:val="006E4B8E"/>
    <w:rsid w:val="006E4B9C"/>
    <w:rsid w:val="006E4CC5"/>
    <w:rsid w:val="006E4FA7"/>
    <w:rsid w:val="006E506A"/>
    <w:rsid w:val="006E512A"/>
    <w:rsid w:val="006E515E"/>
    <w:rsid w:val="006E51B5"/>
    <w:rsid w:val="006E527C"/>
    <w:rsid w:val="006E552C"/>
    <w:rsid w:val="006E552D"/>
    <w:rsid w:val="006E554F"/>
    <w:rsid w:val="006E560F"/>
    <w:rsid w:val="006E5673"/>
    <w:rsid w:val="006E56FD"/>
    <w:rsid w:val="006E5751"/>
    <w:rsid w:val="006E5791"/>
    <w:rsid w:val="006E582E"/>
    <w:rsid w:val="006E59E8"/>
    <w:rsid w:val="006E5B0B"/>
    <w:rsid w:val="006E5B0D"/>
    <w:rsid w:val="006E5B1A"/>
    <w:rsid w:val="006E5BA2"/>
    <w:rsid w:val="006E5CE9"/>
    <w:rsid w:val="006E5DE9"/>
    <w:rsid w:val="006E5F00"/>
    <w:rsid w:val="006E5F35"/>
    <w:rsid w:val="006E601C"/>
    <w:rsid w:val="006E62FB"/>
    <w:rsid w:val="006E647B"/>
    <w:rsid w:val="006E64BE"/>
    <w:rsid w:val="006E6512"/>
    <w:rsid w:val="006E6563"/>
    <w:rsid w:val="006E6598"/>
    <w:rsid w:val="006E6676"/>
    <w:rsid w:val="006E6688"/>
    <w:rsid w:val="006E6810"/>
    <w:rsid w:val="006E6834"/>
    <w:rsid w:val="006E6896"/>
    <w:rsid w:val="006E69D1"/>
    <w:rsid w:val="006E6A76"/>
    <w:rsid w:val="006E6AB2"/>
    <w:rsid w:val="006E6B3C"/>
    <w:rsid w:val="006E6D09"/>
    <w:rsid w:val="006E6DF7"/>
    <w:rsid w:val="006E70F5"/>
    <w:rsid w:val="006E7106"/>
    <w:rsid w:val="006E7261"/>
    <w:rsid w:val="006E72EC"/>
    <w:rsid w:val="006E7416"/>
    <w:rsid w:val="006E744C"/>
    <w:rsid w:val="006E74FD"/>
    <w:rsid w:val="006E750C"/>
    <w:rsid w:val="006E7526"/>
    <w:rsid w:val="006E7553"/>
    <w:rsid w:val="006E782C"/>
    <w:rsid w:val="006E79FE"/>
    <w:rsid w:val="006E7CDC"/>
    <w:rsid w:val="006E7D74"/>
    <w:rsid w:val="006E7DA1"/>
    <w:rsid w:val="006E7E43"/>
    <w:rsid w:val="006E7F2A"/>
    <w:rsid w:val="006EFB55"/>
    <w:rsid w:val="006F0054"/>
    <w:rsid w:val="006F02AC"/>
    <w:rsid w:val="006F0399"/>
    <w:rsid w:val="006F03F6"/>
    <w:rsid w:val="006F0466"/>
    <w:rsid w:val="006F05A8"/>
    <w:rsid w:val="006F0658"/>
    <w:rsid w:val="006F0994"/>
    <w:rsid w:val="006F099C"/>
    <w:rsid w:val="006F0ACC"/>
    <w:rsid w:val="006F0CE9"/>
    <w:rsid w:val="006F0DB0"/>
    <w:rsid w:val="006F0E88"/>
    <w:rsid w:val="006F0F6B"/>
    <w:rsid w:val="006F0FFA"/>
    <w:rsid w:val="006F1074"/>
    <w:rsid w:val="006F1114"/>
    <w:rsid w:val="006F135E"/>
    <w:rsid w:val="006F139F"/>
    <w:rsid w:val="006F13B7"/>
    <w:rsid w:val="006F13C0"/>
    <w:rsid w:val="006F13D3"/>
    <w:rsid w:val="006F1625"/>
    <w:rsid w:val="006F1888"/>
    <w:rsid w:val="006F1BA1"/>
    <w:rsid w:val="006F1BD9"/>
    <w:rsid w:val="006F2225"/>
    <w:rsid w:val="006F22D8"/>
    <w:rsid w:val="006F247A"/>
    <w:rsid w:val="006F2CAC"/>
    <w:rsid w:val="006F2E0C"/>
    <w:rsid w:val="006F2E27"/>
    <w:rsid w:val="006F2E96"/>
    <w:rsid w:val="006F2F71"/>
    <w:rsid w:val="006F2FEE"/>
    <w:rsid w:val="006F3053"/>
    <w:rsid w:val="006F305E"/>
    <w:rsid w:val="006F349A"/>
    <w:rsid w:val="006F357F"/>
    <w:rsid w:val="006F35C2"/>
    <w:rsid w:val="006F35E3"/>
    <w:rsid w:val="006F38DC"/>
    <w:rsid w:val="006F390F"/>
    <w:rsid w:val="006F394D"/>
    <w:rsid w:val="006F3B39"/>
    <w:rsid w:val="006F3CD4"/>
    <w:rsid w:val="006F3D3D"/>
    <w:rsid w:val="006F3F04"/>
    <w:rsid w:val="006F3F7A"/>
    <w:rsid w:val="006F3FA3"/>
    <w:rsid w:val="006F402A"/>
    <w:rsid w:val="006F41B1"/>
    <w:rsid w:val="006F425B"/>
    <w:rsid w:val="006F4318"/>
    <w:rsid w:val="006F44AF"/>
    <w:rsid w:val="006F4659"/>
    <w:rsid w:val="006F46A6"/>
    <w:rsid w:val="006F4887"/>
    <w:rsid w:val="006F498A"/>
    <w:rsid w:val="006F4D41"/>
    <w:rsid w:val="006F4D77"/>
    <w:rsid w:val="006F5018"/>
    <w:rsid w:val="006F5070"/>
    <w:rsid w:val="006F5319"/>
    <w:rsid w:val="006F5357"/>
    <w:rsid w:val="006F5477"/>
    <w:rsid w:val="006F55A6"/>
    <w:rsid w:val="006F56BF"/>
    <w:rsid w:val="006F5D3D"/>
    <w:rsid w:val="006F6064"/>
    <w:rsid w:val="006F6178"/>
    <w:rsid w:val="006F627B"/>
    <w:rsid w:val="006F668A"/>
    <w:rsid w:val="006F66A5"/>
    <w:rsid w:val="006F692F"/>
    <w:rsid w:val="006F6BB7"/>
    <w:rsid w:val="006F6C8F"/>
    <w:rsid w:val="006F6DD9"/>
    <w:rsid w:val="006F7042"/>
    <w:rsid w:val="006F70A7"/>
    <w:rsid w:val="006F70F9"/>
    <w:rsid w:val="006F726C"/>
    <w:rsid w:val="006F729D"/>
    <w:rsid w:val="006F750B"/>
    <w:rsid w:val="006F75E8"/>
    <w:rsid w:val="006F774C"/>
    <w:rsid w:val="006F7BCB"/>
    <w:rsid w:val="006F7CC9"/>
    <w:rsid w:val="006F7D73"/>
    <w:rsid w:val="006F7E4D"/>
    <w:rsid w:val="006F7F4A"/>
    <w:rsid w:val="007001B4"/>
    <w:rsid w:val="0070020C"/>
    <w:rsid w:val="00700218"/>
    <w:rsid w:val="0070032B"/>
    <w:rsid w:val="00700421"/>
    <w:rsid w:val="007004F7"/>
    <w:rsid w:val="0070053E"/>
    <w:rsid w:val="007005A6"/>
    <w:rsid w:val="00700756"/>
    <w:rsid w:val="00700888"/>
    <w:rsid w:val="00700A9C"/>
    <w:rsid w:val="00700B40"/>
    <w:rsid w:val="00700D8C"/>
    <w:rsid w:val="00700E41"/>
    <w:rsid w:val="00700FA8"/>
    <w:rsid w:val="00700FE1"/>
    <w:rsid w:val="0070104A"/>
    <w:rsid w:val="007010DB"/>
    <w:rsid w:val="007010E7"/>
    <w:rsid w:val="007010F1"/>
    <w:rsid w:val="007011AB"/>
    <w:rsid w:val="00701219"/>
    <w:rsid w:val="00701256"/>
    <w:rsid w:val="00701272"/>
    <w:rsid w:val="007012BC"/>
    <w:rsid w:val="00701346"/>
    <w:rsid w:val="007013E1"/>
    <w:rsid w:val="007014D8"/>
    <w:rsid w:val="00701565"/>
    <w:rsid w:val="00701690"/>
    <w:rsid w:val="00701900"/>
    <w:rsid w:val="00701968"/>
    <w:rsid w:val="00701B48"/>
    <w:rsid w:val="00701B8C"/>
    <w:rsid w:val="00701BA5"/>
    <w:rsid w:val="00701C46"/>
    <w:rsid w:val="00701C66"/>
    <w:rsid w:val="00701DB0"/>
    <w:rsid w:val="00702108"/>
    <w:rsid w:val="00702213"/>
    <w:rsid w:val="0070230A"/>
    <w:rsid w:val="00702395"/>
    <w:rsid w:val="007023A9"/>
    <w:rsid w:val="00702457"/>
    <w:rsid w:val="00702655"/>
    <w:rsid w:val="00702730"/>
    <w:rsid w:val="0070273B"/>
    <w:rsid w:val="007027CC"/>
    <w:rsid w:val="007027DE"/>
    <w:rsid w:val="00702866"/>
    <w:rsid w:val="0070297C"/>
    <w:rsid w:val="007029A2"/>
    <w:rsid w:val="00702C75"/>
    <w:rsid w:val="00702EA7"/>
    <w:rsid w:val="00702FAA"/>
    <w:rsid w:val="00703126"/>
    <w:rsid w:val="00703172"/>
    <w:rsid w:val="0070317C"/>
    <w:rsid w:val="007031F4"/>
    <w:rsid w:val="007034AF"/>
    <w:rsid w:val="00703548"/>
    <w:rsid w:val="00703559"/>
    <w:rsid w:val="0070360E"/>
    <w:rsid w:val="00703796"/>
    <w:rsid w:val="007037AF"/>
    <w:rsid w:val="00703919"/>
    <w:rsid w:val="0070398C"/>
    <w:rsid w:val="00703A98"/>
    <w:rsid w:val="00703B3C"/>
    <w:rsid w:val="00703C4C"/>
    <w:rsid w:val="00703C73"/>
    <w:rsid w:val="00703D4D"/>
    <w:rsid w:val="00704496"/>
    <w:rsid w:val="007045B9"/>
    <w:rsid w:val="00704627"/>
    <w:rsid w:val="0070467B"/>
    <w:rsid w:val="0070468F"/>
    <w:rsid w:val="0070473A"/>
    <w:rsid w:val="0070484A"/>
    <w:rsid w:val="00704871"/>
    <w:rsid w:val="00704A50"/>
    <w:rsid w:val="00704ACC"/>
    <w:rsid w:val="00704B1B"/>
    <w:rsid w:val="00704D31"/>
    <w:rsid w:val="00704DE2"/>
    <w:rsid w:val="00704E0B"/>
    <w:rsid w:val="00704E16"/>
    <w:rsid w:val="007050B4"/>
    <w:rsid w:val="0070537D"/>
    <w:rsid w:val="007053D2"/>
    <w:rsid w:val="00705577"/>
    <w:rsid w:val="0070574A"/>
    <w:rsid w:val="00705949"/>
    <w:rsid w:val="00705A3F"/>
    <w:rsid w:val="00705AA8"/>
    <w:rsid w:val="00705BF8"/>
    <w:rsid w:val="00705CD6"/>
    <w:rsid w:val="00705E3D"/>
    <w:rsid w:val="00705EEB"/>
    <w:rsid w:val="00705F2C"/>
    <w:rsid w:val="00705FC3"/>
    <w:rsid w:val="007060F7"/>
    <w:rsid w:val="00706265"/>
    <w:rsid w:val="007062FD"/>
    <w:rsid w:val="007064C4"/>
    <w:rsid w:val="007064F2"/>
    <w:rsid w:val="0070660D"/>
    <w:rsid w:val="007068A6"/>
    <w:rsid w:val="00706BA6"/>
    <w:rsid w:val="00706C44"/>
    <w:rsid w:val="00706D99"/>
    <w:rsid w:val="00706FC6"/>
    <w:rsid w:val="00707149"/>
    <w:rsid w:val="0070728B"/>
    <w:rsid w:val="0070753C"/>
    <w:rsid w:val="00707774"/>
    <w:rsid w:val="00707865"/>
    <w:rsid w:val="00707986"/>
    <w:rsid w:val="00707A9E"/>
    <w:rsid w:val="00707B8D"/>
    <w:rsid w:val="00707BA5"/>
    <w:rsid w:val="00707BA9"/>
    <w:rsid w:val="00707DAE"/>
    <w:rsid w:val="00707E3A"/>
    <w:rsid w:val="00707FAE"/>
    <w:rsid w:val="0071007F"/>
    <w:rsid w:val="00710185"/>
    <w:rsid w:val="00710194"/>
    <w:rsid w:val="007102FF"/>
    <w:rsid w:val="00710429"/>
    <w:rsid w:val="0071048B"/>
    <w:rsid w:val="007104AE"/>
    <w:rsid w:val="00710560"/>
    <w:rsid w:val="007107CE"/>
    <w:rsid w:val="00710B9C"/>
    <w:rsid w:val="00710C19"/>
    <w:rsid w:val="00710C20"/>
    <w:rsid w:val="00710CB5"/>
    <w:rsid w:val="00710CE0"/>
    <w:rsid w:val="00710D0C"/>
    <w:rsid w:val="00710D2D"/>
    <w:rsid w:val="0071102F"/>
    <w:rsid w:val="0071113F"/>
    <w:rsid w:val="007114C5"/>
    <w:rsid w:val="00711705"/>
    <w:rsid w:val="0071172B"/>
    <w:rsid w:val="007117F0"/>
    <w:rsid w:val="007118D3"/>
    <w:rsid w:val="007119A2"/>
    <w:rsid w:val="00711A94"/>
    <w:rsid w:val="00711AFD"/>
    <w:rsid w:val="00711B76"/>
    <w:rsid w:val="00711D42"/>
    <w:rsid w:val="00711E0E"/>
    <w:rsid w:val="00712067"/>
    <w:rsid w:val="007120FD"/>
    <w:rsid w:val="00712137"/>
    <w:rsid w:val="007121A8"/>
    <w:rsid w:val="007121AC"/>
    <w:rsid w:val="0071226D"/>
    <w:rsid w:val="0071226F"/>
    <w:rsid w:val="00712390"/>
    <w:rsid w:val="00712487"/>
    <w:rsid w:val="00712598"/>
    <w:rsid w:val="00712748"/>
    <w:rsid w:val="00712770"/>
    <w:rsid w:val="00712878"/>
    <w:rsid w:val="007129B7"/>
    <w:rsid w:val="00712A45"/>
    <w:rsid w:val="00712B36"/>
    <w:rsid w:val="00712C9A"/>
    <w:rsid w:val="00712D46"/>
    <w:rsid w:val="00712D80"/>
    <w:rsid w:val="00712DA9"/>
    <w:rsid w:val="00712ED3"/>
    <w:rsid w:val="00712ED4"/>
    <w:rsid w:val="00712ED7"/>
    <w:rsid w:val="0071302D"/>
    <w:rsid w:val="007131D0"/>
    <w:rsid w:val="00713204"/>
    <w:rsid w:val="0071345F"/>
    <w:rsid w:val="007134DD"/>
    <w:rsid w:val="00713564"/>
    <w:rsid w:val="007137B0"/>
    <w:rsid w:val="0071386D"/>
    <w:rsid w:val="007139B1"/>
    <w:rsid w:val="007139EA"/>
    <w:rsid w:val="00713AA7"/>
    <w:rsid w:val="00713AEA"/>
    <w:rsid w:val="00713BE3"/>
    <w:rsid w:val="00713D68"/>
    <w:rsid w:val="00713F0C"/>
    <w:rsid w:val="00713F38"/>
    <w:rsid w:val="00713F42"/>
    <w:rsid w:val="0071403A"/>
    <w:rsid w:val="0071408C"/>
    <w:rsid w:val="007143B3"/>
    <w:rsid w:val="007145E5"/>
    <w:rsid w:val="00714612"/>
    <w:rsid w:val="0071470A"/>
    <w:rsid w:val="007147F0"/>
    <w:rsid w:val="0071484E"/>
    <w:rsid w:val="0071485B"/>
    <w:rsid w:val="00714A0F"/>
    <w:rsid w:val="00714AD0"/>
    <w:rsid w:val="00714BDA"/>
    <w:rsid w:val="00714C78"/>
    <w:rsid w:val="00714E02"/>
    <w:rsid w:val="00714E7F"/>
    <w:rsid w:val="00714ED4"/>
    <w:rsid w:val="00714F90"/>
    <w:rsid w:val="00715025"/>
    <w:rsid w:val="0071505C"/>
    <w:rsid w:val="00715137"/>
    <w:rsid w:val="007157BD"/>
    <w:rsid w:val="00715921"/>
    <w:rsid w:val="00715A90"/>
    <w:rsid w:val="00715AD5"/>
    <w:rsid w:val="00715B3A"/>
    <w:rsid w:val="00715B46"/>
    <w:rsid w:val="00715B82"/>
    <w:rsid w:val="00715DF0"/>
    <w:rsid w:val="00715E4A"/>
    <w:rsid w:val="00715F75"/>
    <w:rsid w:val="0071606C"/>
    <w:rsid w:val="0071622D"/>
    <w:rsid w:val="007162F7"/>
    <w:rsid w:val="00716393"/>
    <w:rsid w:val="0071644E"/>
    <w:rsid w:val="007165C5"/>
    <w:rsid w:val="00716633"/>
    <w:rsid w:val="0071675F"/>
    <w:rsid w:val="00716994"/>
    <w:rsid w:val="00716C6A"/>
    <w:rsid w:val="00716DE5"/>
    <w:rsid w:val="00716E47"/>
    <w:rsid w:val="00716F21"/>
    <w:rsid w:val="00716FB3"/>
    <w:rsid w:val="007170CA"/>
    <w:rsid w:val="007170E5"/>
    <w:rsid w:val="0071715A"/>
    <w:rsid w:val="00717202"/>
    <w:rsid w:val="00717450"/>
    <w:rsid w:val="00717676"/>
    <w:rsid w:val="0071776F"/>
    <w:rsid w:val="007178BE"/>
    <w:rsid w:val="00717A62"/>
    <w:rsid w:val="00717AC6"/>
    <w:rsid w:val="00717E9A"/>
    <w:rsid w:val="00717EAA"/>
    <w:rsid w:val="0072008A"/>
    <w:rsid w:val="00720102"/>
    <w:rsid w:val="0072010F"/>
    <w:rsid w:val="0072030D"/>
    <w:rsid w:val="00720430"/>
    <w:rsid w:val="007206E4"/>
    <w:rsid w:val="0072071F"/>
    <w:rsid w:val="007209A8"/>
    <w:rsid w:val="007209E5"/>
    <w:rsid w:val="00720A88"/>
    <w:rsid w:val="00720FD8"/>
    <w:rsid w:val="00721004"/>
    <w:rsid w:val="00721220"/>
    <w:rsid w:val="00721279"/>
    <w:rsid w:val="00721360"/>
    <w:rsid w:val="00721429"/>
    <w:rsid w:val="00721496"/>
    <w:rsid w:val="0072163A"/>
    <w:rsid w:val="0072165C"/>
    <w:rsid w:val="0072178C"/>
    <w:rsid w:val="00721962"/>
    <w:rsid w:val="00721CCB"/>
    <w:rsid w:val="00721D2D"/>
    <w:rsid w:val="00721FD5"/>
    <w:rsid w:val="00721FFC"/>
    <w:rsid w:val="00722063"/>
    <w:rsid w:val="0072218A"/>
    <w:rsid w:val="007222A1"/>
    <w:rsid w:val="0072276E"/>
    <w:rsid w:val="00722A50"/>
    <w:rsid w:val="00722DAC"/>
    <w:rsid w:val="00722DD0"/>
    <w:rsid w:val="00722FA5"/>
    <w:rsid w:val="007230D3"/>
    <w:rsid w:val="0072328C"/>
    <w:rsid w:val="00723688"/>
    <w:rsid w:val="00723A13"/>
    <w:rsid w:val="00723CAE"/>
    <w:rsid w:val="00723D1E"/>
    <w:rsid w:val="00723DEF"/>
    <w:rsid w:val="00723E8D"/>
    <w:rsid w:val="00724050"/>
    <w:rsid w:val="0072406F"/>
    <w:rsid w:val="00724071"/>
    <w:rsid w:val="0072410A"/>
    <w:rsid w:val="007241E5"/>
    <w:rsid w:val="0072432D"/>
    <w:rsid w:val="00724331"/>
    <w:rsid w:val="00724373"/>
    <w:rsid w:val="00724492"/>
    <w:rsid w:val="007245ED"/>
    <w:rsid w:val="00724825"/>
    <w:rsid w:val="00724909"/>
    <w:rsid w:val="00724927"/>
    <w:rsid w:val="0072498F"/>
    <w:rsid w:val="00724BF9"/>
    <w:rsid w:val="00724C27"/>
    <w:rsid w:val="00724C82"/>
    <w:rsid w:val="00724CDE"/>
    <w:rsid w:val="00724F5B"/>
    <w:rsid w:val="0072545F"/>
    <w:rsid w:val="007256D3"/>
    <w:rsid w:val="00725F21"/>
    <w:rsid w:val="00726081"/>
    <w:rsid w:val="00726110"/>
    <w:rsid w:val="007261D1"/>
    <w:rsid w:val="00726452"/>
    <w:rsid w:val="00726467"/>
    <w:rsid w:val="007265F0"/>
    <w:rsid w:val="007266DB"/>
    <w:rsid w:val="00726787"/>
    <w:rsid w:val="00726883"/>
    <w:rsid w:val="00726B14"/>
    <w:rsid w:val="00726B25"/>
    <w:rsid w:val="00726EE6"/>
    <w:rsid w:val="00727097"/>
    <w:rsid w:val="00727129"/>
    <w:rsid w:val="0072726B"/>
    <w:rsid w:val="00727307"/>
    <w:rsid w:val="00727362"/>
    <w:rsid w:val="007279D0"/>
    <w:rsid w:val="00727B1E"/>
    <w:rsid w:val="00727D30"/>
    <w:rsid w:val="00727FAA"/>
    <w:rsid w:val="0073016C"/>
    <w:rsid w:val="00730293"/>
    <w:rsid w:val="007302CE"/>
    <w:rsid w:val="00730399"/>
    <w:rsid w:val="00730501"/>
    <w:rsid w:val="00730755"/>
    <w:rsid w:val="0073075F"/>
    <w:rsid w:val="0073086D"/>
    <w:rsid w:val="00730BA4"/>
    <w:rsid w:val="00730C33"/>
    <w:rsid w:val="00730D46"/>
    <w:rsid w:val="00730DF4"/>
    <w:rsid w:val="00730E1B"/>
    <w:rsid w:val="00730E40"/>
    <w:rsid w:val="00730ECB"/>
    <w:rsid w:val="00731067"/>
    <w:rsid w:val="0073111A"/>
    <w:rsid w:val="00731202"/>
    <w:rsid w:val="00731212"/>
    <w:rsid w:val="00731335"/>
    <w:rsid w:val="007314D7"/>
    <w:rsid w:val="007314FC"/>
    <w:rsid w:val="00731858"/>
    <w:rsid w:val="0073188E"/>
    <w:rsid w:val="0073190C"/>
    <w:rsid w:val="00731A66"/>
    <w:rsid w:val="00731AAD"/>
    <w:rsid w:val="00731B70"/>
    <w:rsid w:val="00731BA7"/>
    <w:rsid w:val="00731BB2"/>
    <w:rsid w:val="00731D2F"/>
    <w:rsid w:val="00731F52"/>
    <w:rsid w:val="00731F70"/>
    <w:rsid w:val="00732079"/>
    <w:rsid w:val="00732255"/>
    <w:rsid w:val="007322E0"/>
    <w:rsid w:val="007323AD"/>
    <w:rsid w:val="007324A5"/>
    <w:rsid w:val="007324D1"/>
    <w:rsid w:val="007324DA"/>
    <w:rsid w:val="0073254D"/>
    <w:rsid w:val="0073264B"/>
    <w:rsid w:val="007326D2"/>
    <w:rsid w:val="007328CC"/>
    <w:rsid w:val="007328FE"/>
    <w:rsid w:val="00732A36"/>
    <w:rsid w:val="00732B4D"/>
    <w:rsid w:val="00732B83"/>
    <w:rsid w:val="00732C2D"/>
    <w:rsid w:val="00732D35"/>
    <w:rsid w:val="00732D46"/>
    <w:rsid w:val="00732E79"/>
    <w:rsid w:val="00733111"/>
    <w:rsid w:val="0073338E"/>
    <w:rsid w:val="007334E3"/>
    <w:rsid w:val="00733825"/>
    <w:rsid w:val="007338E9"/>
    <w:rsid w:val="00733B63"/>
    <w:rsid w:val="00733C6C"/>
    <w:rsid w:val="00733D6A"/>
    <w:rsid w:val="00734008"/>
    <w:rsid w:val="00734091"/>
    <w:rsid w:val="0073449E"/>
    <w:rsid w:val="00734750"/>
    <w:rsid w:val="007348C9"/>
    <w:rsid w:val="0073490E"/>
    <w:rsid w:val="00734BAD"/>
    <w:rsid w:val="00734BB5"/>
    <w:rsid w:val="00734C58"/>
    <w:rsid w:val="00734D60"/>
    <w:rsid w:val="00734F52"/>
    <w:rsid w:val="00735010"/>
    <w:rsid w:val="0073502F"/>
    <w:rsid w:val="007351BB"/>
    <w:rsid w:val="0073528F"/>
    <w:rsid w:val="007352E5"/>
    <w:rsid w:val="00735539"/>
    <w:rsid w:val="007355AB"/>
    <w:rsid w:val="00735612"/>
    <w:rsid w:val="0073594D"/>
    <w:rsid w:val="00735961"/>
    <w:rsid w:val="007359AE"/>
    <w:rsid w:val="00735A61"/>
    <w:rsid w:val="00735CDB"/>
    <w:rsid w:val="00735DF1"/>
    <w:rsid w:val="00735E0A"/>
    <w:rsid w:val="00735F66"/>
    <w:rsid w:val="00735FCF"/>
    <w:rsid w:val="0073612F"/>
    <w:rsid w:val="00736249"/>
    <w:rsid w:val="007364F4"/>
    <w:rsid w:val="007365A1"/>
    <w:rsid w:val="007366BB"/>
    <w:rsid w:val="00736706"/>
    <w:rsid w:val="0073687F"/>
    <w:rsid w:val="00736AFC"/>
    <w:rsid w:val="00736B6B"/>
    <w:rsid w:val="00736BE8"/>
    <w:rsid w:val="00736CD1"/>
    <w:rsid w:val="00736D51"/>
    <w:rsid w:val="00736D85"/>
    <w:rsid w:val="00736DD7"/>
    <w:rsid w:val="00736E34"/>
    <w:rsid w:val="00736E9B"/>
    <w:rsid w:val="0073713E"/>
    <w:rsid w:val="00737305"/>
    <w:rsid w:val="00737380"/>
    <w:rsid w:val="007375AD"/>
    <w:rsid w:val="007375B5"/>
    <w:rsid w:val="0073777A"/>
    <w:rsid w:val="007377A3"/>
    <w:rsid w:val="00737A7F"/>
    <w:rsid w:val="00737ACF"/>
    <w:rsid w:val="00737B1E"/>
    <w:rsid w:val="00737D29"/>
    <w:rsid w:val="00737D37"/>
    <w:rsid w:val="00737D98"/>
    <w:rsid w:val="00737EDA"/>
    <w:rsid w:val="00737F3B"/>
    <w:rsid w:val="00737FFC"/>
    <w:rsid w:val="0074021E"/>
    <w:rsid w:val="0074025D"/>
    <w:rsid w:val="00740334"/>
    <w:rsid w:val="00740589"/>
    <w:rsid w:val="00740670"/>
    <w:rsid w:val="007409BE"/>
    <w:rsid w:val="00740F3D"/>
    <w:rsid w:val="00740F78"/>
    <w:rsid w:val="007410A9"/>
    <w:rsid w:val="00741188"/>
    <w:rsid w:val="007412DE"/>
    <w:rsid w:val="00741768"/>
    <w:rsid w:val="00741D62"/>
    <w:rsid w:val="00742276"/>
    <w:rsid w:val="007422F4"/>
    <w:rsid w:val="007423D8"/>
    <w:rsid w:val="007424D6"/>
    <w:rsid w:val="007426AA"/>
    <w:rsid w:val="007427BE"/>
    <w:rsid w:val="00742961"/>
    <w:rsid w:val="00742996"/>
    <w:rsid w:val="00742CD1"/>
    <w:rsid w:val="00742D02"/>
    <w:rsid w:val="00742EC1"/>
    <w:rsid w:val="00743047"/>
    <w:rsid w:val="007431AA"/>
    <w:rsid w:val="007433A3"/>
    <w:rsid w:val="00743475"/>
    <w:rsid w:val="00743476"/>
    <w:rsid w:val="0074358E"/>
    <w:rsid w:val="00743650"/>
    <w:rsid w:val="0074367B"/>
    <w:rsid w:val="00743951"/>
    <w:rsid w:val="00743A47"/>
    <w:rsid w:val="00743DB6"/>
    <w:rsid w:val="00743EC4"/>
    <w:rsid w:val="00743F09"/>
    <w:rsid w:val="0074403C"/>
    <w:rsid w:val="00744053"/>
    <w:rsid w:val="007441C3"/>
    <w:rsid w:val="00744278"/>
    <w:rsid w:val="00744522"/>
    <w:rsid w:val="00744533"/>
    <w:rsid w:val="0074454B"/>
    <w:rsid w:val="0074464E"/>
    <w:rsid w:val="00744696"/>
    <w:rsid w:val="007446EF"/>
    <w:rsid w:val="007446FB"/>
    <w:rsid w:val="00744774"/>
    <w:rsid w:val="0074493F"/>
    <w:rsid w:val="00744964"/>
    <w:rsid w:val="00744AB0"/>
    <w:rsid w:val="00745152"/>
    <w:rsid w:val="0074526B"/>
    <w:rsid w:val="007452EC"/>
    <w:rsid w:val="00745401"/>
    <w:rsid w:val="0074541A"/>
    <w:rsid w:val="00745551"/>
    <w:rsid w:val="00745643"/>
    <w:rsid w:val="00745810"/>
    <w:rsid w:val="0074581B"/>
    <w:rsid w:val="00745A42"/>
    <w:rsid w:val="00745ACA"/>
    <w:rsid w:val="00745C1C"/>
    <w:rsid w:val="00745C8E"/>
    <w:rsid w:val="00745E3F"/>
    <w:rsid w:val="00745E68"/>
    <w:rsid w:val="00745EC5"/>
    <w:rsid w:val="00745EE1"/>
    <w:rsid w:val="00745FC2"/>
    <w:rsid w:val="00746254"/>
    <w:rsid w:val="0074663B"/>
    <w:rsid w:val="007468C8"/>
    <w:rsid w:val="007469D9"/>
    <w:rsid w:val="00746AAF"/>
    <w:rsid w:val="00746CBF"/>
    <w:rsid w:val="00746D18"/>
    <w:rsid w:val="00746E97"/>
    <w:rsid w:val="0074706A"/>
    <w:rsid w:val="0074733C"/>
    <w:rsid w:val="0074749B"/>
    <w:rsid w:val="00747538"/>
    <w:rsid w:val="00747564"/>
    <w:rsid w:val="0074761C"/>
    <w:rsid w:val="00747852"/>
    <w:rsid w:val="00747BD9"/>
    <w:rsid w:val="00747C03"/>
    <w:rsid w:val="00747EC7"/>
    <w:rsid w:val="00747EE6"/>
    <w:rsid w:val="00747F6E"/>
    <w:rsid w:val="007501B5"/>
    <w:rsid w:val="007501D4"/>
    <w:rsid w:val="007501FA"/>
    <w:rsid w:val="00750225"/>
    <w:rsid w:val="00750288"/>
    <w:rsid w:val="007505DD"/>
    <w:rsid w:val="007506F8"/>
    <w:rsid w:val="00750729"/>
    <w:rsid w:val="00750761"/>
    <w:rsid w:val="007508FF"/>
    <w:rsid w:val="00750D35"/>
    <w:rsid w:val="00750D5A"/>
    <w:rsid w:val="007511A0"/>
    <w:rsid w:val="007511E0"/>
    <w:rsid w:val="00751305"/>
    <w:rsid w:val="007513AF"/>
    <w:rsid w:val="007516A3"/>
    <w:rsid w:val="0075189B"/>
    <w:rsid w:val="00751AC5"/>
    <w:rsid w:val="00751ACE"/>
    <w:rsid w:val="00751C67"/>
    <w:rsid w:val="00751C90"/>
    <w:rsid w:val="00751E18"/>
    <w:rsid w:val="00751E4F"/>
    <w:rsid w:val="00751E71"/>
    <w:rsid w:val="00751EDA"/>
    <w:rsid w:val="00751F53"/>
    <w:rsid w:val="007520B3"/>
    <w:rsid w:val="007520FC"/>
    <w:rsid w:val="00752245"/>
    <w:rsid w:val="00752322"/>
    <w:rsid w:val="0075232B"/>
    <w:rsid w:val="0075235F"/>
    <w:rsid w:val="007523E3"/>
    <w:rsid w:val="007523EB"/>
    <w:rsid w:val="0075243C"/>
    <w:rsid w:val="007524AE"/>
    <w:rsid w:val="00752520"/>
    <w:rsid w:val="007525A1"/>
    <w:rsid w:val="0075262C"/>
    <w:rsid w:val="00752755"/>
    <w:rsid w:val="0075279F"/>
    <w:rsid w:val="00752839"/>
    <w:rsid w:val="0075288F"/>
    <w:rsid w:val="00752923"/>
    <w:rsid w:val="0075298E"/>
    <w:rsid w:val="00752C53"/>
    <w:rsid w:val="00752DBC"/>
    <w:rsid w:val="00752EE6"/>
    <w:rsid w:val="00752F10"/>
    <w:rsid w:val="0075328C"/>
    <w:rsid w:val="00753306"/>
    <w:rsid w:val="00753516"/>
    <w:rsid w:val="00753523"/>
    <w:rsid w:val="007535AD"/>
    <w:rsid w:val="00753613"/>
    <w:rsid w:val="0075378E"/>
    <w:rsid w:val="007537C7"/>
    <w:rsid w:val="00753803"/>
    <w:rsid w:val="0075387C"/>
    <w:rsid w:val="0075388D"/>
    <w:rsid w:val="00753A6A"/>
    <w:rsid w:val="00753B8B"/>
    <w:rsid w:val="00753C8D"/>
    <w:rsid w:val="00753D44"/>
    <w:rsid w:val="00753D8E"/>
    <w:rsid w:val="00753DB0"/>
    <w:rsid w:val="007541E6"/>
    <w:rsid w:val="007542C2"/>
    <w:rsid w:val="00754568"/>
    <w:rsid w:val="00754661"/>
    <w:rsid w:val="00754819"/>
    <w:rsid w:val="00754870"/>
    <w:rsid w:val="00754981"/>
    <w:rsid w:val="00754A5D"/>
    <w:rsid w:val="00754B94"/>
    <w:rsid w:val="00754BCF"/>
    <w:rsid w:val="00754E05"/>
    <w:rsid w:val="00754E06"/>
    <w:rsid w:val="00754EFB"/>
    <w:rsid w:val="00754FB5"/>
    <w:rsid w:val="00754FB9"/>
    <w:rsid w:val="007550D6"/>
    <w:rsid w:val="007551C6"/>
    <w:rsid w:val="007551D6"/>
    <w:rsid w:val="00755345"/>
    <w:rsid w:val="007553DD"/>
    <w:rsid w:val="00755401"/>
    <w:rsid w:val="0075544E"/>
    <w:rsid w:val="007554A3"/>
    <w:rsid w:val="007555B3"/>
    <w:rsid w:val="00755627"/>
    <w:rsid w:val="00755632"/>
    <w:rsid w:val="007557BF"/>
    <w:rsid w:val="007557E5"/>
    <w:rsid w:val="00755852"/>
    <w:rsid w:val="00755ACF"/>
    <w:rsid w:val="00755ADE"/>
    <w:rsid w:val="00755B88"/>
    <w:rsid w:val="00755BA6"/>
    <w:rsid w:val="00755D82"/>
    <w:rsid w:val="00755F3F"/>
    <w:rsid w:val="00755FAA"/>
    <w:rsid w:val="00755FEA"/>
    <w:rsid w:val="00756196"/>
    <w:rsid w:val="007561C4"/>
    <w:rsid w:val="00756297"/>
    <w:rsid w:val="007563C2"/>
    <w:rsid w:val="007569E1"/>
    <w:rsid w:val="00756C0F"/>
    <w:rsid w:val="00756CD3"/>
    <w:rsid w:val="00756CEB"/>
    <w:rsid w:val="00756D40"/>
    <w:rsid w:val="00756E1F"/>
    <w:rsid w:val="0075715B"/>
    <w:rsid w:val="00757341"/>
    <w:rsid w:val="007573E0"/>
    <w:rsid w:val="00757407"/>
    <w:rsid w:val="0075742E"/>
    <w:rsid w:val="0075746F"/>
    <w:rsid w:val="0075751D"/>
    <w:rsid w:val="00757785"/>
    <w:rsid w:val="00757975"/>
    <w:rsid w:val="00757A50"/>
    <w:rsid w:val="00757ABE"/>
    <w:rsid w:val="00757C8D"/>
    <w:rsid w:val="00757D29"/>
    <w:rsid w:val="00757D68"/>
    <w:rsid w:val="00757DC3"/>
    <w:rsid w:val="00757ED2"/>
    <w:rsid w:val="007601EB"/>
    <w:rsid w:val="00760202"/>
    <w:rsid w:val="00760307"/>
    <w:rsid w:val="00760380"/>
    <w:rsid w:val="00760398"/>
    <w:rsid w:val="0076040E"/>
    <w:rsid w:val="00760493"/>
    <w:rsid w:val="00760556"/>
    <w:rsid w:val="007605B0"/>
    <w:rsid w:val="0076070E"/>
    <w:rsid w:val="007607DB"/>
    <w:rsid w:val="007609EF"/>
    <w:rsid w:val="00760C31"/>
    <w:rsid w:val="00760D89"/>
    <w:rsid w:val="00760E70"/>
    <w:rsid w:val="00760EF8"/>
    <w:rsid w:val="007610C8"/>
    <w:rsid w:val="007612F3"/>
    <w:rsid w:val="0076134C"/>
    <w:rsid w:val="007613D9"/>
    <w:rsid w:val="007613DC"/>
    <w:rsid w:val="00761461"/>
    <w:rsid w:val="0076151F"/>
    <w:rsid w:val="00761544"/>
    <w:rsid w:val="00761557"/>
    <w:rsid w:val="007615A7"/>
    <w:rsid w:val="007618AF"/>
    <w:rsid w:val="00761A31"/>
    <w:rsid w:val="00761A5F"/>
    <w:rsid w:val="00761AD2"/>
    <w:rsid w:val="00761E7F"/>
    <w:rsid w:val="00762333"/>
    <w:rsid w:val="00762347"/>
    <w:rsid w:val="007623A1"/>
    <w:rsid w:val="007623FF"/>
    <w:rsid w:val="007625C4"/>
    <w:rsid w:val="00762802"/>
    <w:rsid w:val="00762832"/>
    <w:rsid w:val="00762894"/>
    <w:rsid w:val="00762A49"/>
    <w:rsid w:val="00762AB0"/>
    <w:rsid w:val="00762C81"/>
    <w:rsid w:val="00762CB8"/>
    <w:rsid w:val="00762FDD"/>
    <w:rsid w:val="00763107"/>
    <w:rsid w:val="00763183"/>
    <w:rsid w:val="007631F2"/>
    <w:rsid w:val="0076323C"/>
    <w:rsid w:val="00763278"/>
    <w:rsid w:val="007635D4"/>
    <w:rsid w:val="00763620"/>
    <w:rsid w:val="007638E9"/>
    <w:rsid w:val="00763A4F"/>
    <w:rsid w:val="00763B31"/>
    <w:rsid w:val="00763B71"/>
    <w:rsid w:val="00763B91"/>
    <w:rsid w:val="00763C17"/>
    <w:rsid w:val="00763C91"/>
    <w:rsid w:val="00763D12"/>
    <w:rsid w:val="00763FAA"/>
    <w:rsid w:val="00763FC2"/>
    <w:rsid w:val="007640A3"/>
    <w:rsid w:val="00764224"/>
    <w:rsid w:val="00764262"/>
    <w:rsid w:val="007642D6"/>
    <w:rsid w:val="00764405"/>
    <w:rsid w:val="00764567"/>
    <w:rsid w:val="00764571"/>
    <w:rsid w:val="00764596"/>
    <w:rsid w:val="00764679"/>
    <w:rsid w:val="007646A9"/>
    <w:rsid w:val="007646AB"/>
    <w:rsid w:val="00764784"/>
    <w:rsid w:val="007647D5"/>
    <w:rsid w:val="00764A36"/>
    <w:rsid w:val="00764B5A"/>
    <w:rsid w:val="00764B83"/>
    <w:rsid w:val="00764D3D"/>
    <w:rsid w:val="00764E20"/>
    <w:rsid w:val="00764E4F"/>
    <w:rsid w:val="00764EBD"/>
    <w:rsid w:val="00764EFE"/>
    <w:rsid w:val="00764F5A"/>
    <w:rsid w:val="00765073"/>
    <w:rsid w:val="00765142"/>
    <w:rsid w:val="00765158"/>
    <w:rsid w:val="0076537E"/>
    <w:rsid w:val="007653A8"/>
    <w:rsid w:val="007653EF"/>
    <w:rsid w:val="007654FB"/>
    <w:rsid w:val="0076552B"/>
    <w:rsid w:val="00765675"/>
    <w:rsid w:val="00765677"/>
    <w:rsid w:val="0076568E"/>
    <w:rsid w:val="0076579F"/>
    <w:rsid w:val="007657BB"/>
    <w:rsid w:val="00765934"/>
    <w:rsid w:val="0076597D"/>
    <w:rsid w:val="007659A6"/>
    <w:rsid w:val="007659CC"/>
    <w:rsid w:val="00765B64"/>
    <w:rsid w:val="00765CF7"/>
    <w:rsid w:val="00765D31"/>
    <w:rsid w:val="00765DAA"/>
    <w:rsid w:val="00765EE6"/>
    <w:rsid w:val="007662AD"/>
    <w:rsid w:val="007662B5"/>
    <w:rsid w:val="007663FB"/>
    <w:rsid w:val="00766636"/>
    <w:rsid w:val="007666FB"/>
    <w:rsid w:val="00766715"/>
    <w:rsid w:val="00766716"/>
    <w:rsid w:val="00766760"/>
    <w:rsid w:val="007669DA"/>
    <w:rsid w:val="00766BD0"/>
    <w:rsid w:val="00766D6F"/>
    <w:rsid w:val="00766DAC"/>
    <w:rsid w:val="00766E9F"/>
    <w:rsid w:val="0076719E"/>
    <w:rsid w:val="007673C7"/>
    <w:rsid w:val="00767493"/>
    <w:rsid w:val="00767719"/>
    <w:rsid w:val="007677C3"/>
    <w:rsid w:val="0076788F"/>
    <w:rsid w:val="00767B84"/>
    <w:rsid w:val="00767BCA"/>
    <w:rsid w:val="00767EF8"/>
    <w:rsid w:val="00767F5F"/>
    <w:rsid w:val="00767F79"/>
    <w:rsid w:val="00770322"/>
    <w:rsid w:val="00770409"/>
    <w:rsid w:val="00770729"/>
    <w:rsid w:val="007707BD"/>
    <w:rsid w:val="00770839"/>
    <w:rsid w:val="00770865"/>
    <w:rsid w:val="00770886"/>
    <w:rsid w:val="007709D8"/>
    <w:rsid w:val="00770A5E"/>
    <w:rsid w:val="00770BE7"/>
    <w:rsid w:val="00770DB5"/>
    <w:rsid w:val="00770F34"/>
    <w:rsid w:val="00770F6C"/>
    <w:rsid w:val="00770FF3"/>
    <w:rsid w:val="00771098"/>
    <w:rsid w:val="007710B8"/>
    <w:rsid w:val="007711B0"/>
    <w:rsid w:val="00771242"/>
    <w:rsid w:val="00771257"/>
    <w:rsid w:val="007712A4"/>
    <w:rsid w:val="007712DB"/>
    <w:rsid w:val="007715AF"/>
    <w:rsid w:val="007715E9"/>
    <w:rsid w:val="00771822"/>
    <w:rsid w:val="00771B2A"/>
    <w:rsid w:val="00771B53"/>
    <w:rsid w:val="00771C2A"/>
    <w:rsid w:val="00771D1F"/>
    <w:rsid w:val="00771E64"/>
    <w:rsid w:val="007720C5"/>
    <w:rsid w:val="007721C2"/>
    <w:rsid w:val="007721CC"/>
    <w:rsid w:val="007724B3"/>
    <w:rsid w:val="007724E4"/>
    <w:rsid w:val="00772580"/>
    <w:rsid w:val="007726B4"/>
    <w:rsid w:val="007727A1"/>
    <w:rsid w:val="007727BE"/>
    <w:rsid w:val="0077281B"/>
    <w:rsid w:val="007728CD"/>
    <w:rsid w:val="00772AAD"/>
    <w:rsid w:val="00772AD5"/>
    <w:rsid w:val="00772C52"/>
    <w:rsid w:val="00772E07"/>
    <w:rsid w:val="00772E5D"/>
    <w:rsid w:val="0077306A"/>
    <w:rsid w:val="00773403"/>
    <w:rsid w:val="007734DC"/>
    <w:rsid w:val="00773537"/>
    <w:rsid w:val="00773806"/>
    <w:rsid w:val="00773BBB"/>
    <w:rsid w:val="00773DDC"/>
    <w:rsid w:val="00773E08"/>
    <w:rsid w:val="00773ED1"/>
    <w:rsid w:val="00773F73"/>
    <w:rsid w:val="00773FE1"/>
    <w:rsid w:val="007740F5"/>
    <w:rsid w:val="007743C1"/>
    <w:rsid w:val="00774428"/>
    <w:rsid w:val="007745BA"/>
    <w:rsid w:val="0077478C"/>
    <w:rsid w:val="007747C0"/>
    <w:rsid w:val="007748C6"/>
    <w:rsid w:val="007748FF"/>
    <w:rsid w:val="00774A8A"/>
    <w:rsid w:val="00774B59"/>
    <w:rsid w:val="00774EA2"/>
    <w:rsid w:val="00774EC3"/>
    <w:rsid w:val="00774F72"/>
    <w:rsid w:val="00774FA3"/>
    <w:rsid w:val="00775007"/>
    <w:rsid w:val="0077515A"/>
    <w:rsid w:val="00775293"/>
    <w:rsid w:val="007753CA"/>
    <w:rsid w:val="0077545A"/>
    <w:rsid w:val="007754E5"/>
    <w:rsid w:val="0077553D"/>
    <w:rsid w:val="0077568E"/>
    <w:rsid w:val="007757EE"/>
    <w:rsid w:val="0077586C"/>
    <w:rsid w:val="007758D0"/>
    <w:rsid w:val="00775A2E"/>
    <w:rsid w:val="00775B91"/>
    <w:rsid w:val="00775B98"/>
    <w:rsid w:val="00775BBE"/>
    <w:rsid w:val="00775C9F"/>
    <w:rsid w:val="00775DB6"/>
    <w:rsid w:val="00775F06"/>
    <w:rsid w:val="00775F3E"/>
    <w:rsid w:val="007760B5"/>
    <w:rsid w:val="00776249"/>
    <w:rsid w:val="00776345"/>
    <w:rsid w:val="00776368"/>
    <w:rsid w:val="007763A4"/>
    <w:rsid w:val="00776488"/>
    <w:rsid w:val="007764F9"/>
    <w:rsid w:val="00776510"/>
    <w:rsid w:val="00776672"/>
    <w:rsid w:val="007766DF"/>
    <w:rsid w:val="007766FC"/>
    <w:rsid w:val="007768D4"/>
    <w:rsid w:val="00776975"/>
    <w:rsid w:val="007769FC"/>
    <w:rsid w:val="00776CB1"/>
    <w:rsid w:val="00776D54"/>
    <w:rsid w:val="00776D5A"/>
    <w:rsid w:val="00776F48"/>
    <w:rsid w:val="00777075"/>
    <w:rsid w:val="007770F8"/>
    <w:rsid w:val="007771B3"/>
    <w:rsid w:val="007772F0"/>
    <w:rsid w:val="00777650"/>
    <w:rsid w:val="007776AF"/>
    <w:rsid w:val="00777737"/>
    <w:rsid w:val="00777791"/>
    <w:rsid w:val="007777C8"/>
    <w:rsid w:val="007777D0"/>
    <w:rsid w:val="00777A35"/>
    <w:rsid w:val="00777C78"/>
    <w:rsid w:val="00777C7B"/>
    <w:rsid w:val="00777CEE"/>
    <w:rsid w:val="00777DED"/>
    <w:rsid w:val="00777EE4"/>
    <w:rsid w:val="00777F21"/>
    <w:rsid w:val="00780106"/>
    <w:rsid w:val="007801B5"/>
    <w:rsid w:val="0078040F"/>
    <w:rsid w:val="0078074A"/>
    <w:rsid w:val="007807E8"/>
    <w:rsid w:val="007808F8"/>
    <w:rsid w:val="007809A5"/>
    <w:rsid w:val="007809F4"/>
    <w:rsid w:val="00780BB2"/>
    <w:rsid w:val="00780BFD"/>
    <w:rsid w:val="00780E3E"/>
    <w:rsid w:val="00780E4A"/>
    <w:rsid w:val="00780F00"/>
    <w:rsid w:val="00780F4E"/>
    <w:rsid w:val="007810B5"/>
    <w:rsid w:val="0078120D"/>
    <w:rsid w:val="00781255"/>
    <w:rsid w:val="007813B2"/>
    <w:rsid w:val="007815DC"/>
    <w:rsid w:val="007816CB"/>
    <w:rsid w:val="00781830"/>
    <w:rsid w:val="00781C87"/>
    <w:rsid w:val="00781CA7"/>
    <w:rsid w:val="00781D2B"/>
    <w:rsid w:val="00781DA0"/>
    <w:rsid w:val="0078215F"/>
    <w:rsid w:val="007824AC"/>
    <w:rsid w:val="0078281E"/>
    <w:rsid w:val="00782838"/>
    <w:rsid w:val="0078294C"/>
    <w:rsid w:val="00782976"/>
    <w:rsid w:val="00782995"/>
    <w:rsid w:val="00782A4E"/>
    <w:rsid w:val="00782C91"/>
    <w:rsid w:val="00782CB0"/>
    <w:rsid w:val="00782DD2"/>
    <w:rsid w:val="00782DD6"/>
    <w:rsid w:val="00782DF4"/>
    <w:rsid w:val="00783037"/>
    <w:rsid w:val="0078304E"/>
    <w:rsid w:val="00783183"/>
    <w:rsid w:val="0078329C"/>
    <w:rsid w:val="007832A2"/>
    <w:rsid w:val="0078337E"/>
    <w:rsid w:val="00783455"/>
    <w:rsid w:val="0078358F"/>
    <w:rsid w:val="00783893"/>
    <w:rsid w:val="0078392B"/>
    <w:rsid w:val="00783959"/>
    <w:rsid w:val="00783E1C"/>
    <w:rsid w:val="00783E31"/>
    <w:rsid w:val="00783FBF"/>
    <w:rsid w:val="00784135"/>
    <w:rsid w:val="0078414A"/>
    <w:rsid w:val="007842AD"/>
    <w:rsid w:val="007842EF"/>
    <w:rsid w:val="00784620"/>
    <w:rsid w:val="007846BD"/>
    <w:rsid w:val="00784B1F"/>
    <w:rsid w:val="00784B2B"/>
    <w:rsid w:val="00784B4D"/>
    <w:rsid w:val="00784B9D"/>
    <w:rsid w:val="00784BD7"/>
    <w:rsid w:val="00784C90"/>
    <w:rsid w:val="00784C97"/>
    <w:rsid w:val="00784DE7"/>
    <w:rsid w:val="00784ED2"/>
    <w:rsid w:val="00784F9F"/>
    <w:rsid w:val="00784FBD"/>
    <w:rsid w:val="00785090"/>
    <w:rsid w:val="007850F2"/>
    <w:rsid w:val="00785520"/>
    <w:rsid w:val="00785764"/>
    <w:rsid w:val="0078590D"/>
    <w:rsid w:val="0078595E"/>
    <w:rsid w:val="00785A5D"/>
    <w:rsid w:val="00785AB0"/>
    <w:rsid w:val="00785B40"/>
    <w:rsid w:val="00785CD9"/>
    <w:rsid w:val="007861FA"/>
    <w:rsid w:val="00786242"/>
    <w:rsid w:val="0078644E"/>
    <w:rsid w:val="00786469"/>
    <w:rsid w:val="00786754"/>
    <w:rsid w:val="007867D6"/>
    <w:rsid w:val="00786A95"/>
    <w:rsid w:val="00786A9C"/>
    <w:rsid w:val="00786BD1"/>
    <w:rsid w:val="00786CEE"/>
    <w:rsid w:val="00786D57"/>
    <w:rsid w:val="00786DA5"/>
    <w:rsid w:val="00786DC6"/>
    <w:rsid w:val="00786E71"/>
    <w:rsid w:val="00787277"/>
    <w:rsid w:val="007872E4"/>
    <w:rsid w:val="007873CC"/>
    <w:rsid w:val="00787589"/>
    <w:rsid w:val="0078765D"/>
    <w:rsid w:val="0078766F"/>
    <w:rsid w:val="0078772D"/>
    <w:rsid w:val="00787914"/>
    <w:rsid w:val="00787E6C"/>
    <w:rsid w:val="00787F61"/>
    <w:rsid w:val="00787FDC"/>
    <w:rsid w:val="00790064"/>
    <w:rsid w:val="007900DC"/>
    <w:rsid w:val="007901FA"/>
    <w:rsid w:val="00790272"/>
    <w:rsid w:val="00790297"/>
    <w:rsid w:val="00790403"/>
    <w:rsid w:val="00790435"/>
    <w:rsid w:val="0079044E"/>
    <w:rsid w:val="007905DA"/>
    <w:rsid w:val="007906F3"/>
    <w:rsid w:val="00790734"/>
    <w:rsid w:val="0079075C"/>
    <w:rsid w:val="007908BB"/>
    <w:rsid w:val="00790AE8"/>
    <w:rsid w:val="00790B92"/>
    <w:rsid w:val="00790DA4"/>
    <w:rsid w:val="00790DAA"/>
    <w:rsid w:val="00790E1A"/>
    <w:rsid w:val="00790E4D"/>
    <w:rsid w:val="0079102F"/>
    <w:rsid w:val="0079132E"/>
    <w:rsid w:val="00791365"/>
    <w:rsid w:val="007916AA"/>
    <w:rsid w:val="0079193D"/>
    <w:rsid w:val="007919A3"/>
    <w:rsid w:val="00791A13"/>
    <w:rsid w:val="00791AC0"/>
    <w:rsid w:val="00791F7C"/>
    <w:rsid w:val="0079206C"/>
    <w:rsid w:val="0079218B"/>
    <w:rsid w:val="0079230A"/>
    <w:rsid w:val="0079245D"/>
    <w:rsid w:val="00792518"/>
    <w:rsid w:val="0079264A"/>
    <w:rsid w:val="00792726"/>
    <w:rsid w:val="00792961"/>
    <w:rsid w:val="007929D8"/>
    <w:rsid w:val="007929FB"/>
    <w:rsid w:val="00792A06"/>
    <w:rsid w:val="00792A38"/>
    <w:rsid w:val="00792A42"/>
    <w:rsid w:val="00792A80"/>
    <w:rsid w:val="00792AB6"/>
    <w:rsid w:val="00792ACB"/>
    <w:rsid w:val="00792B0F"/>
    <w:rsid w:val="00792B3D"/>
    <w:rsid w:val="00792C0D"/>
    <w:rsid w:val="00792DC0"/>
    <w:rsid w:val="00792EAF"/>
    <w:rsid w:val="00793072"/>
    <w:rsid w:val="007930BA"/>
    <w:rsid w:val="00793169"/>
    <w:rsid w:val="0079325A"/>
    <w:rsid w:val="007932F1"/>
    <w:rsid w:val="007933BA"/>
    <w:rsid w:val="00793540"/>
    <w:rsid w:val="00793574"/>
    <w:rsid w:val="0079357F"/>
    <w:rsid w:val="0079366E"/>
    <w:rsid w:val="007936A6"/>
    <w:rsid w:val="007936CC"/>
    <w:rsid w:val="007936E8"/>
    <w:rsid w:val="0079370B"/>
    <w:rsid w:val="007937A0"/>
    <w:rsid w:val="007937B3"/>
    <w:rsid w:val="00793823"/>
    <w:rsid w:val="0079395E"/>
    <w:rsid w:val="00793CA1"/>
    <w:rsid w:val="00793D8B"/>
    <w:rsid w:val="00793DA2"/>
    <w:rsid w:val="00793E37"/>
    <w:rsid w:val="00793E8B"/>
    <w:rsid w:val="00793FCD"/>
    <w:rsid w:val="00794161"/>
    <w:rsid w:val="007943E6"/>
    <w:rsid w:val="00794533"/>
    <w:rsid w:val="00794715"/>
    <w:rsid w:val="00794758"/>
    <w:rsid w:val="007948BC"/>
    <w:rsid w:val="00794950"/>
    <w:rsid w:val="00794A50"/>
    <w:rsid w:val="00794B14"/>
    <w:rsid w:val="00794B79"/>
    <w:rsid w:val="00794C59"/>
    <w:rsid w:val="00794D64"/>
    <w:rsid w:val="00794F06"/>
    <w:rsid w:val="007951D8"/>
    <w:rsid w:val="00795248"/>
    <w:rsid w:val="0079533F"/>
    <w:rsid w:val="0079542B"/>
    <w:rsid w:val="007955BF"/>
    <w:rsid w:val="007956D9"/>
    <w:rsid w:val="007957A9"/>
    <w:rsid w:val="00795896"/>
    <w:rsid w:val="00795931"/>
    <w:rsid w:val="00795C99"/>
    <w:rsid w:val="007960A6"/>
    <w:rsid w:val="0079627A"/>
    <w:rsid w:val="007962DB"/>
    <w:rsid w:val="007965AF"/>
    <w:rsid w:val="0079666A"/>
    <w:rsid w:val="007967D6"/>
    <w:rsid w:val="00796AA7"/>
    <w:rsid w:val="00796B63"/>
    <w:rsid w:val="00796C30"/>
    <w:rsid w:val="00796C72"/>
    <w:rsid w:val="00796DF0"/>
    <w:rsid w:val="00796FC7"/>
    <w:rsid w:val="007970B5"/>
    <w:rsid w:val="00797244"/>
    <w:rsid w:val="00797616"/>
    <w:rsid w:val="007976C3"/>
    <w:rsid w:val="007979E7"/>
    <w:rsid w:val="00797AA5"/>
    <w:rsid w:val="00797F0A"/>
    <w:rsid w:val="007A00A9"/>
    <w:rsid w:val="007A00E1"/>
    <w:rsid w:val="007A019B"/>
    <w:rsid w:val="007A019E"/>
    <w:rsid w:val="007A0238"/>
    <w:rsid w:val="007A03F3"/>
    <w:rsid w:val="007A04CA"/>
    <w:rsid w:val="007A04CF"/>
    <w:rsid w:val="007A050D"/>
    <w:rsid w:val="007A088C"/>
    <w:rsid w:val="007A08F3"/>
    <w:rsid w:val="007A08FB"/>
    <w:rsid w:val="007A094E"/>
    <w:rsid w:val="007A0BFA"/>
    <w:rsid w:val="007A0C1E"/>
    <w:rsid w:val="007A0CE4"/>
    <w:rsid w:val="007A0EDB"/>
    <w:rsid w:val="007A0F20"/>
    <w:rsid w:val="007A10F7"/>
    <w:rsid w:val="007A1122"/>
    <w:rsid w:val="007A11DE"/>
    <w:rsid w:val="007A1419"/>
    <w:rsid w:val="007A14DF"/>
    <w:rsid w:val="007A15F1"/>
    <w:rsid w:val="007A17B4"/>
    <w:rsid w:val="007A199B"/>
    <w:rsid w:val="007A19EB"/>
    <w:rsid w:val="007A1A14"/>
    <w:rsid w:val="007A1B20"/>
    <w:rsid w:val="007A1E64"/>
    <w:rsid w:val="007A1F8E"/>
    <w:rsid w:val="007A1FF2"/>
    <w:rsid w:val="007A226B"/>
    <w:rsid w:val="007A2390"/>
    <w:rsid w:val="007A2405"/>
    <w:rsid w:val="007A2473"/>
    <w:rsid w:val="007A24AE"/>
    <w:rsid w:val="007A24E5"/>
    <w:rsid w:val="007A262A"/>
    <w:rsid w:val="007A2676"/>
    <w:rsid w:val="007A27D4"/>
    <w:rsid w:val="007A27FA"/>
    <w:rsid w:val="007A288D"/>
    <w:rsid w:val="007A2A91"/>
    <w:rsid w:val="007A2BCA"/>
    <w:rsid w:val="007A3369"/>
    <w:rsid w:val="007A3430"/>
    <w:rsid w:val="007A348D"/>
    <w:rsid w:val="007A355E"/>
    <w:rsid w:val="007A38A3"/>
    <w:rsid w:val="007A38FD"/>
    <w:rsid w:val="007A3980"/>
    <w:rsid w:val="007A3A75"/>
    <w:rsid w:val="007A3ACB"/>
    <w:rsid w:val="007A3B23"/>
    <w:rsid w:val="007A3D9A"/>
    <w:rsid w:val="007A3E82"/>
    <w:rsid w:val="007A3F1F"/>
    <w:rsid w:val="007A4130"/>
    <w:rsid w:val="007A4203"/>
    <w:rsid w:val="007A4219"/>
    <w:rsid w:val="007A427D"/>
    <w:rsid w:val="007A43D9"/>
    <w:rsid w:val="007A44FC"/>
    <w:rsid w:val="007A45D9"/>
    <w:rsid w:val="007A468E"/>
    <w:rsid w:val="007A46CA"/>
    <w:rsid w:val="007A49D1"/>
    <w:rsid w:val="007A49D3"/>
    <w:rsid w:val="007A4A6A"/>
    <w:rsid w:val="007A4AD4"/>
    <w:rsid w:val="007A4B02"/>
    <w:rsid w:val="007A4C77"/>
    <w:rsid w:val="007A4C7B"/>
    <w:rsid w:val="007A4EF2"/>
    <w:rsid w:val="007A4F5F"/>
    <w:rsid w:val="007A5289"/>
    <w:rsid w:val="007A52F5"/>
    <w:rsid w:val="007A5379"/>
    <w:rsid w:val="007A5667"/>
    <w:rsid w:val="007A5760"/>
    <w:rsid w:val="007A5B00"/>
    <w:rsid w:val="007A5BDA"/>
    <w:rsid w:val="007A5C05"/>
    <w:rsid w:val="007A5C4C"/>
    <w:rsid w:val="007A5CA1"/>
    <w:rsid w:val="007A5D0C"/>
    <w:rsid w:val="007A5DAA"/>
    <w:rsid w:val="007A5E27"/>
    <w:rsid w:val="007A5ED2"/>
    <w:rsid w:val="007A5F7C"/>
    <w:rsid w:val="007A60F5"/>
    <w:rsid w:val="007A61DF"/>
    <w:rsid w:val="007A61FF"/>
    <w:rsid w:val="007A687D"/>
    <w:rsid w:val="007A696B"/>
    <w:rsid w:val="007A6A99"/>
    <w:rsid w:val="007A6B10"/>
    <w:rsid w:val="007A6B91"/>
    <w:rsid w:val="007A6CD7"/>
    <w:rsid w:val="007A6D1D"/>
    <w:rsid w:val="007A6EFF"/>
    <w:rsid w:val="007A7628"/>
    <w:rsid w:val="007A76A5"/>
    <w:rsid w:val="007A76CB"/>
    <w:rsid w:val="007A77F3"/>
    <w:rsid w:val="007A7A2A"/>
    <w:rsid w:val="007A7A8A"/>
    <w:rsid w:val="007A7F04"/>
    <w:rsid w:val="007A7F1C"/>
    <w:rsid w:val="007B014E"/>
    <w:rsid w:val="007B0297"/>
    <w:rsid w:val="007B0383"/>
    <w:rsid w:val="007B0489"/>
    <w:rsid w:val="007B04E2"/>
    <w:rsid w:val="007B07E2"/>
    <w:rsid w:val="007B0AF5"/>
    <w:rsid w:val="007B0BFC"/>
    <w:rsid w:val="007B0D8D"/>
    <w:rsid w:val="007B0F31"/>
    <w:rsid w:val="007B1096"/>
    <w:rsid w:val="007B1345"/>
    <w:rsid w:val="007B138A"/>
    <w:rsid w:val="007B1430"/>
    <w:rsid w:val="007B14A3"/>
    <w:rsid w:val="007B14AC"/>
    <w:rsid w:val="007B1762"/>
    <w:rsid w:val="007B17E8"/>
    <w:rsid w:val="007B1884"/>
    <w:rsid w:val="007B19B7"/>
    <w:rsid w:val="007B1B6D"/>
    <w:rsid w:val="007B1D67"/>
    <w:rsid w:val="007B1FCC"/>
    <w:rsid w:val="007B22CB"/>
    <w:rsid w:val="007B245C"/>
    <w:rsid w:val="007B24B2"/>
    <w:rsid w:val="007B24BB"/>
    <w:rsid w:val="007B24D4"/>
    <w:rsid w:val="007B254E"/>
    <w:rsid w:val="007B2566"/>
    <w:rsid w:val="007B2717"/>
    <w:rsid w:val="007B2745"/>
    <w:rsid w:val="007B28D7"/>
    <w:rsid w:val="007B2957"/>
    <w:rsid w:val="007B2975"/>
    <w:rsid w:val="007B2DAD"/>
    <w:rsid w:val="007B2E4D"/>
    <w:rsid w:val="007B2F20"/>
    <w:rsid w:val="007B30D6"/>
    <w:rsid w:val="007B3159"/>
    <w:rsid w:val="007B33C2"/>
    <w:rsid w:val="007B348E"/>
    <w:rsid w:val="007B3512"/>
    <w:rsid w:val="007B3742"/>
    <w:rsid w:val="007B3AAD"/>
    <w:rsid w:val="007B3D51"/>
    <w:rsid w:val="007B3DF9"/>
    <w:rsid w:val="007B3DFB"/>
    <w:rsid w:val="007B3E6C"/>
    <w:rsid w:val="007B409A"/>
    <w:rsid w:val="007B43C5"/>
    <w:rsid w:val="007B43CE"/>
    <w:rsid w:val="007B43D9"/>
    <w:rsid w:val="007B4453"/>
    <w:rsid w:val="007B44D0"/>
    <w:rsid w:val="007B44FB"/>
    <w:rsid w:val="007B484B"/>
    <w:rsid w:val="007B49D3"/>
    <w:rsid w:val="007B4A7C"/>
    <w:rsid w:val="007B4B39"/>
    <w:rsid w:val="007B4BB9"/>
    <w:rsid w:val="007B4C25"/>
    <w:rsid w:val="007B4D15"/>
    <w:rsid w:val="007B4F0F"/>
    <w:rsid w:val="007B50FF"/>
    <w:rsid w:val="007B53CF"/>
    <w:rsid w:val="007B53F5"/>
    <w:rsid w:val="007B55AD"/>
    <w:rsid w:val="007B583A"/>
    <w:rsid w:val="007B58BD"/>
    <w:rsid w:val="007B58F6"/>
    <w:rsid w:val="007B5D95"/>
    <w:rsid w:val="007B5E23"/>
    <w:rsid w:val="007B5E7E"/>
    <w:rsid w:val="007B5EE9"/>
    <w:rsid w:val="007B61A3"/>
    <w:rsid w:val="007B6251"/>
    <w:rsid w:val="007B63A3"/>
    <w:rsid w:val="007B6724"/>
    <w:rsid w:val="007B6843"/>
    <w:rsid w:val="007B68F0"/>
    <w:rsid w:val="007B68F6"/>
    <w:rsid w:val="007B6964"/>
    <w:rsid w:val="007B6B77"/>
    <w:rsid w:val="007B6C1C"/>
    <w:rsid w:val="007B6D95"/>
    <w:rsid w:val="007B6E7D"/>
    <w:rsid w:val="007B71E7"/>
    <w:rsid w:val="007B7304"/>
    <w:rsid w:val="007B7475"/>
    <w:rsid w:val="007B74C7"/>
    <w:rsid w:val="007B74DB"/>
    <w:rsid w:val="007B7674"/>
    <w:rsid w:val="007B7773"/>
    <w:rsid w:val="007B78D7"/>
    <w:rsid w:val="007B79C3"/>
    <w:rsid w:val="007B79D9"/>
    <w:rsid w:val="007B7AC7"/>
    <w:rsid w:val="007B7B23"/>
    <w:rsid w:val="007B7CE0"/>
    <w:rsid w:val="007B7D7D"/>
    <w:rsid w:val="007B7D90"/>
    <w:rsid w:val="007B7F9F"/>
    <w:rsid w:val="007B7FC0"/>
    <w:rsid w:val="007B7FD2"/>
    <w:rsid w:val="007C0012"/>
    <w:rsid w:val="007C0027"/>
    <w:rsid w:val="007C034C"/>
    <w:rsid w:val="007C0433"/>
    <w:rsid w:val="007C0574"/>
    <w:rsid w:val="007C062D"/>
    <w:rsid w:val="007C0729"/>
    <w:rsid w:val="007C0802"/>
    <w:rsid w:val="007C0813"/>
    <w:rsid w:val="007C08F6"/>
    <w:rsid w:val="007C092B"/>
    <w:rsid w:val="007C0983"/>
    <w:rsid w:val="007C0AB8"/>
    <w:rsid w:val="007C0D4B"/>
    <w:rsid w:val="007C0FFD"/>
    <w:rsid w:val="007C1113"/>
    <w:rsid w:val="007C12DE"/>
    <w:rsid w:val="007C164F"/>
    <w:rsid w:val="007C175C"/>
    <w:rsid w:val="007C1768"/>
    <w:rsid w:val="007C17C2"/>
    <w:rsid w:val="007C1956"/>
    <w:rsid w:val="007C19BD"/>
    <w:rsid w:val="007C1C5D"/>
    <w:rsid w:val="007C1C72"/>
    <w:rsid w:val="007C1C96"/>
    <w:rsid w:val="007C1EBF"/>
    <w:rsid w:val="007C1FA6"/>
    <w:rsid w:val="007C1FEC"/>
    <w:rsid w:val="007C203A"/>
    <w:rsid w:val="007C2282"/>
    <w:rsid w:val="007C265D"/>
    <w:rsid w:val="007C281B"/>
    <w:rsid w:val="007C29CA"/>
    <w:rsid w:val="007C29CD"/>
    <w:rsid w:val="007C2A13"/>
    <w:rsid w:val="007C2C0B"/>
    <w:rsid w:val="007C2D40"/>
    <w:rsid w:val="007C2DF5"/>
    <w:rsid w:val="007C2E2A"/>
    <w:rsid w:val="007C2E5E"/>
    <w:rsid w:val="007C2ED7"/>
    <w:rsid w:val="007C31D6"/>
    <w:rsid w:val="007C32C1"/>
    <w:rsid w:val="007C32E4"/>
    <w:rsid w:val="007C333A"/>
    <w:rsid w:val="007C339C"/>
    <w:rsid w:val="007C33F3"/>
    <w:rsid w:val="007C3453"/>
    <w:rsid w:val="007C35BC"/>
    <w:rsid w:val="007C35E4"/>
    <w:rsid w:val="007C3668"/>
    <w:rsid w:val="007C37EC"/>
    <w:rsid w:val="007C38AC"/>
    <w:rsid w:val="007C38AD"/>
    <w:rsid w:val="007C3924"/>
    <w:rsid w:val="007C3C63"/>
    <w:rsid w:val="007C3D9A"/>
    <w:rsid w:val="007C3E0A"/>
    <w:rsid w:val="007C3FD3"/>
    <w:rsid w:val="007C402B"/>
    <w:rsid w:val="007C404E"/>
    <w:rsid w:val="007C40D8"/>
    <w:rsid w:val="007C40F1"/>
    <w:rsid w:val="007C419D"/>
    <w:rsid w:val="007C421D"/>
    <w:rsid w:val="007C4263"/>
    <w:rsid w:val="007C441C"/>
    <w:rsid w:val="007C4448"/>
    <w:rsid w:val="007C4543"/>
    <w:rsid w:val="007C45C3"/>
    <w:rsid w:val="007C464D"/>
    <w:rsid w:val="007C4991"/>
    <w:rsid w:val="007C4A9B"/>
    <w:rsid w:val="007C4B37"/>
    <w:rsid w:val="007C4C25"/>
    <w:rsid w:val="007C4C56"/>
    <w:rsid w:val="007C4D20"/>
    <w:rsid w:val="007C4D93"/>
    <w:rsid w:val="007C4F92"/>
    <w:rsid w:val="007C505A"/>
    <w:rsid w:val="007C528B"/>
    <w:rsid w:val="007C5298"/>
    <w:rsid w:val="007C52BD"/>
    <w:rsid w:val="007C52C4"/>
    <w:rsid w:val="007C55F1"/>
    <w:rsid w:val="007C5811"/>
    <w:rsid w:val="007C5C12"/>
    <w:rsid w:val="007C5C7A"/>
    <w:rsid w:val="007C5E66"/>
    <w:rsid w:val="007C5E8C"/>
    <w:rsid w:val="007C6043"/>
    <w:rsid w:val="007C60A2"/>
    <w:rsid w:val="007C60EB"/>
    <w:rsid w:val="007C61A9"/>
    <w:rsid w:val="007C63B7"/>
    <w:rsid w:val="007C640E"/>
    <w:rsid w:val="007C6618"/>
    <w:rsid w:val="007C696C"/>
    <w:rsid w:val="007C69EF"/>
    <w:rsid w:val="007C6A11"/>
    <w:rsid w:val="007C6A3F"/>
    <w:rsid w:val="007C6AD3"/>
    <w:rsid w:val="007C6B05"/>
    <w:rsid w:val="007C6BAE"/>
    <w:rsid w:val="007C6DF3"/>
    <w:rsid w:val="007C6E58"/>
    <w:rsid w:val="007C6ED5"/>
    <w:rsid w:val="007C6EEA"/>
    <w:rsid w:val="007C6FAE"/>
    <w:rsid w:val="007C7068"/>
    <w:rsid w:val="007C712C"/>
    <w:rsid w:val="007C716B"/>
    <w:rsid w:val="007C7280"/>
    <w:rsid w:val="007C75FB"/>
    <w:rsid w:val="007C78A2"/>
    <w:rsid w:val="007C7911"/>
    <w:rsid w:val="007C791D"/>
    <w:rsid w:val="007C7ECB"/>
    <w:rsid w:val="007D0128"/>
    <w:rsid w:val="007D0180"/>
    <w:rsid w:val="007D02BA"/>
    <w:rsid w:val="007D0403"/>
    <w:rsid w:val="007D0460"/>
    <w:rsid w:val="007D0636"/>
    <w:rsid w:val="007D065D"/>
    <w:rsid w:val="007D067B"/>
    <w:rsid w:val="007D0740"/>
    <w:rsid w:val="007D0852"/>
    <w:rsid w:val="007D0891"/>
    <w:rsid w:val="007D0A87"/>
    <w:rsid w:val="007D0ADB"/>
    <w:rsid w:val="007D0EB9"/>
    <w:rsid w:val="007D0F24"/>
    <w:rsid w:val="007D0FCE"/>
    <w:rsid w:val="007D1154"/>
    <w:rsid w:val="007D13BF"/>
    <w:rsid w:val="007D13DC"/>
    <w:rsid w:val="007D1563"/>
    <w:rsid w:val="007D162F"/>
    <w:rsid w:val="007D1822"/>
    <w:rsid w:val="007D1849"/>
    <w:rsid w:val="007D1887"/>
    <w:rsid w:val="007D191D"/>
    <w:rsid w:val="007D1935"/>
    <w:rsid w:val="007D19C7"/>
    <w:rsid w:val="007D19F5"/>
    <w:rsid w:val="007D1CF7"/>
    <w:rsid w:val="007D2218"/>
    <w:rsid w:val="007D2261"/>
    <w:rsid w:val="007D236F"/>
    <w:rsid w:val="007D242A"/>
    <w:rsid w:val="007D249B"/>
    <w:rsid w:val="007D24FF"/>
    <w:rsid w:val="007D2602"/>
    <w:rsid w:val="007D27F4"/>
    <w:rsid w:val="007D2857"/>
    <w:rsid w:val="007D288C"/>
    <w:rsid w:val="007D29B4"/>
    <w:rsid w:val="007D29DE"/>
    <w:rsid w:val="007D2A25"/>
    <w:rsid w:val="007D2AFA"/>
    <w:rsid w:val="007D2B38"/>
    <w:rsid w:val="007D2BE1"/>
    <w:rsid w:val="007D2D42"/>
    <w:rsid w:val="007D2E5E"/>
    <w:rsid w:val="007D30EE"/>
    <w:rsid w:val="007D32CC"/>
    <w:rsid w:val="007D343B"/>
    <w:rsid w:val="007D344B"/>
    <w:rsid w:val="007D3543"/>
    <w:rsid w:val="007D3A14"/>
    <w:rsid w:val="007D3B4D"/>
    <w:rsid w:val="007D3C43"/>
    <w:rsid w:val="007D3C54"/>
    <w:rsid w:val="007D3D89"/>
    <w:rsid w:val="007D3F0A"/>
    <w:rsid w:val="007D3F18"/>
    <w:rsid w:val="007D3F4D"/>
    <w:rsid w:val="007D3FA9"/>
    <w:rsid w:val="007D409A"/>
    <w:rsid w:val="007D4169"/>
    <w:rsid w:val="007D4446"/>
    <w:rsid w:val="007D44AD"/>
    <w:rsid w:val="007D4629"/>
    <w:rsid w:val="007D463A"/>
    <w:rsid w:val="007D4738"/>
    <w:rsid w:val="007D4821"/>
    <w:rsid w:val="007D4973"/>
    <w:rsid w:val="007D49E6"/>
    <w:rsid w:val="007D4A31"/>
    <w:rsid w:val="007D4A4B"/>
    <w:rsid w:val="007D4A9E"/>
    <w:rsid w:val="007D4C29"/>
    <w:rsid w:val="007D4CC8"/>
    <w:rsid w:val="007D4D3C"/>
    <w:rsid w:val="007D4DD4"/>
    <w:rsid w:val="007D4DFA"/>
    <w:rsid w:val="007D4FA6"/>
    <w:rsid w:val="007D5107"/>
    <w:rsid w:val="007D51E0"/>
    <w:rsid w:val="007D556A"/>
    <w:rsid w:val="007D558B"/>
    <w:rsid w:val="007D5715"/>
    <w:rsid w:val="007D5984"/>
    <w:rsid w:val="007D59FF"/>
    <w:rsid w:val="007D5B1A"/>
    <w:rsid w:val="007D5C6E"/>
    <w:rsid w:val="007D5C9A"/>
    <w:rsid w:val="007D5CDD"/>
    <w:rsid w:val="007D5E3D"/>
    <w:rsid w:val="007D5EB4"/>
    <w:rsid w:val="007D5FCD"/>
    <w:rsid w:val="007D6062"/>
    <w:rsid w:val="007D60D6"/>
    <w:rsid w:val="007D61FB"/>
    <w:rsid w:val="007D6246"/>
    <w:rsid w:val="007D625A"/>
    <w:rsid w:val="007D62EE"/>
    <w:rsid w:val="007D6485"/>
    <w:rsid w:val="007D686A"/>
    <w:rsid w:val="007D68B4"/>
    <w:rsid w:val="007D68FE"/>
    <w:rsid w:val="007D6A21"/>
    <w:rsid w:val="007D6B33"/>
    <w:rsid w:val="007D6CD6"/>
    <w:rsid w:val="007D6D26"/>
    <w:rsid w:val="007D6E84"/>
    <w:rsid w:val="007D6E8F"/>
    <w:rsid w:val="007D6F16"/>
    <w:rsid w:val="007D6F4E"/>
    <w:rsid w:val="007D6FC3"/>
    <w:rsid w:val="007D7384"/>
    <w:rsid w:val="007D75C9"/>
    <w:rsid w:val="007D7867"/>
    <w:rsid w:val="007D7868"/>
    <w:rsid w:val="007D78D9"/>
    <w:rsid w:val="007D79BE"/>
    <w:rsid w:val="007D79F2"/>
    <w:rsid w:val="007D7B7B"/>
    <w:rsid w:val="007D7B96"/>
    <w:rsid w:val="007D7E42"/>
    <w:rsid w:val="007D7EDE"/>
    <w:rsid w:val="007D7EE0"/>
    <w:rsid w:val="007D7EE6"/>
    <w:rsid w:val="007D7F6B"/>
    <w:rsid w:val="007E00E0"/>
    <w:rsid w:val="007E013D"/>
    <w:rsid w:val="007E01BE"/>
    <w:rsid w:val="007E026B"/>
    <w:rsid w:val="007E02AB"/>
    <w:rsid w:val="007E034E"/>
    <w:rsid w:val="007E04B9"/>
    <w:rsid w:val="007E0543"/>
    <w:rsid w:val="007E054E"/>
    <w:rsid w:val="007E0561"/>
    <w:rsid w:val="007E061C"/>
    <w:rsid w:val="007E0625"/>
    <w:rsid w:val="007E06AC"/>
    <w:rsid w:val="007E0712"/>
    <w:rsid w:val="007E0789"/>
    <w:rsid w:val="007E0790"/>
    <w:rsid w:val="007E0887"/>
    <w:rsid w:val="007E09A5"/>
    <w:rsid w:val="007E09F3"/>
    <w:rsid w:val="007E0B02"/>
    <w:rsid w:val="007E0CBA"/>
    <w:rsid w:val="007E0D6B"/>
    <w:rsid w:val="007E0E2C"/>
    <w:rsid w:val="007E1001"/>
    <w:rsid w:val="007E100D"/>
    <w:rsid w:val="007E111B"/>
    <w:rsid w:val="007E1256"/>
    <w:rsid w:val="007E153C"/>
    <w:rsid w:val="007E160D"/>
    <w:rsid w:val="007E1616"/>
    <w:rsid w:val="007E16AF"/>
    <w:rsid w:val="007E18D4"/>
    <w:rsid w:val="007E1B8E"/>
    <w:rsid w:val="007E1BDF"/>
    <w:rsid w:val="007E2012"/>
    <w:rsid w:val="007E2048"/>
    <w:rsid w:val="007E20CD"/>
    <w:rsid w:val="007E2114"/>
    <w:rsid w:val="007E2164"/>
    <w:rsid w:val="007E22C1"/>
    <w:rsid w:val="007E2396"/>
    <w:rsid w:val="007E23BA"/>
    <w:rsid w:val="007E255C"/>
    <w:rsid w:val="007E2782"/>
    <w:rsid w:val="007E2B3B"/>
    <w:rsid w:val="007E2B57"/>
    <w:rsid w:val="007E2CD6"/>
    <w:rsid w:val="007E30C5"/>
    <w:rsid w:val="007E318C"/>
    <w:rsid w:val="007E3285"/>
    <w:rsid w:val="007E3671"/>
    <w:rsid w:val="007E3745"/>
    <w:rsid w:val="007E394D"/>
    <w:rsid w:val="007E396D"/>
    <w:rsid w:val="007E39F7"/>
    <w:rsid w:val="007E3A9E"/>
    <w:rsid w:val="007E3C2C"/>
    <w:rsid w:val="007E3CBE"/>
    <w:rsid w:val="007E3DCF"/>
    <w:rsid w:val="007E3E1A"/>
    <w:rsid w:val="007E3E52"/>
    <w:rsid w:val="007E3F2E"/>
    <w:rsid w:val="007E3F9B"/>
    <w:rsid w:val="007E3FAB"/>
    <w:rsid w:val="007E4015"/>
    <w:rsid w:val="007E4073"/>
    <w:rsid w:val="007E42E4"/>
    <w:rsid w:val="007E43B8"/>
    <w:rsid w:val="007E441C"/>
    <w:rsid w:val="007E4684"/>
    <w:rsid w:val="007E477E"/>
    <w:rsid w:val="007E47BC"/>
    <w:rsid w:val="007E4839"/>
    <w:rsid w:val="007E4982"/>
    <w:rsid w:val="007E4A1D"/>
    <w:rsid w:val="007E4C4B"/>
    <w:rsid w:val="007E4D95"/>
    <w:rsid w:val="007E4F15"/>
    <w:rsid w:val="007E50AC"/>
    <w:rsid w:val="007E513C"/>
    <w:rsid w:val="007E54C4"/>
    <w:rsid w:val="007E556F"/>
    <w:rsid w:val="007E55FA"/>
    <w:rsid w:val="007E578D"/>
    <w:rsid w:val="007E57A7"/>
    <w:rsid w:val="007E58DC"/>
    <w:rsid w:val="007E5AA7"/>
    <w:rsid w:val="007E5B62"/>
    <w:rsid w:val="007E5BD0"/>
    <w:rsid w:val="007E5C91"/>
    <w:rsid w:val="007E5CFF"/>
    <w:rsid w:val="007E5D8F"/>
    <w:rsid w:val="007E5EA7"/>
    <w:rsid w:val="007E6024"/>
    <w:rsid w:val="007E6518"/>
    <w:rsid w:val="007E65AB"/>
    <w:rsid w:val="007E65D5"/>
    <w:rsid w:val="007E68C9"/>
    <w:rsid w:val="007E68CD"/>
    <w:rsid w:val="007E6A9C"/>
    <w:rsid w:val="007E6ADC"/>
    <w:rsid w:val="007E6B76"/>
    <w:rsid w:val="007E6C1D"/>
    <w:rsid w:val="007E6CDA"/>
    <w:rsid w:val="007E6F77"/>
    <w:rsid w:val="007E6FD1"/>
    <w:rsid w:val="007E7032"/>
    <w:rsid w:val="007E73E5"/>
    <w:rsid w:val="007E7539"/>
    <w:rsid w:val="007E75C0"/>
    <w:rsid w:val="007E765B"/>
    <w:rsid w:val="007E7690"/>
    <w:rsid w:val="007E78F0"/>
    <w:rsid w:val="007E7931"/>
    <w:rsid w:val="007E7962"/>
    <w:rsid w:val="007E7982"/>
    <w:rsid w:val="007E7A2B"/>
    <w:rsid w:val="007E7AAC"/>
    <w:rsid w:val="007E7D6D"/>
    <w:rsid w:val="007E7E2B"/>
    <w:rsid w:val="007E7E95"/>
    <w:rsid w:val="007E7F44"/>
    <w:rsid w:val="007F0332"/>
    <w:rsid w:val="007F03AE"/>
    <w:rsid w:val="007F03B7"/>
    <w:rsid w:val="007F04BC"/>
    <w:rsid w:val="007F057D"/>
    <w:rsid w:val="007F05EF"/>
    <w:rsid w:val="007F0C8F"/>
    <w:rsid w:val="007F0D5E"/>
    <w:rsid w:val="007F0D90"/>
    <w:rsid w:val="007F10AD"/>
    <w:rsid w:val="007F112A"/>
    <w:rsid w:val="007F117D"/>
    <w:rsid w:val="007F12C8"/>
    <w:rsid w:val="007F1366"/>
    <w:rsid w:val="007F137A"/>
    <w:rsid w:val="007F155F"/>
    <w:rsid w:val="007F1578"/>
    <w:rsid w:val="007F15CA"/>
    <w:rsid w:val="007F16A3"/>
    <w:rsid w:val="007F198E"/>
    <w:rsid w:val="007F19AD"/>
    <w:rsid w:val="007F19E6"/>
    <w:rsid w:val="007F1A1B"/>
    <w:rsid w:val="007F1A60"/>
    <w:rsid w:val="007F1BE2"/>
    <w:rsid w:val="007F1D57"/>
    <w:rsid w:val="007F1DC8"/>
    <w:rsid w:val="007F1E1F"/>
    <w:rsid w:val="007F1E83"/>
    <w:rsid w:val="007F1EBB"/>
    <w:rsid w:val="007F1FE5"/>
    <w:rsid w:val="007F20E4"/>
    <w:rsid w:val="007F21B1"/>
    <w:rsid w:val="007F22C6"/>
    <w:rsid w:val="007F2320"/>
    <w:rsid w:val="007F246E"/>
    <w:rsid w:val="007F2725"/>
    <w:rsid w:val="007F2754"/>
    <w:rsid w:val="007F2854"/>
    <w:rsid w:val="007F29B6"/>
    <w:rsid w:val="007F2A18"/>
    <w:rsid w:val="007F2CD3"/>
    <w:rsid w:val="007F2DAD"/>
    <w:rsid w:val="007F2DF4"/>
    <w:rsid w:val="007F2E50"/>
    <w:rsid w:val="007F2E67"/>
    <w:rsid w:val="007F2F26"/>
    <w:rsid w:val="007F2FA0"/>
    <w:rsid w:val="007F3140"/>
    <w:rsid w:val="007F339B"/>
    <w:rsid w:val="007F34F8"/>
    <w:rsid w:val="007F35CF"/>
    <w:rsid w:val="007F380B"/>
    <w:rsid w:val="007F386F"/>
    <w:rsid w:val="007F389C"/>
    <w:rsid w:val="007F38A0"/>
    <w:rsid w:val="007F3952"/>
    <w:rsid w:val="007F3A66"/>
    <w:rsid w:val="007F3AF1"/>
    <w:rsid w:val="007F3B78"/>
    <w:rsid w:val="007F3BFA"/>
    <w:rsid w:val="007F3C66"/>
    <w:rsid w:val="007F3DB1"/>
    <w:rsid w:val="007F4143"/>
    <w:rsid w:val="007F41E1"/>
    <w:rsid w:val="007F426A"/>
    <w:rsid w:val="007F43B4"/>
    <w:rsid w:val="007F45EA"/>
    <w:rsid w:val="007F4843"/>
    <w:rsid w:val="007F4909"/>
    <w:rsid w:val="007F4921"/>
    <w:rsid w:val="007F4956"/>
    <w:rsid w:val="007F4A1E"/>
    <w:rsid w:val="007F4B52"/>
    <w:rsid w:val="007F4B94"/>
    <w:rsid w:val="007F4CF7"/>
    <w:rsid w:val="007F4E2C"/>
    <w:rsid w:val="007F4EB9"/>
    <w:rsid w:val="007F5057"/>
    <w:rsid w:val="007F50A1"/>
    <w:rsid w:val="007F50B1"/>
    <w:rsid w:val="007F50EC"/>
    <w:rsid w:val="007F51B5"/>
    <w:rsid w:val="007F529D"/>
    <w:rsid w:val="007F5319"/>
    <w:rsid w:val="007F5380"/>
    <w:rsid w:val="007F5419"/>
    <w:rsid w:val="007F5462"/>
    <w:rsid w:val="007F54C7"/>
    <w:rsid w:val="007F55D4"/>
    <w:rsid w:val="007F5605"/>
    <w:rsid w:val="007F5670"/>
    <w:rsid w:val="007F5704"/>
    <w:rsid w:val="007F582D"/>
    <w:rsid w:val="007F58B8"/>
    <w:rsid w:val="007F5A34"/>
    <w:rsid w:val="007F5C96"/>
    <w:rsid w:val="007F5D06"/>
    <w:rsid w:val="007F5D09"/>
    <w:rsid w:val="007F5FEB"/>
    <w:rsid w:val="007F609E"/>
    <w:rsid w:val="007F60F2"/>
    <w:rsid w:val="007F6133"/>
    <w:rsid w:val="007F61DA"/>
    <w:rsid w:val="007F62D9"/>
    <w:rsid w:val="007F640B"/>
    <w:rsid w:val="007F68C3"/>
    <w:rsid w:val="007F6995"/>
    <w:rsid w:val="007F69F1"/>
    <w:rsid w:val="007F6BB8"/>
    <w:rsid w:val="007F7021"/>
    <w:rsid w:val="007F7180"/>
    <w:rsid w:val="007F71DE"/>
    <w:rsid w:val="007F72D8"/>
    <w:rsid w:val="007F72E4"/>
    <w:rsid w:val="007F7363"/>
    <w:rsid w:val="007F73B7"/>
    <w:rsid w:val="007F75A7"/>
    <w:rsid w:val="007F76CB"/>
    <w:rsid w:val="007F7742"/>
    <w:rsid w:val="007F77FF"/>
    <w:rsid w:val="007F78A0"/>
    <w:rsid w:val="007F79FA"/>
    <w:rsid w:val="007F7A4C"/>
    <w:rsid w:val="007F7A79"/>
    <w:rsid w:val="007F7A8E"/>
    <w:rsid w:val="007F7CC8"/>
    <w:rsid w:val="007F7CEF"/>
    <w:rsid w:val="007F7D2C"/>
    <w:rsid w:val="007F7DF5"/>
    <w:rsid w:val="007F7E80"/>
    <w:rsid w:val="007F7E8A"/>
    <w:rsid w:val="007F7E95"/>
    <w:rsid w:val="007F7FC1"/>
    <w:rsid w:val="00800007"/>
    <w:rsid w:val="00800161"/>
    <w:rsid w:val="00800178"/>
    <w:rsid w:val="00800233"/>
    <w:rsid w:val="00800268"/>
    <w:rsid w:val="0080027A"/>
    <w:rsid w:val="0080030E"/>
    <w:rsid w:val="008004C5"/>
    <w:rsid w:val="00800618"/>
    <w:rsid w:val="00800A3E"/>
    <w:rsid w:val="00800BC4"/>
    <w:rsid w:val="00800D7B"/>
    <w:rsid w:val="00800D8F"/>
    <w:rsid w:val="00800E92"/>
    <w:rsid w:val="00800F57"/>
    <w:rsid w:val="00800FCC"/>
    <w:rsid w:val="0080109F"/>
    <w:rsid w:val="00801203"/>
    <w:rsid w:val="00801268"/>
    <w:rsid w:val="00801280"/>
    <w:rsid w:val="00801301"/>
    <w:rsid w:val="008013DC"/>
    <w:rsid w:val="00801458"/>
    <w:rsid w:val="008014A1"/>
    <w:rsid w:val="008015D2"/>
    <w:rsid w:val="0080170C"/>
    <w:rsid w:val="00801767"/>
    <w:rsid w:val="008017E9"/>
    <w:rsid w:val="008018DB"/>
    <w:rsid w:val="00801952"/>
    <w:rsid w:val="00801A7B"/>
    <w:rsid w:val="00801A98"/>
    <w:rsid w:val="00801AE2"/>
    <w:rsid w:val="00801B88"/>
    <w:rsid w:val="00801D11"/>
    <w:rsid w:val="00801E20"/>
    <w:rsid w:val="00801EB4"/>
    <w:rsid w:val="00801EC0"/>
    <w:rsid w:val="008020C0"/>
    <w:rsid w:val="008022D0"/>
    <w:rsid w:val="008022D9"/>
    <w:rsid w:val="0080235F"/>
    <w:rsid w:val="00802427"/>
    <w:rsid w:val="0080249E"/>
    <w:rsid w:val="0080267D"/>
    <w:rsid w:val="00802708"/>
    <w:rsid w:val="0080278D"/>
    <w:rsid w:val="008027A4"/>
    <w:rsid w:val="008027B2"/>
    <w:rsid w:val="008029BF"/>
    <w:rsid w:val="00802AA5"/>
    <w:rsid w:val="00802DD0"/>
    <w:rsid w:val="00802EA2"/>
    <w:rsid w:val="00802EBB"/>
    <w:rsid w:val="00802F99"/>
    <w:rsid w:val="0080303A"/>
    <w:rsid w:val="00803221"/>
    <w:rsid w:val="008032E4"/>
    <w:rsid w:val="00803456"/>
    <w:rsid w:val="0080346F"/>
    <w:rsid w:val="008034CC"/>
    <w:rsid w:val="00803A34"/>
    <w:rsid w:val="00803BC0"/>
    <w:rsid w:val="00803C1E"/>
    <w:rsid w:val="00803E71"/>
    <w:rsid w:val="00803F1F"/>
    <w:rsid w:val="00804046"/>
    <w:rsid w:val="008040CC"/>
    <w:rsid w:val="00804631"/>
    <w:rsid w:val="008046E0"/>
    <w:rsid w:val="008047A6"/>
    <w:rsid w:val="0080492A"/>
    <w:rsid w:val="0080492D"/>
    <w:rsid w:val="00804A07"/>
    <w:rsid w:val="00804ABB"/>
    <w:rsid w:val="00804B53"/>
    <w:rsid w:val="00804DE3"/>
    <w:rsid w:val="00804E27"/>
    <w:rsid w:val="00804F44"/>
    <w:rsid w:val="00804F73"/>
    <w:rsid w:val="00805213"/>
    <w:rsid w:val="0080525E"/>
    <w:rsid w:val="00805664"/>
    <w:rsid w:val="008056CB"/>
    <w:rsid w:val="00805792"/>
    <w:rsid w:val="00805B16"/>
    <w:rsid w:val="00805BAC"/>
    <w:rsid w:val="00805C4D"/>
    <w:rsid w:val="00805C79"/>
    <w:rsid w:val="00805D35"/>
    <w:rsid w:val="00805D6D"/>
    <w:rsid w:val="00805E23"/>
    <w:rsid w:val="00805ECF"/>
    <w:rsid w:val="00805FF4"/>
    <w:rsid w:val="00806035"/>
    <w:rsid w:val="0080610A"/>
    <w:rsid w:val="008061B5"/>
    <w:rsid w:val="008065AC"/>
    <w:rsid w:val="008065CD"/>
    <w:rsid w:val="00806D94"/>
    <w:rsid w:val="00806DCC"/>
    <w:rsid w:val="00806EC3"/>
    <w:rsid w:val="00806ED8"/>
    <w:rsid w:val="00806EF6"/>
    <w:rsid w:val="00807048"/>
    <w:rsid w:val="008070AA"/>
    <w:rsid w:val="008070B8"/>
    <w:rsid w:val="00807241"/>
    <w:rsid w:val="0080727D"/>
    <w:rsid w:val="00807284"/>
    <w:rsid w:val="00807301"/>
    <w:rsid w:val="008074DC"/>
    <w:rsid w:val="00807551"/>
    <w:rsid w:val="0080755B"/>
    <w:rsid w:val="008077A2"/>
    <w:rsid w:val="008077EC"/>
    <w:rsid w:val="008077F5"/>
    <w:rsid w:val="0080780E"/>
    <w:rsid w:val="0080793E"/>
    <w:rsid w:val="00807AB2"/>
    <w:rsid w:val="00807B2A"/>
    <w:rsid w:val="00807D62"/>
    <w:rsid w:val="0081004F"/>
    <w:rsid w:val="0081032E"/>
    <w:rsid w:val="00810429"/>
    <w:rsid w:val="00810551"/>
    <w:rsid w:val="008105A0"/>
    <w:rsid w:val="008108F7"/>
    <w:rsid w:val="0081099F"/>
    <w:rsid w:val="008109D0"/>
    <w:rsid w:val="00810C31"/>
    <w:rsid w:val="00810C4C"/>
    <w:rsid w:val="00810CF7"/>
    <w:rsid w:val="00810ECF"/>
    <w:rsid w:val="00811097"/>
    <w:rsid w:val="00811274"/>
    <w:rsid w:val="008112A2"/>
    <w:rsid w:val="00811309"/>
    <w:rsid w:val="008114F6"/>
    <w:rsid w:val="0081162B"/>
    <w:rsid w:val="0081173A"/>
    <w:rsid w:val="00811809"/>
    <w:rsid w:val="00811811"/>
    <w:rsid w:val="008118B0"/>
    <w:rsid w:val="00811A28"/>
    <w:rsid w:val="00811A97"/>
    <w:rsid w:val="00811BCE"/>
    <w:rsid w:val="00811C7B"/>
    <w:rsid w:val="00811CF4"/>
    <w:rsid w:val="00811E03"/>
    <w:rsid w:val="00811EAE"/>
    <w:rsid w:val="00812187"/>
    <w:rsid w:val="00812211"/>
    <w:rsid w:val="0081245A"/>
    <w:rsid w:val="00812475"/>
    <w:rsid w:val="008124E2"/>
    <w:rsid w:val="0081263E"/>
    <w:rsid w:val="008126CA"/>
    <w:rsid w:val="0081274F"/>
    <w:rsid w:val="00812F56"/>
    <w:rsid w:val="00813101"/>
    <w:rsid w:val="00813200"/>
    <w:rsid w:val="00813351"/>
    <w:rsid w:val="00813360"/>
    <w:rsid w:val="00813562"/>
    <w:rsid w:val="0081389F"/>
    <w:rsid w:val="00813C67"/>
    <w:rsid w:val="00813C81"/>
    <w:rsid w:val="00813DFE"/>
    <w:rsid w:val="00813E78"/>
    <w:rsid w:val="00813EE6"/>
    <w:rsid w:val="00814095"/>
    <w:rsid w:val="00814262"/>
    <w:rsid w:val="00814378"/>
    <w:rsid w:val="0081456B"/>
    <w:rsid w:val="0081469C"/>
    <w:rsid w:val="0081498F"/>
    <w:rsid w:val="00814996"/>
    <w:rsid w:val="00814ABE"/>
    <w:rsid w:val="00814B77"/>
    <w:rsid w:val="00814CC9"/>
    <w:rsid w:val="00814D92"/>
    <w:rsid w:val="00814E92"/>
    <w:rsid w:val="00814F83"/>
    <w:rsid w:val="00815122"/>
    <w:rsid w:val="008151A0"/>
    <w:rsid w:val="00815329"/>
    <w:rsid w:val="008153AA"/>
    <w:rsid w:val="00815444"/>
    <w:rsid w:val="00815589"/>
    <w:rsid w:val="00815599"/>
    <w:rsid w:val="00815799"/>
    <w:rsid w:val="008157CA"/>
    <w:rsid w:val="008157DF"/>
    <w:rsid w:val="0081587F"/>
    <w:rsid w:val="00815ABE"/>
    <w:rsid w:val="00815BC4"/>
    <w:rsid w:val="00815EDB"/>
    <w:rsid w:val="00816137"/>
    <w:rsid w:val="008162B6"/>
    <w:rsid w:val="0081648B"/>
    <w:rsid w:val="008166EA"/>
    <w:rsid w:val="0081674C"/>
    <w:rsid w:val="0081683C"/>
    <w:rsid w:val="00816884"/>
    <w:rsid w:val="008168C0"/>
    <w:rsid w:val="008169B7"/>
    <w:rsid w:val="00816AFB"/>
    <w:rsid w:val="00816B80"/>
    <w:rsid w:val="00816C2F"/>
    <w:rsid w:val="00816C4C"/>
    <w:rsid w:val="00816CA4"/>
    <w:rsid w:val="00816CB7"/>
    <w:rsid w:val="00816CB9"/>
    <w:rsid w:val="00816D81"/>
    <w:rsid w:val="00816E50"/>
    <w:rsid w:val="00817111"/>
    <w:rsid w:val="00817288"/>
    <w:rsid w:val="008173A9"/>
    <w:rsid w:val="00817498"/>
    <w:rsid w:val="008174CC"/>
    <w:rsid w:val="008174DF"/>
    <w:rsid w:val="008175E5"/>
    <w:rsid w:val="0081766A"/>
    <w:rsid w:val="00817699"/>
    <w:rsid w:val="0081773F"/>
    <w:rsid w:val="00817796"/>
    <w:rsid w:val="008177BF"/>
    <w:rsid w:val="008178F3"/>
    <w:rsid w:val="008179FF"/>
    <w:rsid w:val="00817C8A"/>
    <w:rsid w:val="00817E7E"/>
    <w:rsid w:val="00817EE7"/>
    <w:rsid w:val="0082006C"/>
    <w:rsid w:val="0082015D"/>
    <w:rsid w:val="008201A5"/>
    <w:rsid w:val="0082025F"/>
    <w:rsid w:val="00820313"/>
    <w:rsid w:val="00820333"/>
    <w:rsid w:val="0082046E"/>
    <w:rsid w:val="008205A6"/>
    <w:rsid w:val="00820652"/>
    <w:rsid w:val="00820767"/>
    <w:rsid w:val="00820881"/>
    <w:rsid w:val="008208C6"/>
    <w:rsid w:val="00820959"/>
    <w:rsid w:val="00820960"/>
    <w:rsid w:val="00820996"/>
    <w:rsid w:val="008209F9"/>
    <w:rsid w:val="00820B7C"/>
    <w:rsid w:val="00820BA2"/>
    <w:rsid w:val="00820BCF"/>
    <w:rsid w:val="00820D16"/>
    <w:rsid w:val="00820F31"/>
    <w:rsid w:val="0082103E"/>
    <w:rsid w:val="0082111A"/>
    <w:rsid w:val="0082126B"/>
    <w:rsid w:val="00821433"/>
    <w:rsid w:val="00821471"/>
    <w:rsid w:val="008214C8"/>
    <w:rsid w:val="00821539"/>
    <w:rsid w:val="008219F4"/>
    <w:rsid w:val="00821A3E"/>
    <w:rsid w:val="00821A42"/>
    <w:rsid w:val="00821B03"/>
    <w:rsid w:val="00821B87"/>
    <w:rsid w:val="00821BCD"/>
    <w:rsid w:val="00821CE4"/>
    <w:rsid w:val="00821DF6"/>
    <w:rsid w:val="008220F5"/>
    <w:rsid w:val="008220FD"/>
    <w:rsid w:val="00822158"/>
    <w:rsid w:val="00822277"/>
    <w:rsid w:val="008224EA"/>
    <w:rsid w:val="00822702"/>
    <w:rsid w:val="0082280E"/>
    <w:rsid w:val="00822844"/>
    <w:rsid w:val="00822894"/>
    <w:rsid w:val="00822B03"/>
    <w:rsid w:val="00822B0A"/>
    <w:rsid w:val="00822BFA"/>
    <w:rsid w:val="00822E1C"/>
    <w:rsid w:val="00822E77"/>
    <w:rsid w:val="00822EFD"/>
    <w:rsid w:val="00822F81"/>
    <w:rsid w:val="00823160"/>
    <w:rsid w:val="00823496"/>
    <w:rsid w:val="00823537"/>
    <w:rsid w:val="00823568"/>
    <w:rsid w:val="008236CA"/>
    <w:rsid w:val="008237F6"/>
    <w:rsid w:val="008238A7"/>
    <w:rsid w:val="00823A6A"/>
    <w:rsid w:val="00823AF1"/>
    <w:rsid w:val="00823B85"/>
    <w:rsid w:val="00823CCE"/>
    <w:rsid w:val="00823D96"/>
    <w:rsid w:val="00823DC0"/>
    <w:rsid w:val="00823DF8"/>
    <w:rsid w:val="00823F67"/>
    <w:rsid w:val="00823F6D"/>
    <w:rsid w:val="00824014"/>
    <w:rsid w:val="0082404A"/>
    <w:rsid w:val="0082422C"/>
    <w:rsid w:val="00824279"/>
    <w:rsid w:val="00824333"/>
    <w:rsid w:val="00824376"/>
    <w:rsid w:val="00824442"/>
    <w:rsid w:val="008244A4"/>
    <w:rsid w:val="00824687"/>
    <w:rsid w:val="00824817"/>
    <w:rsid w:val="00824914"/>
    <w:rsid w:val="00824932"/>
    <w:rsid w:val="00824DA6"/>
    <w:rsid w:val="00824F6B"/>
    <w:rsid w:val="0082509F"/>
    <w:rsid w:val="0082524F"/>
    <w:rsid w:val="008252F5"/>
    <w:rsid w:val="0082535D"/>
    <w:rsid w:val="008254BE"/>
    <w:rsid w:val="008255A4"/>
    <w:rsid w:val="0082567B"/>
    <w:rsid w:val="00825A71"/>
    <w:rsid w:val="00825A9E"/>
    <w:rsid w:val="00825B03"/>
    <w:rsid w:val="00825B0A"/>
    <w:rsid w:val="00825C3E"/>
    <w:rsid w:val="00825D27"/>
    <w:rsid w:val="0082602B"/>
    <w:rsid w:val="00826109"/>
    <w:rsid w:val="0082610D"/>
    <w:rsid w:val="00826130"/>
    <w:rsid w:val="0082619E"/>
    <w:rsid w:val="0082663B"/>
    <w:rsid w:val="00826646"/>
    <w:rsid w:val="0082668F"/>
    <w:rsid w:val="008269AE"/>
    <w:rsid w:val="008269C0"/>
    <w:rsid w:val="00826AF9"/>
    <w:rsid w:val="00826C21"/>
    <w:rsid w:val="00826D2A"/>
    <w:rsid w:val="00826D51"/>
    <w:rsid w:val="00826D52"/>
    <w:rsid w:val="00826E2A"/>
    <w:rsid w:val="00827072"/>
    <w:rsid w:val="0082710B"/>
    <w:rsid w:val="008273D3"/>
    <w:rsid w:val="00827539"/>
    <w:rsid w:val="0082756E"/>
    <w:rsid w:val="008275C0"/>
    <w:rsid w:val="00827685"/>
    <w:rsid w:val="00827A48"/>
    <w:rsid w:val="00827AE0"/>
    <w:rsid w:val="00827AE7"/>
    <w:rsid w:val="00827B4B"/>
    <w:rsid w:val="00827C13"/>
    <w:rsid w:val="00827CBE"/>
    <w:rsid w:val="00827E1A"/>
    <w:rsid w:val="00827E6B"/>
    <w:rsid w:val="00827ED6"/>
    <w:rsid w:val="00830070"/>
    <w:rsid w:val="00830146"/>
    <w:rsid w:val="008302FF"/>
    <w:rsid w:val="0083045E"/>
    <w:rsid w:val="0083089D"/>
    <w:rsid w:val="008308D1"/>
    <w:rsid w:val="00830B68"/>
    <w:rsid w:val="00830B9F"/>
    <w:rsid w:val="00830CDF"/>
    <w:rsid w:val="00830D40"/>
    <w:rsid w:val="00830E99"/>
    <w:rsid w:val="00831111"/>
    <w:rsid w:val="00831135"/>
    <w:rsid w:val="008313D1"/>
    <w:rsid w:val="0083145D"/>
    <w:rsid w:val="00831555"/>
    <w:rsid w:val="008317AA"/>
    <w:rsid w:val="00831800"/>
    <w:rsid w:val="00831862"/>
    <w:rsid w:val="0083189B"/>
    <w:rsid w:val="00831AF9"/>
    <w:rsid w:val="00831C91"/>
    <w:rsid w:val="00831D0A"/>
    <w:rsid w:val="00831D25"/>
    <w:rsid w:val="00831F76"/>
    <w:rsid w:val="00831F87"/>
    <w:rsid w:val="00831FC5"/>
    <w:rsid w:val="00831FF6"/>
    <w:rsid w:val="00832028"/>
    <w:rsid w:val="0083220C"/>
    <w:rsid w:val="0083220E"/>
    <w:rsid w:val="00832293"/>
    <w:rsid w:val="00832485"/>
    <w:rsid w:val="0083253D"/>
    <w:rsid w:val="00832658"/>
    <w:rsid w:val="0083265C"/>
    <w:rsid w:val="00832664"/>
    <w:rsid w:val="0083271A"/>
    <w:rsid w:val="00832766"/>
    <w:rsid w:val="0083285E"/>
    <w:rsid w:val="00832897"/>
    <w:rsid w:val="00832909"/>
    <w:rsid w:val="00832AA3"/>
    <w:rsid w:val="00832B5C"/>
    <w:rsid w:val="00832D46"/>
    <w:rsid w:val="00832DB1"/>
    <w:rsid w:val="00832F26"/>
    <w:rsid w:val="00832FD8"/>
    <w:rsid w:val="008330A5"/>
    <w:rsid w:val="008330B5"/>
    <w:rsid w:val="008332E2"/>
    <w:rsid w:val="008332EE"/>
    <w:rsid w:val="008332F7"/>
    <w:rsid w:val="008334DD"/>
    <w:rsid w:val="00833726"/>
    <w:rsid w:val="008338CB"/>
    <w:rsid w:val="008339CF"/>
    <w:rsid w:val="008339D2"/>
    <w:rsid w:val="00833ABD"/>
    <w:rsid w:val="00833C5D"/>
    <w:rsid w:val="00833C78"/>
    <w:rsid w:val="00833DE7"/>
    <w:rsid w:val="00833E9C"/>
    <w:rsid w:val="00834059"/>
    <w:rsid w:val="0083405B"/>
    <w:rsid w:val="0083408B"/>
    <w:rsid w:val="0083421A"/>
    <w:rsid w:val="00834311"/>
    <w:rsid w:val="00834313"/>
    <w:rsid w:val="00834370"/>
    <w:rsid w:val="008346CE"/>
    <w:rsid w:val="00834776"/>
    <w:rsid w:val="00834830"/>
    <w:rsid w:val="008348A5"/>
    <w:rsid w:val="00834959"/>
    <w:rsid w:val="0083495F"/>
    <w:rsid w:val="00834B37"/>
    <w:rsid w:val="00834E1E"/>
    <w:rsid w:val="00834E4B"/>
    <w:rsid w:val="00834E83"/>
    <w:rsid w:val="00834E90"/>
    <w:rsid w:val="00834F11"/>
    <w:rsid w:val="00834F3A"/>
    <w:rsid w:val="008350DF"/>
    <w:rsid w:val="008352F8"/>
    <w:rsid w:val="008353CF"/>
    <w:rsid w:val="0083545D"/>
    <w:rsid w:val="00835468"/>
    <w:rsid w:val="008354A2"/>
    <w:rsid w:val="008357F0"/>
    <w:rsid w:val="008359F5"/>
    <w:rsid w:val="00835B32"/>
    <w:rsid w:val="00835BAA"/>
    <w:rsid w:val="00835CB1"/>
    <w:rsid w:val="00835DC5"/>
    <w:rsid w:val="00835DE9"/>
    <w:rsid w:val="00835FC1"/>
    <w:rsid w:val="0083619B"/>
    <w:rsid w:val="0083623C"/>
    <w:rsid w:val="0083685E"/>
    <w:rsid w:val="008369BC"/>
    <w:rsid w:val="00836AE9"/>
    <w:rsid w:val="00836D01"/>
    <w:rsid w:val="00836D49"/>
    <w:rsid w:val="00836D5F"/>
    <w:rsid w:val="00836DC0"/>
    <w:rsid w:val="00836E3C"/>
    <w:rsid w:val="00836E72"/>
    <w:rsid w:val="0083701B"/>
    <w:rsid w:val="008372D8"/>
    <w:rsid w:val="008372F9"/>
    <w:rsid w:val="0083764B"/>
    <w:rsid w:val="00837761"/>
    <w:rsid w:val="008377A2"/>
    <w:rsid w:val="008379B9"/>
    <w:rsid w:val="00837A72"/>
    <w:rsid w:val="00837C2F"/>
    <w:rsid w:val="00837CF7"/>
    <w:rsid w:val="00840245"/>
    <w:rsid w:val="008404B5"/>
    <w:rsid w:val="00840502"/>
    <w:rsid w:val="00840532"/>
    <w:rsid w:val="0084079A"/>
    <w:rsid w:val="008408A6"/>
    <w:rsid w:val="008408BB"/>
    <w:rsid w:val="008408D7"/>
    <w:rsid w:val="00840979"/>
    <w:rsid w:val="00840AE0"/>
    <w:rsid w:val="00840B35"/>
    <w:rsid w:val="00840BD1"/>
    <w:rsid w:val="00840C50"/>
    <w:rsid w:val="00840E98"/>
    <w:rsid w:val="008410A5"/>
    <w:rsid w:val="008414AE"/>
    <w:rsid w:val="00841585"/>
    <w:rsid w:val="008415C1"/>
    <w:rsid w:val="0084173F"/>
    <w:rsid w:val="0084177E"/>
    <w:rsid w:val="0084178E"/>
    <w:rsid w:val="00841999"/>
    <w:rsid w:val="00841A4A"/>
    <w:rsid w:val="00841C38"/>
    <w:rsid w:val="00841C56"/>
    <w:rsid w:val="00841CB7"/>
    <w:rsid w:val="00841CDA"/>
    <w:rsid w:val="00841E7F"/>
    <w:rsid w:val="00841F9A"/>
    <w:rsid w:val="00842070"/>
    <w:rsid w:val="0084209E"/>
    <w:rsid w:val="008421DB"/>
    <w:rsid w:val="00842295"/>
    <w:rsid w:val="0084258F"/>
    <w:rsid w:val="00842799"/>
    <w:rsid w:val="00842895"/>
    <w:rsid w:val="008429CF"/>
    <w:rsid w:val="008429D4"/>
    <w:rsid w:val="00842ABC"/>
    <w:rsid w:val="00842C59"/>
    <w:rsid w:val="00842C67"/>
    <w:rsid w:val="00842EEF"/>
    <w:rsid w:val="00842F13"/>
    <w:rsid w:val="0084319A"/>
    <w:rsid w:val="008433E0"/>
    <w:rsid w:val="00843412"/>
    <w:rsid w:val="008434F5"/>
    <w:rsid w:val="00843722"/>
    <w:rsid w:val="00843812"/>
    <w:rsid w:val="0084381E"/>
    <w:rsid w:val="0084381F"/>
    <w:rsid w:val="008438C2"/>
    <w:rsid w:val="00843978"/>
    <w:rsid w:val="00843A07"/>
    <w:rsid w:val="00843ABE"/>
    <w:rsid w:val="00843C3D"/>
    <w:rsid w:val="00843D5B"/>
    <w:rsid w:val="00843EEC"/>
    <w:rsid w:val="00843F00"/>
    <w:rsid w:val="00843F67"/>
    <w:rsid w:val="00844117"/>
    <w:rsid w:val="00844331"/>
    <w:rsid w:val="00844351"/>
    <w:rsid w:val="00844452"/>
    <w:rsid w:val="00844504"/>
    <w:rsid w:val="00844696"/>
    <w:rsid w:val="00844818"/>
    <w:rsid w:val="00844A1C"/>
    <w:rsid w:val="00844BD9"/>
    <w:rsid w:val="00844C5E"/>
    <w:rsid w:val="00844D52"/>
    <w:rsid w:val="00844DF4"/>
    <w:rsid w:val="00844EE9"/>
    <w:rsid w:val="00844EFD"/>
    <w:rsid w:val="00844FA1"/>
    <w:rsid w:val="0084503E"/>
    <w:rsid w:val="00845089"/>
    <w:rsid w:val="00845214"/>
    <w:rsid w:val="008452A4"/>
    <w:rsid w:val="008454A9"/>
    <w:rsid w:val="008454E5"/>
    <w:rsid w:val="00845582"/>
    <w:rsid w:val="00845686"/>
    <w:rsid w:val="00845697"/>
    <w:rsid w:val="00845760"/>
    <w:rsid w:val="00845882"/>
    <w:rsid w:val="00845A9D"/>
    <w:rsid w:val="00845B95"/>
    <w:rsid w:val="00845BBB"/>
    <w:rsid w:val="00845C64"/>
    <w:rsid w:val="00845CE5"/>
    <w:rsid w:val="00845D4A"/>
    <w:rsid w:val="00845D5C"/>
    <w:rsid w:val="00845DF4"/>
    <w:rsid w:val="00845F43"/>
    <w:rsid w:val="00846124"/>
    <w:rsid w:val="00846157"/>
    <w:rsid w:val="0084621A"/>
    <w:rsid w:val="008462ED"/>
    <w:rsid w:val="0084657A"/>
    <w:rsid w:val="008466B1"/>
    <w:rsid w:val="00846784"/>
    <w:rsid w:val="008467B6"/>
    <w:rsid w:val="008468EB"/>
    <w:rsid w:val="00846BFB"/>
    <w:rsid w:val="00846D8C"/>
    <w:rsid w:val="00846DD6"/>
    <w:rsid w:val="00846DEA"/>
    <w:rsid w:val="00846E33"/>
    <w:rsid w:val="00847287"/>
    <w:rsid w:val="008472BA"/>
    <w:rsid w:val="00847334"/>
    <w:rsid w:val="008478D1"/>
    <w:rsid w:val="00847BF9"/>
    <w:rsid w:val="00847E2A"/>
    <w:rsid w:val="00847E2E"/>
    <w:rsid w:val="00847F2A"/>
    <w:rsid w:val="0084F29C"/>
    <w:rsid w:val="0085025F"/>
    <w:rsid w:val="0085034C"/>
    <w:rsid w:val="008503E6"/>
    <w:rsid w:val="0085040A"/>
    <w:rsid w:val="00850626"/>
    <w:rsid w:val="008506BA"/>
    <w:rsid w:val="0085084A"/>
    <w:rsid w:val="00850A3D"/>
    <w:rsid w:val="00850B2B"/>
    <w:rsid w:val="00850BA4"/>
    <w:rsid w:val="00850CCB"/>
    <w:rsid w:val="00850CEF"/>
    <w:rsid w:val="00851058"/>
    <w:rsid w:val="008510CB"/>
    <w:rsid w:val="008510D9"/>
    <w:rsid w:val="00851254"/>
    <w:rsid w:val="008512EB"/>
    <w:rsid w:val="00851371"/>
    <w:rsid w:val="008514C0"/>
    <w:rsid w:val="008518BA"/>
    <w:rsid w:val="00851A20"/>
    <w:rsid w:val="00851C6E"/>
    <w:rsid w:val="00851DFF"/>
    <w:rsid w:val="00851E29"/>
    <w:rsid w:val="00851E90"/>
    <w:rsid w:val="00851EBA"/>
    <w:rsid w:val="0085208C"/>
    <w:rsid w:val="0085210A"/>
    <w:rsid w:val="00852157"/>
    <w:rsid w:val="00852210"/>
    <w:rsid w:val="008523F9"/>
    <w:rsid w:val="00852698"/>
    <w:rsid w:val="008529A1"/>
    <w:rsid w:val="00852B04"/>
    <w:rsid w:val="00852B24"/>
    <w:rsid w:val="00852B55"/>
    <w:rsid w:val="00852B98"/>
    <w:rsid w:val="00852BF6"/>
    <w:rsid w:val="00852EB2"/>
    <w:rsid w:val="00852F1D"/>
    <w:rsid w:val="00852F33"/>
    <w:rsid w:val="00852FBC"/>
    <w:rsid w:val="00853198"/>
    <w:rsid w:val="0085323A"/>
    <w:rsid w:val="0085334B"/>
    <w:rsid w:val="0085363A"/>
    <w:rsid w:val="008536CE"/>
    <w:rsid w:val="008536F7"/>
    <w:rsid w:val="008539EF"/>
    <w:rsid w:val="00853A10"/>
    <w:rsid w:val="00853A64"/>
    <w:rsid w:val="00853A97"/>
    <w:rsid w:val="00853C8A"/>
    <w:rsid w:val="00853CA3"/>
    <w:rsid w:val="00853D55"/>
    <w:rsid w:val="00853DB7"/>
    <w:rsid w:val="00853E86"/>
    <w:rsid w:val="00854060"/>
    <w:rsid w:val="008540FF"/>
    <w:rsid w:val="00854106"/>
    <w:rsid w:val="0085415C"/>
    <w:rsid w:val="008542A2"/>
    <w:rsid w:val="0085432C"/>
    <w:rsid w:val="008543DE"/>
    <w:rsid w:val="0085456B"/>
    <w:rsid w:val="008546A2"/>
    <w:rsid w:val="0085471E"/>
    <w:rsid w:val="008548DD"/>
    <w:rsid w:val="00854C82"/>
    <w:rsid w:val="00854D82"/>
    <w:rsid w:val="008550D6"/>
    <w:rsid w:val="008550F8"/>
    <w:rsid w:val="008553B9"/>
    <w:rsid w:val="00855647"/>
    <w:rsid w:val="008558F0"/>
    <w:rsid w:val="008559B4"/>
    <w:rsid w:val="00855A86"/>
    <w:rsid w:val="00855A8E"/>
    <w:rsid w:val="00855C09"/>
    <w:rsid w:val="00855D87"/>
    <w:rsid w:val="00855E1B"/>
    <w:rsid w:val="00855EE9"/>
    <w:rsid w:val="00856118"/>
    <w:rsid w:val="008561C3"/>
    <w:rsid w:val="00856251"/>
    <w:rsid w:val="008563BC"/>
    <w:rsid w:val="008563E6"/>
    <w:rsid w:val="008567F4"/>
    <w:rsid w:val="0085685C"/>
    <w:rsid w:val="00856A95"/>
    <w:rsid w:val="00856B4A"/>
    <w:rsid w:val="00856BD1"/>
    <w:rsid w:val="00856DC7"/>
    <w:rsid w:val="00856EB7"/>
    <w:rsid w:val="0085729A"/>
    <w:rsid w:val="00857392"/>
    <w:rsid w:val="008573AA"/>
    <w:rsid w:val="0085740C"/>
    <w:rsid w:val="0085749F"/>
    <w:rsid w:val="008574AC"/>
    <w:rsid w:val="008575D1"/>
    <w:rsid w:val="0085785D"/>
    <w:rsid w:val="0085797F"/>
    <w:rsid w:val="00857A30"/>
    <w:rsid w:val="00857A4A"/>
    <w:rsid w:val="00857CEB"/>
    <w:rsid w:val="00857FD2"/>
    <w:rsid w:val="008600C6"/>
    <w:rsid w:val="008601CD"/>
    <w:rsid w:val="008603B9"/>
    <w:rsid w:val="008604F6"/>
    <w:rsid w:val="0086052C"/>
    <w:rsid w:val="008608AF"/>
    <w:rsid w:val="008609E1"/>
    <w:rsid w:val="00860B99"/>
    <w:rsid w:val="00860C27"/>
    <w:rsid w:val="00860C4B"/>
    <w:rsid w:val="00860C5A"/>
    <w:rsid w:val="00860FB0"/>
    <w:rsid w:val="00861081"/>
    <w:rsid w:val="00861206"/>
    <w:rsid w:val="0086130D"/>
    <w:rsid w:val="0086146F"/>
    <w:rsid w:val="0086154A"/>
    <w:rsid w:val="008615C3"/>
    <w:rsid w:val="00861615"/>
    <w:rsid w:val="008616E1"/>
    <w:rsid w:val="00861714"/>
    <w:rsid w:val="008617E4"/>
    <w:rsid w:val="00861893"/>
    <w:rsid w:val="00861A55"/>
    <w:rsid w:val="00861B41"/>
    <w:rsid w:val="00861BCC"/>
    <w:rsid w:val="00861C41"/>
    <w:rsid w:val="00861E14"/>
    <w:rsid w:val="008620C2"/>
    <w:rsid w:val="00862175"/>
    <w:rsid w:val="008624B4"/>
    <w:rsid w:val="00862538"/>
    <w:rsid w:val="008627D4"/>
    <w:rsid w:val="0086281B"/>
    <w:rsid w:val="00862B19"/>
    <w:rsid w:val="00862C67"/>
    <w:rsid w:val="00862C7A"/>
    <w:rsid w:val="00862CD4"/>
    <w:rsid w:val="00862FE9"/>
    <w:rsid w:val="00863242"/>
    <w:rsid w:val="00863354"/>
    <w:rsid w:val="00863397"/>
    <w:rsid w:val="00863547"/>
    <w:rsid w:val="008635B9"/>
    <w:rsid w:val="008636FA"/>
    <w:rsid w:val="00863899"/>
    <w:rsid w:val="008638CF"/>
    <w:rsid w:val="00863902"/>
    <w:rsid w:val="008639DF"/>
    <w:rsid w:val="00863B4F"/>
    <w:rsid w:val="00863B9C"/>
    <w:rsid w:val="00863CD2"/>
    <w:rsid w:val="00863D3E"/>
    <w:rsid w:val="00863E37"/>
    <w:rsid w:val="00863E93"/>
    <w:rsid w:val="00863F13"/>
    <w:rsid w:val="00864022"/>
    <w:rsid w:val="00864032"/>
    <w:rsid w:val="00864245"/>
    <w:rsid w:val="008642BC"/>
    <w:rsid w:val="00864347"/>
    <w:rsid w:val="008645CF"/>
    <w:rsid w:val="008645D9"/>
    <w:rsid w:val="00864672"/>
    <w:rsid w:val="008647C7"/>
    <w:rsid w:val="008648E9"/>
    <w:rsid w:val="0086490E"/>
    <w:rsid w:val="00864915"/>
    <w:rsid w:val="0086496F"/>
    <w:rsid w:val="00864B05"/>
    <w:rsid w:val="00864B97"/>
    <w:rsid w:val="00864CE0"/>
    <w:rsid w:val="00864D38"/>
    <w:rsid w:val="00864D46"/>
    <w:rsid w:val="00864EF8"/>
    <w:rsid w:val="00864F4E"/>
    <w:rsid w:val="00864FC5"/>
    <w:rsid w:val="0086508E"/>
    <w:rsid w:val="008650A0"/>
    <w:rsid w:val="0086522C"/>
    <w:rsid w:val="00865331"/>
    <w:rsid w:val="0086546E"/>
    <w:rsid w:val="00865601"/>
    <w:rsid w:val="00865793"/>
    <w:rsid w:val="0086595B"/>
    <w:rsid w:val="00865984"/>
    <w:rsid w:val="00865A4D"/>
    <w:rsid w:val="00865B9E"/>
    <w:rsid w:val="00865D81"/>
    <w:rsid w:val="00865DC0"/>
    <w:rsid w:val="008661BF"/>
    <w:rsid w:val="008661FA"/>
    <w:rsid w:val="00866244"/>
    <w:rsid w:val="0086656A"/>
    <w:rsid w:val="00866792"/>
    <w:rsid w:val="008667B4"/>
    <w:rsid w:val="0086681F"/>
    <w:rsid w:val="00866ACD"/>
    <w:rsid w:val="00866B1D"/>
    <w:rsid w:val="00866C39"/>
    <w:rsid w:val="00866CE8"/>
    <w:rsid w:val="00866D29"/>
    <w:rsid w:val="00866D8F"/>
    <w:rsid w:val="00866FD1"/>
    <w:rsid w:val="00866FD2"/>
    <w:rsid w:val="00866FDC"/>
    <w:rsid w:val="00867098"/>
    <w:rsid w:val="0086709B"/>
    <w:rsid w:val="0086722C"/>
    <w:rsid w:val="00867550"/>
    <w:rsid w:val="008675B5"/>
    <w:rsid w:val="0086765B"/>
    <w:rsid w:val="008678D2"/>
    <w:rsid w:val="0086797F"/>
    <w:rsid w:val="00867A6F"/>
    <w:rsid w:val="00867A8D"/>
    <w:rsid w:val="00867DC1"/>
    <w:rsid w:val="00867FA1"/>
    <w:rsid w:val="0087023D"/>
    <w:rsid w:val="008705CA"/>
    <w:rsid w:val="0087080C"/>
    <w:rsid w:val="0087095D"/>
    <w:rsid w:val="008709DB"/>
    <w:rsid w:val="00870A64"/>
    <w:rsid w:val="00870B31"/>
    <w:rsid w:val="00870B63"/>
    <w:rsid w:val="00870CCB"/>
    <w:rsid w:val="00870D42"/>
    <w:rsid w:val="00870EB5"/>
    <w:rsid w:val="00871032"/>
    <w:rsid w:val="00871151"/>
    <w:rsid w:val="0087154F"/>
    <w:rsid w:val="00871608"/>
    <w:rsid w:val="00871771"/>
    <w:rsid w:val="0087184F"/>
    <w:rsid w:val="008719D7"/>
    <w:rsid w:val="00871B2C"/>
    <w:rsid w:val="00871C69"/>
    <w:rsid w:val="00871DCB"/>
    <w:rsid w:val="008720EB"/>
    <w:rsid w:val="008720EE"/>
    <w:rsid w:val="008720FF"/>
    <w:rsid w:val="00872222"/>
    <w:rsid w:val="008722C6"/>
    <w:rsid w:val="00872356"/>
    <w:rsid w:val="00872374"/>
    <w:rsid w:val="00872380"/>
    <w:rsid w:val="00872565"/>
    <w:rsid w:val="0087286D"/>
    <w:rsid w:val="0087299B"/>
    <w:rsid w:val="00872ABB"/>
    <w:rsid w:val="00872CA9"/>
    <w:rsid w:val="00872F2C"/>
    <w:rsid w:val="008730E6"/>
    <w:rsid w:val="00873221"/>
    <w:rsid w:val="00873233"/>
    <w:rsid w:val="00873377"/>
    <w:rsid w:val="00873469"/>
    <w:rsid w:val="008734BA"/>
    <w:rsid w:val="00873622"/>
    <w:rsid w:val="008737AC"/>
    <w:rsid w:val="008739A2"/>
    <w:rsid w:val="00873A64"/>
    <w:rsid w:val="00873D0D"/>
    <w:rsid w:val="00873EBF"/>
    <w:rsid w:val="00874175"/>
    <w:rsid w:val="00874250"/>
    <w:rsid w:val="00874261"/>
    <w:rsid w:val="00874323"/>
    <w:rsid w:val="00874382"/>
    <w:rsid w:val="008743E9"/>
    <w:rsid w:val="00874401"/>
    <w:rsid w:val="008745EB"/>
    <w:rsid w:val="00874641"/>
    <w:rsid w:val="00874659"/>
    <w:rsid w:val="008746A3"/>
    <w:rsid w:val="008747C3"/>
    <w:rsid w:val="00874834"/>
    <w:rsid w:val="008749ED"/>
    <w:rsid w:val="00874BC3"/>
    <w:rsid w:val="00874BC8"/>
    <w:rsid w:val="00874D9C"/>
    <w:rsid w:val="00874F7C"/>
    <w:rsid w:val="008750BB"/>
    <w:rsid w:val="008751DB"/>
    <w:rsid w:val="00875283"/>
    <w:rsid w:val="00875534"/>
    <w:rsid w:val="008755AD"/>
    <w:rsid w:val="00875640"/>
    <w:rsid w:val="0087571E"/>
    <w:rsid w:val="00875914"/>
    <w:rsid w:val="008759DE"/>
    <w:rsid w:val="008759E3"/>
    <w:rsid w:val="00875B37"/>
    <w:rsid w:val="00875D2E"/>
    <w:rsid w:val="00876150"/>
    <w:rsid w:val="008763BE"/>
    <w:rsid w:val="00876417"/>
    <w:rsid w:val="00876537"/>
    <w:rsid w:val="008767B4"/>
    <w:rsid w:val="0087683F"/>
    <w:rsid w:val="0087693F"/>
    <w:rsid w:val="00876954"/>
    <w:rsid w:val="00876982"/>
    <w:rsid w:val="00876B88"/>
    <w:rsid w:val="00876C5E"/>
    <w:rsid w:val="00876D8A"/>
    <w:rsid w:val="00876E77"/>
    <w:rsid w:val="008772AE"/>
    <w:rsid w:val="00877376"/>
    <w:rsid w:val="00877706"/>
    <w:rsid w:val="00877792"/>
    <w:rsid w:val="008777EF"/>
    <w:rsid w:val="008778C4"/>
    <w:rsid w:val="00877A9C"/>
    <w:rsid w:val="00877AA9"/>
    <w:rsid w:val="00877ABA"/>
    <w:rsid w:val="00877B5D"/>
    <w:rsid w:val="00877D31"/>
    <w:rsid w:val="00877D6C"/>
    <w:rsid w:val="00877DD7"/>
    <w:rsid w:val="00877E75"/>
    <w:rsid w:val="0088025D"/>
    <w:rsid w:val="00880290"/>
    <w:rsid w:val="008803DD"/>
    <w:rsid w:val="00880A87"/>
    <w:rsid w:val="00880A91"/>
    <w:rsid w:val="00880BFA"/>
    <w:rsid w:val="00880C64"/>
    <w:rsid w:val="00880C8D"/>
    <w:rsid w:val="00880D5A"/>
    <w:rsid w:val="0088101B"/>
    <w:rsid w:val="00881040"/>
    <w:rsid w:val="00881266"/>
    <w:rsid w:val="0088132E"/>
    <w:rsid w:val="0088133F"/>
    <w:rsid w:val="00881599"/>
    <w:rsid w:val="008817CA"/>
    <w:rsid w:val="00881831"/>
    <w:rsid w:val="0088184F"/>
    <w:rsid w:val="008818F6"/>
    <w:rsid w:val="00881986"/>
    <w:rsid w:val="00881A13"/>
    <w:rsid w:val="00881A98"/>
    <w:rsid w:val="00881C4D"/>
    <w:rsid w:val="00881D4E"/>
    <w:rsid w:val="00881F29"/>
    <w:rsid w:val="0088216F"/>
    <w:rsid w:val="008821E4"/>
    <w:rsid w:val="008821F4"/>
    <w:rsid w:val="00882216"/>
    <w:rsid w:val="00882325"/>
    <w:rsid w:val="0088267C"/>
    <w:rsid w:val="00882763"/>
    <w:rsid w:val="008827BD"/>
    <w:rsid w:val="0088288D"/>
    <w:rsid w:val="0088298F"/>
    <w:rsid w:val="00882A1D"/>
    <w:rsid w:val="00882D13"/>
    <w:rsid w:val="00882D4B"/>
    <w:rsid w:val="00882F13"/>
    <w:rsid w:val="00883089"/>
    <w:rsid w:val="008831AA"/>
    <w:rsid w:val="008831C8"/>
    <w:rsid w:val="0088321A"/>
    <w:rsid w:val="0088331A"/>
    <w:rsid w:val="0088334D"/>
    <w:rsid w:val="00883562"/>
    <w:rsid w:val="008837D8"/>
    <w:rsid w:val="00883867"/>
    <w:rsid w:val="008838FF"/>
    <w:rsid w:val="008839E7"/>
    <w:rsid w:val="00883A55"/>
    <w:rsid w:val="00883AE1"/>
    <w:rsid w:val="00883BA2"/>
    <w:rsid w:val="00883C2A"/>
    <w:rsid w:val="00883D9E"/>
    <w:rsid w:val="00883DBE"/>
    <w:rsid w:val="00883E21"/>
    <w:rsid w:val="00883E2E"/>
    <w:rsid w:val="00883EA2"/>
    <w:rsid w:val="0088402D"/>
    <w:rsid w:val="008844BB"/>
    <w:rsid w:val="0088450F"/>
    <w:rsid w:val="0088457B"/>
    <w:rsid w:val="00884676"/>
    <w:rsid w:val="008849B4"/>
    <w:rsid w:val="00884A3A"/>
    <w:rsid w:val="00884B77"/>
    <w:rsid w:val="00884C4F"/>
    <w:rsid w:val="00884FEA"/>
    <w:rsid w:val="008850E4"/>
    <w:rsid w:val="0088512D"/>
    <w:rsid w:val="008851E5"/>
    <w:rsid w:val="008852ED"/>
    <w:rsid w:val="00885343"/>
    <w:rsid w:val="00885363"/>
    <w:rsid w:val="0088536D"/>
    <w:rsid w:val="008853AB"/>
    <w:rsid w:val="00885529"/>
    <w:rsid w:val="0088579A"/>
    <w:rsid w:val="00885BB0"/>
    <w:rsid w:val="00885BCE"/>
    <w:rsid w:val="00885C44"/>
    <w:rsid w:val="00885E39"/>
    <w:rsid w:val="00885FEB"/>
    <w:rsid w:val="00886012"/>
    <w:rsid w:val="0088613C"/>
    <w:rsid w:val="008861AD"/>
    <w:rsid w:val="008861BE"/>
    <w:rsid w:val="008861E8"/>
    <w:rsid w:val="008862B9"/>
    <w:rsid w:val="008862FB"/>
    <w:rsid w:val="008863DA"/>
    <w:rsid w:val="008863F9"/>
    <w:rsid w:val="00886453"/>
    <w:rsid w:val="0088653C"/>
    <w:rsid w:val="008866A9"/>
    <w:rsid w:val="00886709"/>
    <w:rsid w:val="00886725"/>
    <w:rsid w:val="0088687E"/>
    <w:rsid w:val="0088689D"/>
    <w:rsid w:val="008868A1"/>
    <w:rsid w:val="00886A16"/>
    <w:rsid w:val="00886AC0"/>
    <w:rsid w:val="00886C4B"/>
    <w:rsid w:val="00886C61"/>
    <w:rsid w:val="00886C8B"/>
    <w:rsid w:val="00886DA7"/>
    <w:rsid w:val="00886E02"/>
    <w:rsid w:val="00886E37"/>
    <w:rsid w:val="00886E3E"/>
    <w:rsid w:val="00886E6F"/>
    <w:rsid w:val="00887008"/>
    <w:rsid w:val="008871BE"/>
    <w:rsid w:val="008871E0"/>
    <w:rsid w:val="0088728A"/>
    <w:rsid w:val="0088733B"/>
    <w:rsid w:val="008873DB"/>
    <w:rsid w:val="008873EA"/>
    <w:rsid w:val="008874AC"/>
    <w:rsid w:val="00887654"/>
    <w:rsid w:val="008877A9"/>
    <w:rsid w:val="008877BD"/>
    <w:rsid w:val="0088783C"/>
    <w:rsid w:val="008878AD"/>
    <w:rsid w:val="00887B10"/>
    <w:rsid w:val="00887B7D"/>
    <w:rsid w:val="00887C1A"/>
    <w:rsid w:val="00887C95"/>
    <w:rsid w:val="00887EAA"/>
    <w:rsid w:val="00887FC4"/>
    <w:rsid w:val="00890198"/>
    <w:rsid w:val="008901C9"/>
    <w:rsid w:val="00890248"/>
    <w:rsid w:val="0089086A"/>
    <w:rsid w:val="00890929"/>
    <w:rsid w:val="008909E2"/>
    <w:rsid w:val="008909F7"/>
    <w:rsid w:val="00890A51"/>
    <w:rsid w:val="00890C06"/>
    <w:rsid w:val="00890C24"/>
    <w:rsid w:val="00890D93"/>
    <w:rsid w:val="00891245"/>
    <w:rsid w:val="00891351"/>
    <w:rsid w:val="008913DA"/>
    <w:rsid w:val="008914BF"/>
    <w:rsid w:val="008915B8"/>
    <w:rsid w:val="00891626"/>
    <w:rsid w:val="008916CB"/>
    <w:rsid w:val="008916CD"/>
    <w:rsid w:val="00891732"/>
    <w:rsid w:val="0089178A"/>
    <w:rsid w:val="0089179B"/>
    <w:rsid w:val="0089187A"/>
    <w:rsid w:val="008919AB"/>
    <w:rsid w:val="008919D7"/>
    <w:rsid w:val="00891A2F"/>
    <w:rsid w:val="00891FAD"/>
    <w:rsid w:val="00891FD8"/>
    <w:rsid w:val="00892171"/>
    <w:rsid w:val="008926C9"/>
    <w:rsid w:val="008926DE"/>
    <w:rsid w:val="00892892"/>
    <w:rsid w:val="00892B39"/>
    <w:rsid w:val="00892C69"/>
    <w:rsid w:val="00892CC2"/>
    <w:rsid w:val="00892DD1"/>
    <w:rsid w:val="00892DD7"/>
    <w:rsid w:val="00892E14"/>
    <w:rsid w:val="00892FCA"/>
    <w:rsid w:val="00893021"/>
    <w:rsid w:val="008930F1"/>
    <w:rsid w:val="00893176"/>
    <w:rsid w:val="00893295"/>
    <w:rsid w:val="008933AD"/>
    <w:rsid w:val="0089341C"/>
    <w:rsid w:val="0089350A"/>
    <w:rsid w:val="0089362E"/>
    <w:rsid w:val="00893775"/>
    <w:rsid w:val="008939E7"/>
    <w:rsid w:val="00893AF1"/>
    <w:rsid w:val="00893B13"/>
    <w:rsid w:val="00893B7F"/>
    <w:rsid w:val="00893C81"/>
    <w:rsid w:val="00893DAB"/>
    <w:rsid w:val="00893DBF"/>
    <w:rsid w:val="008940FD"/>
    <w:rsid w:val="00894215"/>
    <w:rsid w:val="00894244"/>
    <w:rsid w:val="0089424C"/>
    <w:rsid w:val="00894288"/>
    <w:rsid w:val="00894314"/>
    <w:rsid w:val="00894318"/>
    <w:rsid w:val="0089447E"/>
    <w:rsid w:val="008944DA"/>
    <w:rsid w:val="00894599"/>
    <w:rsid w:val="00894864"/>
    <w:rsid w:val="008949A2"/>
    <w:rsid w:val="00894A91"/>
    <w:rsid w:val="00894A9F"/>
    <w:rsid w:val="00894B45"/>
    <w:rsid w:val="00894DB5"/>
    <w:rsid w:val="00894E7A"/>
    <w:rsid w:val="00894F1B"/>
    <w:rsid w:val="00895080"/>
    <w:rsid w:val="0089516B"/>
    <w:rsid w:val="00895248"/>
    <w:rsid w:val="0089535E"/>
    <w:rsid w:val="008953AF"/>
    <w:rsid w:val="0089551D"/>
    <w:rsid w:val="008955DF"/>
    <w:rsid w:val="008956C2"/>
    <w:rsid w:val="0089570C"/>
    <w:rsid w:val="00895880"/>
    <w:rsid w:val="008959A8"/>
    <w:rsid w:val="00895CF8"/>
    <w:rsid w:val="00895D61"/>
    <w:rsid w:val="0089600D"/>
    <w:rsid w:val="008961C4"/>
    <w:rsid w:val="00896243"/>
    <w:rsid w:val="00896313"/>
    <w:rsid w:val="0089637D"/>
    <w:rsid w:val="008963EE"/>
    <w:rsid w:val="008963FF"/>
    <w:rsid w:val="00896456"/>
    <w:rsid w:val="008964D2"/>
    <w:rsid w:val="008964FB"/>
    <w:rsid w:val="00896626"/>
    <w:rsid w:val="0089665A"/>
    <w:rsid w:val="00896720"/>
    <w:rsid w:val="00896792"/>
    <w:rsid w:val="0089683B"/>
    <w:rsid w:val="00896870"/>
    <w:rsid w:val="00896AAC"/>
    <w:rsid w:val="00896D27"/>
    <w:rsid w:val="00896DCB"/>
    <w:rsid w:val="00896F76"/>
    <w:rsid w:val="00897069"/>
    <w:rsid w:val="00897071"/>
    <w:rsid w:val="0089715B"/>
    <w:rsid w:val="008971A8"/>
    <w:rsid w:val="00897386"/>
    <w:rsid w:val="00897527"/>
    <w:rsid w:val="0089761B"/>
    <w:rsid w:val="00897CC6"/>
    <w:rsid w:val="00897CE0"/>
    <w:rsid w:val="00897FAD"/>
    <w:rsid w:val="00899D69"/>
    <w:rsid w:val="0089F49A"/>
    <w:rsid w:val="008A0002"/>
    <w:rsid w:val="008A0208"/>
    <w:rsid w:val="008A024F"/>
    <w:rsid w:val="008A04BF"/>
    <w:rsid w:val="008A05FA"/>
    <w:rsid w:val="008A05FF"/>
    <w:rsid w:val="008A06A1"/>
    <w:rsid w:val="008A09B6"/>
    <w:rsid w:val="008A0AB4"/>
    <w:rsid w:val="008A0B30"/>
    <w:rsid w:val="008A0C37"/>
    <w:rsid w:val="008A0C84"/>
    <w:rsid w:val="008A0F47"/>
    <w:rsid w:val="008A109D"/>
    <w:rsid w:val="008A1290"/>
    <w:rsid w:val="008A159E"/>
    <w:rsid w:val="008A17B2"/>
    <w:rsid w:val="008A18B3"/>
    <w:rsid w:val="008A19DF"/>
    <w:rsid w:val="008A19EE"/>
    <w:rsid w:val="008A1A0C"/>
    <w:rsid w:val="008A1A69"/>
    <w:rsid w:val="008A1D81"/>
    <w:rsid w:val="008A1E79"/>
    <w:rsid w:val="008A1FD6"/>
    <w:rsid w:val="008A2028"/>
    <w:rsid w:val="008A203C"/>
    <w:rsid w:val="008A2434"/>
    <w:rsid w:val="008A243D"/>
    <w:rsid w:val="008A25EE"/>
    <w:rsid w:val="008A266F"/>
    <w:rsid w:val="008A26B0"/>
    <w:rsid w:val="008A286B"/>
    <w:rsid w:val="008A294E"/>
    <w:rsid w:val="008A29E8"/>
    <w:rsid w:val="008A2AC0"/>
    <w:rsid w:val="008A2F32"/>
    <w:rsid w:val="008A2F8D"/>
    <w:rsid w:val="008A31C1"/>
    <w:rsid w:val="008A32E3"/>
    <w:rsid w:val="008A32E5"/>
    <w:rsid w:val="008A3328"/>
    <w:rsid w:val="008A3403"/>
    <w:rsid w:val="008A3461"/>
    <w:rsid w:val="008A3557"/>
    <w:rsid w:val="008A35A2"/>
    <w:rsid w:val="008A362B"/>
    <w:rsid w:val="008A368F"/>
    <w:rsid w:val="008A370A"/>
    <w:rsid w:val="008A3862"/>
    <w:rsid w:val="008A390C"/>
    <w:rsid w:val="008A393D"/>
    <w:rsid w:val="008A3A37"/>
    <w:rsid w:val="008A3B2F"/>
    <w:rsid w:val="008A3B41"/>
    <w:rsid w:val="008A3ED4"/>
    <w:rsid w:val="008A3F21"/>
    <w:rsid w:val="008A3F7B"/>
    <w:rsid w:val="008A42B5"/>
    <w:rsid w:val="008A43DF"/>
    <w:rsid w:val="008A4510"/>
    <w:rsid w:val="008A479D"/>
    <w:rsid w:val="008A4BAE"/>
    <w:rsid w:val="008A4C7E"/>
    <w:rsid w:val="008A4E80"/>
    <w:rsid w:val="008A4F6D"/>
    <w:rsid w:val="008A5095"/>
    <w:rsid w:val="008A5100"/>
    <w:rsid w:val="008A51D7"/>
    <w:rsid w:val="008A51EB"/>
    <w:rsid w:val="008A5294"/>
    <w:rsid w:val="008A5374"/>
    <w:rsid w:val="008A5408"/>
    <w:rsid w:val="008A5412"/>
    <w:rsid w:val="008A55F4"/>
    <w:rsid w:val="008A5744"/>
    <w:rsid w:val="008A5862"/>
    <w:rsid w:val="008A59B1"/>
    <w:rsid w:val="008A5A11"/>
    <w:rsid w:val="008A5A8E"/>
    <w:rsid w:val="008A5B05"/>
    <w:rsid w:val="008A5D40"/>
    <w:rsid w:val="008A5DAC"/>
    <w:rsid w:val="008A5E29"/>
    <w:rsid w:val="008A5F16"/>
    <w:rsid w:val="008A5FEE"/>
    <w:rsid w:val="008A6234"/>
    <w:rsid w:val="008A643F"/>
    <w:rsid w:val="008A6510"/>
    <w:rsid w:val="008A6552"/>
    <w:rsid w:val="008A6587"/>
    <w:rsid w:val="008A66AA"/>
    <w:rsid w:val="008A67E7"/>
    <w:rsid w:val="008A6836"/>
    <w:rsid w:val="008A6ABB"/>
    <w:rsid w:val="008A6B72"/>
    <w:rsid w:val="008A6D7F"/>
    <w:rsid w:val="008A6E43"/>
    <w:rsid w:val="008A6ECB"/>
    <w:rsid w:val="008A6EE9"/>
    <w:rsid w:val="008A6F6A"/>
    <w:rsid w:val="008A728D"/>
    <w:rsid w:val="008A7331"/>
    <w:rsid w:val="008A7350"/>
    <w:rsid w:val="008A73E0"/>
    <w:rsid w:val="008A74E2"/>
    <w:rsid w:val="008A759D"/>
    <w:rsid w:val="008A76A0"/>
    <w:rsid w:val="008A76E6"/>
    <w:rsid w:val="008A7993"/>
    <w:rsid w:val="008A79F7"/>
    <w:rsid w:val="008A7A21"/>
    <w:rsid w:val="008A7ABA"/>
    <w:rsid w:val="008A7D5B"/>
    <w:rsid w:val="008A7DB7"/>
    <w:rsid w:val="008A7DE8"/>
    <w:rsid w:val="008A7FCC"/>
    <w:rsid w:val="008A7FEF"/>
    <w:rsid w:val="008B00BD"/>
    <w:rsid w:val="008B01AA"/>
    <w:rsid w:val="008B01E2"/>
    <w:rsid w:val="008B045E"/>
    <w:rsid w:val="008B0500"/>
    <w:rsid w:val="008B0614"/>
    <w:rsid w:val="008B07B7"/>
    <w:rsid w:val="008B091F"/>
    <w:rsid w:val="008B09B9"/>
    <w:rsid w:val="008B0B38"/>
    <w:rsid w:val="008B0B41"/>
    <w:rsid w:val="008B0B93"/>
    <w:rsid w:val="008B0B94"/>
    <w:rsid w:val="008B0BE3"/>
    <w:rsid w:val="008B0CE1"/>
    <w:rsid w:val="008B0E11"/>
    <w:rsid w:val="008B0E5D"/>
    <w:rsid w:val="008B0E75"/>
    <w:rsid w:val="008B0EB3"/>
    <w:rsid w:val="008B0EDD"/>
    <w:rsid w:val="008B0F9E"/>
    <w:rsid w:val="008B1021"/>
    <w:rsid w:val="008B1086"/>
    <w:rsid w:val="008B1203"/>
    <w:rsid w:val="008B123B"/>
    <w:rsid w:val="008B12CB"/>
    <w:rsid w:val="008B1390"/>
    <w:rsid w:val="008B13CD"/>
    <w:rsid w:val="008B14E6"/>
    <w:rsid w:val="008B1797"/>
    <w:rsid w:val="008B17C7"/>
    <w:rsid w:val="008B19DC"/>
    <w:rsid w:val="008B1A45"/>
    <w:rsid w:val="008B1A6A"/>
    <w:rsid w:val="008B1BFD"/>
    <w:rsid w:val="008B1D19"/>
    <w:rsid w:val="008B1DC9"/>
    <w:rsid w:val="008B1E81"/>
    <w:rsid w:val="008B1E98"/>
    <w:rsid w:val="008B20FA"/>
    <w:rsid w:val="008B2193"/>
    <w:rsid w:val="008B2402"/>
    <w:rsid w:val="008B2474"/>
    <w:rsid w:val="008B24FE"/>
    <w:rsid w:val="008B2729"/>
    <w:rsid w:val="008B2750"/>
    <w:rsid w:val="008B27A1"/>
    <w:rsid w:val="008B28A1"/>
    <w:rsid w:val="008B2968"/>
    <w:rsid w:val="008B2A86"/>
    <w:rsid w:val="008B2B70"/>
    <w:rsid w:val="008B2C0D"/>
    <w:rsid w:val="008B2C1B"/>
    <w:rsid w:val="008B2C94"/>
    <w:rsid w:val="008B2E16"/>
    <w:rsid w:val="008B2F76"/>
    <w:rsid w:val="008B300B"/>
    <w:rsid w:val="008B30EE"/>
    <w:rsid w:val="008B3228"/>
    <w:rsid w:val="008B32E4"/>
    <w:rsid w:val="008B3534"/>
    <w:rsid w:val="008B35C5"/>
    <w:rsid w:val="008B3631"/>
    <w:rsid w:val="008B36E4"/>
    <w:rsid w:val="008B3769"/>
    <w:rsid w:val="008B3887"/>
    <w:rsid w:val="008B39F0"/>
    <w:rsid w:val="008B3A6F"/>
    <w:rsid w:val="008B3B2A"/>
    <w:rsid w:val="008B4032"/>
    <w:rsid w:val="008B4140"/>
    <w:rsid w:val="008B417E"/>
    <w:rsid w:val="008B42A3"/>
    <w:rsid w:val="008B4330"/>
    <w:rsid w:val="008B43FB"/>
    <w:rsid w:val="008B4408"/>
    <w:rsid w:val="008B4479"/>
    <w:rsid w:val="008B44B7"/>
    <w:rsid w:val="008B44B8"/>
    <w:rsid w:val="008B453C"/>
    <w:rsid w:val="008B45D2"/>
    <w:rsid w:val="008B46C9"/>
    <w:rsid w:val="008B47E5"/>
    <w:rsid w:val="008B4A28"/>
    <w:rsid w:val="008B4AC9"/>
    <w:rsid w:val="008B4AD6"/>
    <w:rsid w:val="008B4B46"/>
    <w:rsid w:val="008B4BAD"/>
    <w:rsid w:val="008B4C3D"/>
    <w:rsid w:val="008B4EC3"/>
    <w:rsid w:val="008B4F1C"/>
    <w:rsid w:val="008B4F8C"/>
    <w:rsid w:val="008B4FFD"/>
    <w:rsid w:val="008B50C0"/>
    <w:rsid w:val="008B5194"/>
    <w:rsid w:val="008B5445"/>
    <w:rsid w:val="008B55E2"/>
    <w:rsid w:val="008B565C"/>
    <w:rsid w:val="008B567B"/>
    <w:rsid w:val="008B5724"/>
    <w:rsid w:val="008B57C9"/>
    <w:rsid w:val="008B58F2"/>
    <w:rsid w:val="008B5968"/>
    <w:rsid w:val="008B5CAE"/>
    <w:rsid w:val="008B5DFA"/>
    <w:rsid w:val="008B5E27"/>
    <w:rsid w:val="008B5FFA"/>
    <w:rsid w:val="008B602B"/>
    <w:rsid w:val="008B62ED"/>
    <w:rsid w:val="008B6463"/>
    <w:rsid w:val="008B651F"/>
    <w:rsid w:val="008B65C2"/>
    <w:rsid w:val="008B662C"/>
    <w:rsid w:val="008B66BC"/>
    <w:rsid w:val="008B6742"/>
    <w:rsid w:val="008B687C"/>
    <w:rsid w:val="008B6882"/>
    <w:rsid w:val="008B6ABB"/>
    <w:rsid w:val="008B6B71"/>
    <w:rsid w:val="008B6BC8"/>
    <w:rsid w:val="008B6BCF"/>
    <w:rsid w:val="008B6CAF"/>
    <w:rsid w:val="008B6DF8"/>
    <w:rsid w:val="008B7132"/>
    <w:rsid w:val="008B7173"/>
    <w:rsid w:val="008B7322"/>
    <w:rsid w:val="008B7447"/>
    <w:rsid w:val="008B747E"/>
    <w:rsid w:val="008B7513"/>
    <w:rsid w:val="008B756A"/>
    <w:rsid w:val="008B7572"/>
    <w:rsid w:val="008B7690"/>
    <w:rsid w:val="008B7739"/>
    <w:rsid w:val="008B7830"/>
    <w:rsid w:val="008B7938"/>
    <w:rsid w:val="008B7967"/>
    <w:rsid w:val="008B79FC"/>
    <w:rsid w:val="008B7A80"/>
    <w:rsid w:val="008B7A94"/>
    <w:rsid w:val="008B7B82"/>
    <w:rsid w:val="008B7BD8"/>
    <w:rsid w:val="008B7C17"/>
    <w:rsid w:val="008B7C7A"/>
    <w:rsid w:val="008B7D17"/>
    <w:rsid w:val="008B7E5F"/>
    <w:rsid w:val="008B7ECF"/>
    <w:rsid w:val="008C007D"/>
    <w:rsid w:val="008C027E"/>
    <w:rsid w:val="008C02A9"/>
    <w:rsid w:val="008C0347"/>
    <w:rsid w:val="008C044A"/>
    <w:rsid w:val="008C0531"/>
    <w:rsid w:val="008C0674"/>
    <w:rsid w:val="008C085F"/>
    <w:rsid w:val="008C0888"/>
    <w:rsid w:val="008C0B9C"/>
    <w:rsid w:val="008C0C09"/>
    <w:rsid w:val="008C0CE1"/>
    <w:rsid w:val="008C0D32"/>
    <w:rsid w:val="008C0D68"/>
    <w:rsid w:val="008C0EDD"/>
    <w:rsid w:val="008C0EF9"/>
    <w:rsid w:val="008C101D"/>
    <w:rsid w:val="008C11A0"/>
    <w:rsid w:val="008C11BF"/>
    <w:rsid w:val="008C13F0"/>
    <w:rsid w:val="008C1572"/>
    <w:rsid w:val="008C15DD"/>
    <w:rsid w:val="008C1666"/>
    <w:rsid w:val="008C177B"/>
    <w:rsid w:val="008C17F2"/>
    <w:rsid w:val="008C1976"/>
    <w:rsid w:val="008C1A42"/>
    <w:rsid w:val="008C1B85"/>
    <w:rsid w:val="008C1C1F"/>
    <w:rsid w:val="008C1D71"/>
    <w:rsid w:val="008C1E3C"/>
    <w:rsid w:val="008C1EC3"/>
    <w:rsid w:val="008C1F36"/>
    <w:rsid w:val="008C20A0"/>
    <w:rsid w:val="008C22CD"/>
    <w:rsid w:val="008C241D"/>
    <w:rsid w:val="008C26F2"/>
    <w:rsid w:val="008C2814"/>
    <w:rsid w:val="008C291F"/>
    <w:rsid w:val="008C2B77"/>
    <w:rsid w:val="008C2DE1"/>
    <w:rsid w:val="008C2F5B"/>
    <w:rsid w:val="008C3117"/>
    <w:rsid w:val="008C315E"/>
    <w:rsid w:val="008C31BE"/>
    <w:rsid w:val="008C31F7"/>
    <w:rsid w:val="008C328B"/>
    <w:rsid w:val="008C334C"/>
    <w:rsid w:val="008C34B7"/>
    <w:rsid w:val="008C3542"/>
    <w:rsid w:val="008C35BD"/>
    <w:rsid w:val="008C3681"/>
    <w:rsid w:val="008C368C"/>
    <w:rsid w:val="008C37C1"/>
    <w:rsid w:val="008C3812"/>
    <w:rsid w:val="008C391B"/>
    <w:rsid w:val="008C3B5B"/>
    <w:rsid w:val="008C3D43"/>
    <w:rsid w:val="008C408E"/>
    <w:rsid w:val="008C40F7"/>
    <w:rsid w:val="008C413D"/>
    <w:rsid w:val="008C4171"/>
    <w:rsid w:val="008C430A"/>
    <w:rsid w:val="008C452C"/>
    <w:rsid w:val="008C4565"/>
    <w:rsid w:val="008C4594"/>
    <w:rsid w:val="008C4681"/>
    <w:rsid w:val="008C46C1"/>
    <w:rsid w:val="008C4745"/>
    <w:rsid w:val="008C475E"/>
    <w:rsid w:val="008C4768"/>
    <w:rsid w:val="008C4857"/>
    <w:rsid w:val="008C4B3A"/>
    <w:rsid w:val="008C4F36"/>
    <w:rsid w:val="008C4F8F"/>
    <w:rsid w:val="008C50F6"/>
    <w:rsid w:val="008C529B"/>
    <w:rsid w:val="008C5583"/>
    <w:rsid w:val="008C55ED"/>
    <w:rsid w:val="008C560A"/>
    <w:rsid w:val="008C56CE"/>
    <w:rsid w:val="008C59B5"/>
    <w:rsid w:val="008C5A33"/>
    <w:rsid w:val="008C5D20"/>
    <w:rsid w:val="008C5D8B"/>
    <w:rsid w:val="008C5E67"/>
    <w:rsid w:val="008C612A"/>
    <w:rsid w:val="008C62F3"/>
    <w:rsid w:val="008C6466"/>
    <w:rsid w:val="008C64D9"/>
    <w:rsid w:val="008C655F"/>
    <w:rsid w:val="008C6605"/>
    <w:rsid w:val="008C6613"/>
    <w:rsid w:val="008C672F"/>
    <w:rsid w:val="008C67E5"/>
    <w:rsid w:val="008C6872"/>
    <w:rsid w:val="008C6AC9"/>
    <w:rsid w:val="008C6BB6"/>
    <w:rsid w:val="008C6D40"/>
    <w:rsid w:val="008C6E17"/>
    <w:rsid w:val="008C6E27"/>
    <w:rsid w:val="008C6FE7"/>
    <w:rsid w:val="008C70A8"/>
    <w:rsid w:val="008C70BD"/>
    <w:rsid w:val="008C72B1"/>
    <w:rsid w:val="008C72C1"/>
    <w:rsid w:val="008C7340"/>
    <w:rsid w:val="008C738C"/>
    <w:rsid w:val="008C73E5"/>
    <w:rsid w:val="008C74E3"/>
    <w:rsid w:val="008C78C3"/>
    <w:rsid w:val="008C7A39"/>
    <w:rsid w:val="008C7A4C"/>
    <w:rsid w:val="008C7EED"/>
    <w:rsid w:val="008C7F0F"/>
    <w:rsid w:val="008C7FC2"/>
    <w:rsid w:val="008D005A"/>
    <w:rsid w:val="008D00EB"/>
    <w:rsid w:val="008D02BB"/>
    <w:rsid w:val="008D037E"/>
    <w:rsid w:val="008D0494"/>
    <w:rsid w:val="008D05A1"/>
    <w:rsid w:val="008D06D4"/>
    <w:rsid w:val="008D08BF"/>
    <w:rsid w:val="008D09EE"/>
    <w:rsid w:val="008D0A74"/>
    <w:rsid w:val="008D0B6B"/>
    <w:rsid w:val="008D0BD1"/>
    <w:rsid w:val="008D0DA4"/>
    <w:rsid w:val="008D0E52"/>
    <w:rsid w:val="008D0E64"/>
    <w:rsid w:val="008D0E9C"/>
    <w:rsid w:val="008D0F1F"/>
    <w:rsid w:val="008D10F2"/>
    <w:rsid w:val="008D11E4"/>
    <w:rsid w:val="008D15A9"/>
    <w:rsid w:val="008D1641"/>
    <w:rsid w:val="008D176C"/>
    <w:rsid w:val="008D1A16"/>
    <w:rsid w:val="008D1A90"/>
    <w:rsid w:val="008D1B00"/>
    <w:rsid w:val="008D1C68"/>
    <w:rsid w:val="008D1CBC"/>
    <w:rsid w:val="008D1CD3"/>
    <w:rsid w:val="008D1FD8"/>
    <w:rsid w:val="008D1FE7"/>
    <w:rsid w:val="008D1FEB"/>
    <w:rsid w:val="008D20EB"/>
    <w:rsid w:val="008D2135"/>
    <w:rsid w:val="008D228C"/>
    <w:rsid w:val="008D22B9"/>
    <w:rsid w:val="008D22D4"/>
    <w:rsid w:val="008D22E3"/>
    <w:rsid w:val="008D235C"/>
    <w:rsid w:val="008D2447"/>
    <w:rsid w:val="008D246D"/>
    <w:rsid w:val="008D25E0"/>
    <w:rsid w:val="008D2A45"/>
    <w:rsid w:val="008D2AAF"/>
    <w:rsid w:val="008D2CC2"/>
    <w:rsid w:val="008D2D3E"/>
    <w:rsid w:val="008D2DFF"/>
    <w:rsid w:val="008D2EF8"/>
    <w:rsid w:val="008D3167"/>
    <w:rsid w:val="008D330D"/>
    <w:rsid w:val="008D345E"/>
    <w:rsid w:val="008D34DA"/>
    <w:rsid w:val="008D3563"/>
    <w:rsid w:val="008D375E"/>
    <w:rsid w:val="008D381F"/>
    <w:rsid w:val="008D39FD"/>
    <w:rsid w:val="008D3E07"/>
    <w:rsid w:val="008D3FD7"/>
    <w:rsid w:val="008D41A7"/>
    <w:rsid w:val="008D4223"/>
    <w:rsid w:val="008D42CE"/>
    <w:rsid w:val="008D4366"/>
    <w:rsid w:val="008D4381"/>
    <w:rsid w:val="008D4490"/>
    <w:rsid w:val="008D4560"/>
    <w:rsid w:val="008D486C"/>
    <w:rsid w:val="008D4A9F"/>
    <w:rsid w:val="008D4B86"/>
    <w:rsid w:val="008D4BA4"/>
    <w:rsid w:val="008D4CE3"/>
    <w:rsid w:val="008D4D5C"/>
    <w:rsid w:val="008D51C0"/>
    <w:rsid w:val="008D51D7"/>
    <w:rsid w:val="008D52D0"/>
    <w:rsid w:val="008D5578"/>
    <w:rsid w:val="008D55D5"/>
    <w:rsid w:val="008D5724"/>
    <w:rsid w:val="008D5784"/>
    <w:rsid w:val="008D5A26"/>
    <w:rsid w:val="008D5AFD"/>
    <w:rsid w:val="008D5E35"/>
    <w:rsid w:val="008D5ECC"/>
    <w:rsid w:val="008D5F10"/>
    <w:rsid w:val="008D6087"/>
    <w:rsid w:val="008D6119"/>
    <w:rsid w:val="008D6269"/>
    <w:rsid w:val="008D634C"/>
    <w:rsid w:val="008D650E"/>
    <w:rsid w:val="008D656F"/>
    <w:rsid w:val="008D658C"/>
    <w:rsid w:val="008D691D"/>
    <w:rsid w:val="008D6995"/>
    <w:rsid w:val="008D6BEF"/>
    <w:rsid w:val="008D6C5D"/>
    <w:rsid w:val="008D6C72"/>
    <w:rsid w:val="008D6EFF"/>
    <w:rsid w:val="008D6F29"/>
    <w:rsid w:val="008D7135"/>
    <w:rsid w:val="008D7175"/>
    <w:rsid w:val="008D71E7"/>
    <w:rsid w:val="008D739C"/>
    <w:rsid w:val="008D7476"/>
    <w:rsid w:val="008D753B"/>
    <w:rsid w:val="008D7541"/>
    <w:rsid w:val="008D75D2"/>
    <w:rsid w:val="008D77F8"/>
    <w:rsid w:val="008D781E"/>
    <w:rsid w:val="008D7926"/>
    <w:rsid w:val="008D794C"/>
    <w:rsid w:val="008D7F7A"/>
    <w:rsid w:val="008E0010"/>
    <w:rsid w:val="008E00C4"/>
    <w:rsid w:val="008E0110"/>
    <w:rsid w:val="008E0199"/>
    <w:rsid w:val="008E01F0"/>
    <w:rsid w:val="008E0242"/>
    <w:rsid w:val="008E0351"/>
    <w:rsid w:val="008E0447"/>
    <w:rsid w:val="008E056F"/>
    <w:rsid w:val="008E05E5"/>
    <w:rsid w:val="008E0670"/>
    <w:rsid w:val="008E07CA"/>
    <w:rsid w:val="008E0837"/>
    <w:rsid w:val="008E0AD7"/>
    <w:rsid w:val="008E0AEE"/>
    <w:rsid w:val="008E0C47"/>
    <w:rsid w:val="008E0C9B"/>
    <w:rsid w:val="008E0D17"/>
    <w:rsid w:val="008E0D3A"/>
    <w:rsid w:val="008E0DE2"/>
    <w:rsid w:val="008E0F09"/>
    <w:rsid w:val="008E0FFE"/>
    <w:rsid w:val="008E1088"/>
    <w:rsid w:val="008E10F8"/>
    <w:rsid w:val="008E137F"/>
    <w:rsid w:val="008E13BD"/>
    <w:rsid w:val="008E147A"/>
    <w:rsid w:val="008E14FF"/>
    <w:rsid w:val="008E1701"/>
    <w:rsid w:val="008E18A0"/>
    <w:rsid w:val="008E1A4E"/>
    <w:rsid w:val="008E1B63"/>
    <w:rsid w:val="008E1DB0"/>
    <w:rsid w:val="008E200D"/>
    <w:rsid w:val="008E2054"/>
    <w:rsid w:val="008E2108"/>
    <w:rsid w:val="008E2131"/>
    <w:rsid w:val="008E21A7"/>
    <w:rsid w:val="008E21DD"/>
    <w:rsid w:val="008E22BB"/>
    <w:rsid w:val="008E2615"/>
    <w:rsid w:val="008E2661"/>
    <w:rsid w:val="008E2796"/>
    <w:rsid w:val="008E27C2"/>
    <w:rsid w:val="008E28C6"/>
    <w:rsid w:val="008E2A22"/>
    <w:rsid w:val="008E2B61"/>
    <w:rsid w:val="008E2C69"/>
    <w:rsid w:val="008E2F18"/>
    <w:rsid w:val="008E2FBE"/>
    <w:rsid w:val="008E2FE9"/>
    <w:rsid w:val="008E303C"/>
    <w:rsid w:val="008E3132"/>
    <w:rsid w:val="008E32C4"/>
    <w:rsid w:val="008E3634"/>
    <w:rsid w:val="008E371E"/>
    <w:rsid w:val="008E374D"/>
    <w:rsid w:val="008E3797"/>
    <w:rsid w:val="008E37AD"/>
    <w:rsid w:val="008E3803"/>
    <w:rsid w:val="008E3861"/>
    <w:rsid w:val="008E387A"/>
    <w:rsid w:val="008E397E"/>
    <w:rsid w:val="008E3AD9"/>
    <w:rsid w:val="008E3AEB"/>
    <w:rsid w:val="008E3B7C"/>
    <w:rsid w:val="008E3D1C"/>
    <w:rsid w:val="008E3FDA"/>
    <w:rsid w:val="008E416F"/>
    <w:rsid w:val="008E421E"/>
    <w:rsid w:val="008E4251"/>
    <w:rsid w:val="008E42D0"/>
    <w:rsid w:val="008E44F0"/>
    <w:rsid w:val="008E450F"/>
    <w:rsid w:val="008E45DE"/>
    <w:rsid w:val="008E4848"/>
    <w:rsid w:val="008E49FD"/>
    <w:rsid w:val="008E4C09"/>
    <w:rsid w:val="008E4CE4"/>
    <w:rsid w:val="008E4CE9"/>
    <w:rsid w:val="008E4E38"/>
    <w:rsid w:val="008E4E59"/>
    <w:rsid w:val="008E5001"/>
    <w:rsid w:val="008E50AB"/>
    <w:rsid w:val="008E5299"/>
    <w:rsid w:val="008E5592"/>
    <w:rsid w:val="008E57BE"/>
    <w:rsid w:val="008E57E5"/>
    <w:rsid w:val="008E5A02"/>
    <w:rsid w:val="008E5A12"/>
    <w:rsid w:val="008E5A45"/>
    <w:rsid w:val="008E5ADA"/>
    <w:rsid w:val="008E5B5A"/>
    <w:rsid w:val="008E5B76"/>
    <w:rsid w:val="008E5BD8"/>
    <w:rsid w:val="008E5CA4"/>
    <w:rsid w:val="008E5EC1"/>
    <w:rsid w:val="008E601B"/>
    <w:rsid w:val="008E6063"/>
    <w:rsid w:val="008E60C3"/>
    <w:rsid w:val="008E61C2"/>
    <w:rsid w:val="008E62B3"/>
    <w:rsid w:val="008E634E"/>
    <w:rsid w:val="008E6383"/>
    <w:rsid w:val="008E6424"/>
    <w:rsid w:val="008E6505"/>
    <w:rsid w:val="008E6598"/>
    <w:rsid w:val="008E69BD"/>
    <w:rsid w:val="008E69C5"/>
    <w:rsid w:val="008E6AC7"/>
    <w:rsid w:val="008E6B0B"/>
    <w:rsid w:val="008E6BBC"/>
    <w:rsid w:val="008E6C93"/>
    <w:rsid w:val="008E6CAA"/>
    <w:rsid w:val="008E6FE5"/>
    <w:rsid w:val="008E7004"/>
    <w:rsid w:val="008E7062"/>
    <w:rsid w:val="008E70B1"/>
    <w:rsid w:val="008E712F"/>
    <w:rsid w:val="008E732E"/>
    <w:rsid w:val="008E737D"/>
    <w:rsid w:val="008E74C6"/>
    <w:rsid w:val="008E7505"/>
    <w:rsid w:val="008E75D4"/>
    <w:rsid w:val="008E75F4"/>
    <w:rsid w:val="008E7654"/>
    <w:rsid w:val="008E76B5"/>
    <w:rsid w:val="008E7772"/>
    <w:rsid w:val="008E7B35"/>
    <w:rsid w:val="008E7C5E"/>
    <w:rsid w:val="008E7D04"/>
    <w:rsid w:val="008E7DE6"/>
    <w:rsid w:val="008F0050"/>
    <w:rsid w:val="008F00C3"/>
    <w:rsid w:val="008F0132"/>
    <w:rsid w:val="008F03F8"/>
    <w:rsid w:val="008F05B5"/>
    <w:rsid w:val="008F05E9"/>
    <w:rsid w:val="008F05FC"/>
    <w:rsid w:val="008F0772"/>
    <w:rsid w:val="008F08D1"/>
    <w:rsid w:val="008F093E"/>
    <w:rsid w:val="008F095C"/>
    <w:rsid w:val="008F0A66"/>
    <w:rsid w:val="008F0C2D"/>
    <w:rsid w:val="008F0CC7"/>
    <w:rsid w:val="008F0D3D"/>
    <w:rsid w:val="008F0E07"/>
    <w:rsid w:val="008F0EA1"/>
    <w:rsid w:val="008F0FBC"/>
    <w:rsid w:val="008F111F"/>
    <w:rsid w:val="008F1135"/>
    <w:rsid w:val="008F132F"/>
    <w:rsid w:val="008F133C"/>
    <w:rsid w:val="008F1376"/>
    <w:rsid w:val="008F14AF"/>
    <w:rsid w:val="008F14BB"/>
    <w:rsid w:val="008F1506"/>
    <w:rsid w:val="008F18A0"/>
    <w:rsid w:val="008F192C"/>
    <w:rsid w:val="008F197B"/>
    <w:rsid w:val="008F1A3A"/>
    <w:rsid w:val="008F1ACD"/>
    <w:rsid w:val="008F1BA1"/>
    <w:rsid w:val="008F1D0C"/>
    <w:rsid w:val="008F1D23"/>
    <w:rsid w:val="008F1D3F"/>
    <w:rsid w:val="008F1F30"/>
    <w:rsid w:val="008F1FEF"/>
    <w:rsid w:val="008F2068"/>
    <w:rsid w:val="008F23A8"/>
    <w:rsid w:val="008F26D0"/>
    <w:rsid w:val="008F2841"/>
    <w:rsid w:val="008F28D0"/>
    <w:rsid w:val="008F293C"/>
    <w:rsid w:val="008F2993"/>
    <w:rsid w:val="008F2A21"/>
    <w:rsid w:val="008F2C18"/>
    <w:rsid w:val="008F2D38"/>
    <w:rsid w:val="008F2D76"/>
    <w:rsid w:val="008F2F71"/>
    <w:rsid w:val="008F3120"/>
    <w:rsid w:val="008F31D8"/>
    <w:rsid w:val="008F335B"/>
    <w:rsid w:val="008F35A9"/>
    <w:rsid w:val="008F393C"/>
    <w:rsid w:val="008F39FA"/>
    <w:rsid w:val="008F3C0C"/>
    <w:rsid w:val="008F3DF7"/>
    <w:rsid w:val="008F3E8E"/>
    <w:rsid w:val="008F3FBA"/>
    <w:rsid w:val="008F4023"/>
    <w:rsid w:val="008F4150"/>
    <w:rsid w:val="008F42C5"/>
    <w:rsid w:val="008F4593"/>
    <w:rsid w:val="008F487D"/>
    <w:rsid w:val="008F4A2B"/>
    <w:rsid w:val="008F4CF4"/>
    <w:rsid w:val="008F51A1"/>
    <w:rsid w:val="008F521B"/>
    <w:rsid w:val="008F52F2"/>
    <w:rsid w:val="008F5302"/>
    <w:rsid w:val="008F5441"/>
    <w:rsid w:val="008F5464"/>
    <w:rsid w:val="008F57BC"/>
    <w:rsid w:val="008F58D8"/>
    <w:rsid w:val="008F5AB1"/>
    <w:rsid w:val="008F5B84"/>
    <w:rsid w:val="008F5E11"/>
    <w:rsid w:val="008F5F2A"/>
    <w:rsid w:val="008F5FB2"/>
    <w:rsid w:val="008F5FF0"/>
    <w:rsid w:val="008F6245"/>
    <w:rsid w:val="008F62E3"/>
    <w:rsid w:val="008F6337"/>
    <w:rsid w:val="008F6356"/>
    <w:rsid w:val="008F63B4"/>
    <w:rsid w:val="008F63B6"/>
    <w:rsid w:val="008F645A"/>
    <w:rsid w:val="008F659F"/>
    <w:rsid w:val="008F669D"/>
    <w:rsid w:val="008F67C9"/>
    <w:rsid w:val="008F67EA"/>
    <w:rsid w:val="008F684C"/>
    <w:rsid w:val="008F688E"/>
    <w:rsid w:val="008F69D1"/>
    <w:rsid w:val="008F69FA"/>
    <w:rsid w:val="008F6A2E"/>
    <w:rsid w:val="008F6BF3"/>
    <w:rsid w:val="008F6C07"/>
    <w:rsid w:val="008F6D25"/>
    <w:rsid w:val="008F6D68"/>
    <w:rsid w:val="008F6D72"/>
    <w:rsid w:val="008F6F8D"/>
    <w:rsid w:val="008F6F8E"/>
    <w:rsid w:val="008F6FC4"/>
    <w:rsid w:val="008F6FC6"/>
    <w:rsid w:val="008F7407"/>
    <w:rsid w:val="008F7528"/>
    <w:rsid w:val="008F753C"/>
    <w:rsid w:val="008F753F"/>
    <w:rsid w:val="008F77D9"/>
    <w:rsid w:val="008F78C4"/>
    <w:rsid w:val="008F78DD"/>
    <w:rsid w:val="008F7905"/>
    <w:rsid w:val="008F7906"/>
    <w:rsid w:val="008F7AC8"/>
    <w:rsid w:val="008F7B65"/>
    <w:rsid w:val="008F7B9E"/>
    <w:rsid w:val="008F7DF5"/>
    <w:rsid w:val="008F7E8C"/>
    <w:rsid w:val="00900100"/>
    <w:rsid w:val="00900177"/>
    <w:rsid w:val="00900328"/>
    <w:rsid w:val="009005B0"/>
    <w:rsid w:val="00900629"/>
    <w:rsid w:val="00900689"/>
    <w:rsid w:val="009006F4"/>
    <w:rsid w:val="0090075C"/>
    <w:rsid w:val="00900806"/>
    <w:rsid w:val="009009A9"/>
    <w:rsid w:val="00900AA3"/>
    <w:rsid w:val="00900AE7"/>
    <w:rsid w:val="00900B91"/>
    <w:rsid w:val="00900BDE"/>
    <w:rsid w:val="00900E4A"/>
    <w:rsid w:val="00900EC2"/>
    <w:rsid w:val="00900F22"/>
    <w:rsid w:val="00900F4D"/>
    <w:rsid w:val="00900FF4"/>
    <w:rsid w:val="00901160"/>
    <w:rsid w:val="00901251"/>
    <w:rsid w:val="009013DA"/>
    <w:rsid w:val="00901611"/>
    <w:rsid w:val="00901697"/>
    <w:rsid w:val="009016C2"/>
    <w:rsid w:val="009016CE"/>
    <w:rsid w:val="00901720"/>
    <w:rsid w:val="009017C9"/>
    <w:rsid w:val="009017E2"/>
    <w:rsid w:val="0090183D"/>
    <w:rsid w:val="00901ACB"/>
    <w:rsid w:val="00901CD6"/>
    <w:rsid w:val="00901D04"/>
    <w:rsid w:val="00901DB5"/>
    <w:rsid w:val="00901E91"/>
    <w:rsid w:val="00901F96"/>
    <w:rsid w:val="00902169"/>
    <w:rsid w:val="009022F5"/>
    <w:rsid w:val="00902421"/>
    <w:rsid w:val="0090246E"/>
    <w:rsid w:val="00902552"/>
    <w:rsid w:val="009027C7"/>
    <w:rsid w:val="00902885"/>
    <w:rsid w:val="009029A6"/>
    <w:rsid w:val="00902C81"/>
    <w:rsid w:val="00902E36"/>
    <w:rsid w:val="00902FB0"/>
    <w:rsid w:val="00903186"/>
    <w:rsid w:val="009031D2"/>
    <w:rsid w:val="009033DD"/>
    <w:rsid w:val="00903567"/>
    <w:rsid w:val="00903691"/>
    <w:rsid w:val="009036F1"/>
    <w:rsid w:val="00903848"/>
    <w:rsid w:val="00903899"/>
    <w:rsid w:val="00903A89"/>
    <w:rsid w:val="00903AF9"/>
    <w:rsid w:val="00903B53"/>
    <w:rsid w:val="00903E46"/>
    <w:rsid w:val="00903E72"/>
    <w:rsid w:val="00903F28"/>
    <w:rsid w:val="00903F9D"/>
    <w:rsid w:val="0090406C"/>
    <w:rsid w:val="00904297"/>
    <w:rsid w:val="009042B4"/>
    <w:rsid w:val="0090446A"/>
    <w:rsid w:val="009044BE"/>
    <w:rsid w:val="0090454B"/>
    <w:rsid w:val="009046EC"/>
    <w:rsid w:val="00904700"/>
    <w:rsid w:val="0090490C"/>
    <w:rsid w:val="009049B2"/>
    <w:rsid w:val="00904C6F"/>
    <w:rsid w:val="00904CD9"/>
    <w:rsid w:val="00904ED0"/>
    <w:rsid w:val="00904F04"/>
    <w:rsid w:val="009050A4"/>
    <w:rsid w:val="00905156"/>
    <w:rsid w:val="00905167"/>
    <w:rsid w:val="0090516E"/>
    <w:rsid w:val="009052B4"/>
    <w:rsid w:val="009052B5"/>
    <w:rsid w:val="009052C5"/>
    <w:rsid w:val="00905310"/>
    <w:rsid w:val="00905316"/>
    <w:rsid w:val="00905509"/>
    <w:rsid w:val="00905632"/>
    <w:rsid w:val="009056E2"/>
    <w:rsid w:val="00905822"/>
    <w:rsid w:val="00905886"/>
    <w:rsid w:val="009059AA"/>
    <w:rsid w:val="00905A77"/>
    <w:rsid w:val="00905C79"/>
    <w:rsid w:val="00905D60"/>
    <w:rsid w:val="00905DDE"/>
    <w:rsid w:val="00905E37"/>
    <w:rsid w:val="00905E93"/>
    <w:rsid w:val="00905F0D"/>
    <w:rsid w:val="00906097"/>
    <w:rsid w:val="0090613F"/>
    <w:rsid w:val="00906206"/>
    <w:rsid w:val="009062B4"/>
    <w:rsid w:val="009063F2"/>
    <w:rsid w:val="00906813"/>
    <w:rsid w:val="009068CE"/>
    <w:rsid w:val="00906BA0"/>
    <w:rsid w:val="00906C3A"/>
    <w:rsid w:val="00906C89"/>
    <w:rsid w:val="00906D1C"/>
    <w:rsid w:val="00906F1C"/>
    <w:rsid w:val="00906F60"/>
    <w:rsid w:val="00906F7A"/>
    <w:rsid w:val="0090701C"/>
    <w:rsid w:val="0090711C"/>
    <w:rsid w:val="00907174"/>
    <w:rsid w:val="009073D1"/>
    <w:rsid w:val="009075BA"/>
    <w:rsid w:val="009075D8"/>
    <w:rsid w:val="00907617"/>
    <w:rsid w:val="0090769F"/>
    <w:rsid w:val="009077CF"/>
    <w:rsid w:val="00907A80"/>
    <w:rsid w:val="00907E7E"/>
    <w:rsid w:val="00907F61"/>
    <w:rsid w:val="00910004"/>
    <w:rsid w:val="00910007"/>
    <w:rsid w:val="00910130"/>
    <w:rsid w:val="009101A6"/>
    <w:rsid w:val="0091021B"/>
    <w:rsid w:val="00910392"/>
    <w:rsid w:val="009107F7"/>
    <w:rsid w:val="00910918"/>
    <w:rsid w:val="00910957"/>
    <w:rsid w:val="0091097D"/>
    <w:rsid w:val="00910BD1"/>
    <w:rsid w:val="00910C84"/>
    <w:rsid w:val="00910D21"/>
    <w:rsid w:val="00910D22"/>
    <w:rsid w:val="00910E0C"/>
    <w:rsid w:val="00910E99"/>
    <w:rsid w:val="00910F4F"/>
    <w:rsid w:val="00910FCF"/>
    <w:rsid w:val="009110FB"/>
    <w:rsid w:val="00911231"/>
    <w:rsid w:val="009112D2"/>
    <w:rsid w:val="00911315"/>
    <w:rsid w:val="0091138B"/>
    <w:rsid w:val="00911423"/>
    <w:rsid w:val="00911447"/>
    <w:rsid w:val="009114B3"/>
    <w:rsid w:val="0091165E"/>
    <w:rsid w:val="00911744"/>
    <w:rsid w:val="0091179B"/>
    <w:rsid w:val="00911A5A"/>
    <w:rsid w:val="00911D6C"/>
    <w:rsid w:val="00911F4E"/>
    <w:rsid w:val="009121AA"/>
    <w:rsid w:val="009122D0"/>
    <w:rsid w:val="009122EE"/>
    <w:rsid w:val="0091234D"/>
    <w:rsid w:val="00912457"/>
    <w:rsid w:val="00912485"/>
    <w:rsid w:val="00912559"/>
    <w:rsid w:val="00912571"/>
    <w:rsid w:val="0091265B"/>
    <w:rsid w:val="009126BA"/>
    <w:rsid w:val="00912720"/>
    <w:rsid w:val="0091295A"/>
    <w:rsid w:val="009129E1"/>
    <w:rsid w:val="00912A30"/>
    <w:rsid w:val="00912B20"/>
    <w:rsid w:val="00912BFA"/>
    <w:rsid w:val="00912C94"/>
    <w:rsid w:val="00912D46"/>
    <w:rsid w:val="00912D84"/>
    <w:rsid w:val="00912DA2"/>
    <w:rsid w:val="00912DCD"/>
    <w:rsid w:val="00912E7B"/>
    <w:rsid w:val="00912E82"/>
    <w:rsid w:val="00913150"/>
    <w:rsid w:val="009132B3"/>
    <w:rsid w:val="00913401"/>
    <w:rsid w:val="00913436"/>
    <w:rsid w:val="009134BD"/>
    <w:rsid w:val="0091360D"/>
    <w:rsid w:val="009138E9"/>
    <w:rsid w:val="00913920"/>
    <w:rsid w:val="00913E54"/>
    <w:rsid w:val="00913FE8"/>
    <w:rsid w:val="00914126"/>
    <w:rsid w:val="00914137"/>
    <w:rsid w:val="009143B5"/>
    <w:rsid w:val="009143C3"/>
    <w:rsid w:val="00914487"/>
    <w:rsid w:val="00914710"/>
    <w:rsid w:val="0091491C"/>
    <w:rsid w:val="009149E6"/>
    <w:rsid w:val="00914AF7"/>
    <w:rsid w:val="00914E5D"/>
    <w:rsid w:val="00914EA7"/>
    <w:rsid w:val="00915070"/>
    <w:rsid w:val="009150AE"/>
    <w:rsid w:val="00915224"/>
    <w:rsid w:val="00915385"/>
    <w:rsid w:val="009153B2"/>
    <w:rsid w:val="009153D5"/>
    <w:rsid w:val="0091554D"/>
    <w:rsid w:val="0091558B"/>
    <w:rsid w:val="009155A5"/>
    <w:rsid w:val="00915689"/>
    <w:rsid w:val="009157C6"/>
    <w:rsid w:val="009157EF"/>
    <w:rsid w:val="00915975"/>
    <w:rsid w:val="009159F3"/>
    <w:rsid w:val="00915A35"/>
    <w:rsid w:val="00915CF6"/>
    <w:rsid w:val="00915E5E"/>
    <w:rsid w:val="00916016"/>
    <w:rsid w:val="00916020"/>
    <w:rsid w:val="009160E6"/>
    <w:rsid w:val="00916138"/>
    <w:rsid w:val="00916300"/>
    <w:rsid w:val="00916382"/>
    <w:rsid w:val="00916575"/>
    <w:rsid w:val="009165F8"/>
    <w:rsid w:val="0091680E"/>
    <w:rsid w:val="00916952"/>
    <w:rsid w:val="009169E2"/>
    <w:rsid w:val="00916C9B"/>
    <w:rsid w:val="00916F42"/>
    <w:rsid w:val="00916F74"/>
    <w:rsid w:val="0091702F"/>
    <w:rsid w:val="00917400"/>
    <w:rsid w:val="009174FE"/>
    <w:rsid w:val="00917573"/>
    <w:rsid w:val="0091763B"/>
    <w:rsid w:val="00917700"/>
    <w:rsid w:val="00917765"/>
    <w:rsid w:val="00917AD7"/>
    <w:rsid w:val="00917CF7"/>
    <w:rsid w:val="00917D61"/>
    <w:rsid w:val="00917FE6"/>
    <w:rsid w:val="009200A4"/>
    <w:rsid w:val="0092016C"/>
    <w:rsid w:val="0092018E"/>
    <w:rsid w:val="009201D3"/>
    <w:rsid w:val="0092027C"/>
    <w:rsid w:val="009203C3"/>
    <w:rsid w:val="0092042C"/>
    <w:rsid w:val="009204EB"/>
    <w:rsid w:val="00920708"/>
    <w:rsid w:val="0092075A"/>
    <w:rsid w:val="0092087B"/>
    <w:rsid w:val="0092088A"/>
    <w:rsid w:val="00920926"/>
    <w:rsid w:val="00920A5C"/>
    <w:rsid w:val="00920AD7"/>
    <w:rsid w:val="00920B11"/>
    <w:rsid w:val="00920CA3"/>
    <w:rsid w:val="00920CA7"/>
    <w:rsid w:val="009210FC"/>
    <w:rsid w:val="00921200"/>
    <w:rsid w:val="00921221"/>
    <w:rsid w:val="009212E6"/>
    <w:rsid w:val="0092160C"/>
    <w:rsid w:val="0092185F"/>
    <w:rsid w:val="009218E0"/>
    <w:rsid w:val="0092193C"/>
    <w:rsid w:val="009219F4"/>
    <w:rsid w:val="00921A96"/>
    <w:rsid w:val="00921BC8"/>
    <w:rsid w:val="00921BD9"/>
    <w:rsid w:val="00921F97"/>
    <w:rsid w:val="00921FA0"/>
    <w:rsid w:val="0092213C"/>
    <w:rsid w:val="0092220E"/>
    <w:rsid w:val="009222F4"/>
    <w:rsid w:val="00922443"/>
    <w:rsid w:val="00922475"/>
    <w:rsid w:val="009224F0"/>
    <w:rsid w:val="00922594"/>
    <w:rsid w:val="0092262E"/>
    <w:rsid w:val="009227B3"/>
    <w:rsid w:val="0092283D"/>
    <w:rsid w:val="00922848"/>
    <w:rsid w:val="009228B9"/>
    <w:rsid w:val="009229C9"/>
    <w:rsid w:val="00922A11"/>
    <w:rsid w:val="00922B73"/>
    <w:rsid w:val="00922D37"/>
    <w:rsid w:val="00922E25"/>
    <w:rsid w:val="00923107"/>
    <w:rsid w:val="00923193"/>
    <w:rsid w:val="0092336D"/>
    <w:rsid w:val="00923516"/>
    <w:rsid w:val="00923B46"/>
    <w:rsid w:val="00923B8A"/>
    <w:rsid w:val="00923D3A"/>
    <w:rsid w:val="00923DAE"/>
    <w:rsid w:val="00923EA3"/>
    <w:rsid w:val="00923F80"/>
    <w:rsid w:val="009240B0"/>
    <w:rsid w:val="009241F5"/>
    <w:rsid w:val="00924230"/>
    <w:rsid w:val="00924543"/>
    <w:rsid w:val="00924566"/>
    <w:rsid w:val="00924690"/>
    <w:rsid w:val="0092480E"/>
    <w:rsid w:val="00924A67"/>
    <w:rsid w:val="00924C3F"/>
    <w:rsid w:val="00924CD8"/>
    <w:rsid w:val="00924D43"/>
    <w:rsid w:val="00924DBE"/>
    <w:rsid w:val="00924E9F"/>
    <w:rsid w:val="00924EA1"/>
    <w:rsid w:val="009250EC"/>
    <w:rsid w:val="009251D2"/>
    <w:rsid w:val="00925225"/>
    <w:rsid w:val="00925230"/>
    <w:rsid w:val="00925314"/>
    <w:rsid w:val="00925379"/>
    <w:rsid w:val="009255A3"/>
    <w:rsid w:val="00925609"/>
    <w:rsid w:val="009256CA"/>
    <w:rsid w:val="00925A5B"/>
    <w:rsid w:val="00925B67"/>
    <w:rsid w:val="00925CA4"/>
    <w:rsid w:val="00925EBA"/>
    <w:rsid w:val="009260A5"/>
    <w:rsid w:val="00926332"/>
    <w:rsid w:val="009263ED"/>
    <w:rsid w:val="009265B4"/>
    <w:rsid w:val="0092673A"/>
    <w:rsid w:val="009267E2"/>
    <w:rsid w:val="0092682D"/>
    <w:rsid w:val="009268AA"/>
    <w:rsid w:val="009268B4"/>
    <w:rsid w:val="009268C2"/>
    <w:rsid w:val="00926936"/>
    <w:rsid w:val="0092699F"/>
    <w:rsid w:val="00926A08"/>
    <w:rsid w:val="00926A43"/>
    <w:rsid w:val="00926CDA"/>
    <w:rsid w:val="00926D71"/>
    <w:rsid w:val="00926FE0"/>
    <w:rsid w:val="00927086"/>
    <w:rsid w:val="0092712E"/>
    <w:rsid w:val="0092713B"/>
    <w:rsid w:val="00927169"/>
    <w:rsid w:val="0092747D"/>
    <w:rsid w:val="009274F5"/>
    <w:rsid w:val="00927554"/>
    <w:rsid w:val="00927596"/>
    <w:rsid w:val="00927628"/>
    <w:rsid w:val="00927776"/>
    <w:rsid w:val="00927958"/>
    <w:rsid w:val="00927AFF"/>
    <w:rsid w:val="00927C11"/>
    <w:rsid w:val="00927C48"/>
    <w:rsid w:val="00927F55"/>
    <w:rsid w:val="00927FAD"/>
    <w:rsid w:val="0092F62F"/>
    <w:rsid w:val="00930137"/>
    <w:rsid w:val="0093019F"/>
    <w:rsid w:val="009302C2"/>
    <w:rsid w:val="009302D7"/>
    <w:rsid w:val="009302E4"/>
    <w:rsid w:val="0093030C"/>
    <w:rsid w:val="00930342"/>
    <w:rsid w:val="0093053A"/>
    <w:rsid w:val="00930769"/>
    <w:rsid w:val="0093098F"/>
    <w:rsid w:val="00930AB0"/>
    <w:rsid w:val="00930ABF"/>
    <w:rsid w:val="00930BCC"/>
    <w:rsid w:val="00930C5F"/>
    <w:rsid w:val="00930CE2"/>
    <w:rsid w:val="00930DD1"/>
    <w:rsid w:val="00930F2E"/>
    <w:rsid w:val="00930F8C"/>
    <w:rsid w:val="00930F9A"/>
    <w:rsid w:val="00930FB3"/>
    <w:rsid w:val="00930FB8"/>
    <w:rsid w:val="0093106C"/>
    <w:rsid w:val="00931089"/>
    <w:rsid w:val="009313B6"/>
    <w:rsid w:val="0093165D"/>
    <w:rsid w:val="009316D2"/>
    <w:rsid w:val="009316FA"/>
    <w:rsid w:val="0093172E"/>
    <w:rsid w:val="009319A0"/>
    <w:rsid w:val="00931A8F"/>
    <w:rsid w:val="00931B8D"/>
    <w:rsid w:val="00931C8B"/>
    <w:rsid w:val="00931FF2"/>
    <w:rsid w:val="00932138"/>
    <w:rsid w:val="00932143"/>
    <w:rsid w:val="00932174"/>
    <w:rsid w:val="0093220D"/>
    <w:rsid w:val="00932258"/>
    <w:rsid w:val="009323AD"/>
    <w:rsid w:val="009323C0"/>
    <w:rsid w:val="009324A4"/>
    <w:rsid w:val="009324E7"/>
    <w:rsid w:val="009324F1"/>
    <w:rsid w:val="00932782"/>
    <w:rsid w:val="00932786"/>
    <w:rsid w:val="009328BC"/>
    <w:rsid w:val="009328F6"/>
    <w:rsid w:val="00932CB9"/>
    <w:rsid w:val="00933012"/>
    <w:rsid w:val="00933032"/>
    <w:rsid w:val="00933264"/>
    <w:rsid w:val="0093337B"/>
    <w:rsid w:val="009333D8"/>
    <w:rsid w:val="0093349D"/>
    <w:rsid w:val="00933583"/>
    <w:rsid w:val="009336DE"/>
    <w:rsid w:val="009337D7"/>
    <w:rsid w:val="00933800"/>
    <w:rsid w:val="00933960"/>
    <w:rsid w:val="00933AD4"/>
    <w:rsid w:val="00933B7D"/>
    <w:rsid w:val="00933BCD"/>
    <w:rsid w:val="00933D42"/>
    <w:rsid w:val="00933E51"/>
    <w:rsid w:val="00933E5A"/>
    <w:rsid w:val="00933E5B"/>
    <w:rsid w:val="00933E7C"/>
    <w:rsid w:val="00933F7C"/>
    <w:rsid w:val="00934107"/>
    <w:rsid w:val="00934338"/>
    <w:rsid w:val="009344E5"/>
    <w:rsid w:val="0093455F"/>
    <w:rsid w:val="00934590"/>
    <w:rsid w:val="0093460E"/>
    <w:rsid w:val="00934697"/>
    <w:rsid w:val="00934741"/>
    <w:rsid w:val="00934802"/>
    <w:rsid w:val="00934840"/>
    <w:rsid w:val="00934889"/>
    <w:rsid w:val="009349F6"/>
    <w:rsid w:val="00934A32"/>
    <w:rsid w:val="00934A82"/>
    <w:rsid w:val="00934B47"/>
    <w:rsid w:val="00934CF7"/>
    <w:rsid w:val="00934E0B"/>
    <w:rsid w:val="00934E59"/>
    <w:rsid w:val="00934F77"/>
    <w:rsid w:val="00934FE2"/>
    <w:rsid w:val="00934FF3"/>
    <w:rsid w:val="00935062"/>
    <w:rsid w:val="00935415"/>
    <w:rsid w:val="00935502"/>
    <w:rsid w:val="00935506"/>
    <w:rsid w:val="00935592"/>
    <w:rsid w:val="0093560C"/>
    <w:rsid w:val="0093591E"/>
    <w:rsid w:val="009359CC"/>
    <w:rsid w:val="009359E0"/>
    <w:rsid w:val="00935BB6"/>
    <w:rsid w:val="00935DF3"/>
    <w:rsid w:val="00935FBD"/>
    <w:rsid w:val="009363AB"/>
    <w:rsid w:val="00936400"/>
    <w:rsid w:val="009365D0"/>
    <w:rsid w:val="00936845"/>
    <w:rsid w:val="00936880"/>
    <w:rsid w:val="009368C7"/>
    <w:rsid w:val="009369A6"/>
    <w:rsid w:val="00936A9D"/>
    <w:rsid w:val="00936C11"/>
    <w:rsid w:val="00936C57"/>
    <w:rsid w:val="00936C7E"/>
    <w:rsid w:val="00936CB0"/>
    <w:rsid w:val="00936DD1"/>
    <w:rsid w:val="00936E14"/>
    <w:rsid w:val="00936F3C"/>
    <w:rsid w:val="0093701B"/>
    <w:rsid w:val="0093715D"/>
    <w:rsid w:val="009371C8"/>
    <w:rsid w:val="0093726A"/>
    <w:rsid w:val="0093731E"/>
    <w:rsid w:val="0093738B"/>
    <w:rsid w:val="0093762E"/>
    <w:rsid w:val="009376BF"/>
    <w:rsid w:val="0093774E"/>
    <w:rsid w:val="0093775F"/>
    <w:rsid w:val="009377C9"/>
    <w:rsid w:val="009377D4"/>
    <w:rsid w:val="00937B3A"/>
    <w:rsid w:val="00937B51"/>
    <w:rsid w:val="00937C6A"/>
    <w:rsid w:val="00937CD5"/>
    <w:rsid w:val="00937D66"/>
    <w:rsid w:val="00937E4B"/>
    <w:rsid w:val="00937EA9"/>
    <w:rsid w:val="00937FD0"/>
    <w:rsid w:val="009401FB"/>
    <w:rsid w:val="00940346"/>
    <w:rsid w:val="0094036B"/>
    <w:rsid w:val="00940438"/>
    <w:rsid w:val="0094049C"/>
    <w:rsid w:val="0094064B"/>
    <w:rsid w:val="00940652"/>
    <w:rsid w:val="00940697"/>
    <w:rsid w:val="00940761"/>
    <w:rsid w:val="00940799"/>
    <w:rsid w:val="0094084A"/>
    <w:rsid w:val="00940874"/>
    <w:rsid w:val="009409A0"/>
    <w:rsid w:val="009409F1"/>
    <w:rsid w:val="00940ADB"/>
    <w:rsid w:val="00940B6B"/>
    <w:rsid w:val="00940C96"/>
    <w:rsid w:val="00940D17"/>
    <w:rsid w:val="00940E52"/>
    <w:rsid w:val="00940E62"/>
    <w:rsid w:val="009410DB"/>
    <w:rsid w:val="00941189"/>
    <w:rsid w:val="0094118A"/>
    <w:rsid w:val="009412D5"/>
    <w:rsid w:val="00941373"/>
    <w:rsid w:val="009416A9"/>
    <w:rsid w:val="0094170F"/>
    <w:rsid w:val="00941902"/>
    <w:rsid w:val="00941911"/>
    <w:rsid w:val="009419DB"/>
    <w:rsid w:val="00941ADC"/>
    <w:rsid w:val="00941AF9"/>
    <w:rsid w:val="00941E6A"/>
    <w:rsid w:val="00941F83"/>
    <w:rsid w:val="00942054"/>
    <w:rsid w:val="00942086"/>
    <w:rsid w:val="00942160"/>
    <w:rsid w:val="009421ED"/>
    <w:rsid w:val="009423B9"/>
    <w:rsid w:val="009424E3"/>
    <w:rsid w:val="009425D1"/>
    <w:rsid w:val="0094268F"/>
    <w:rsid w:val="009426B8"/>
    <w:rsid w:val="009426F1"/>
    <w:rsid w:val="009429CC"/>
    <w:rsid w:val="009429D0"/>
    <w:rsid w:val="00942CAE"/>
    <w:rsid w:val="00943018"/>
    <w:rsid w:val="009430E3"/>
    <w:rsid w:val="0094336E"/>
    <w:rsid w:val="009434C9"/>
    <w:rsid w:val="0094358F"/>
    <w:rsid w:val="00943711"/>
    <w:rsid w:val="00943880"/>
    <w:rsid w:val="0094395C"/>
    <w:rsid w:val="00943A90"/>
    <w:rsid w:val="00943B62"/>
    <w:rsid w:val="00943C39"/>
    <w:rsid w:val="00943CB1"/>
    <w:rsid w:val="00943DEB"/>
    <w:rsid w:val="00943E6C"/>
    <w:rsid w:val="00943F6E"/>
    <w:rsid w:val="009440FA"/>
    <w:rsid w:val="00944113"/>
    <w:rsid w:val="00944122"/>
    <w:rsid w:val="00944219"/>
    <w:rsid w:val="009442D6"/>
    <w:rsid w:val="00944411"/>
    <w:rsid w:val="009444A9"/>
    <w:rsid w:val="009446B9"/>
    <w:rsid w:val="009446E6"/>
    <w:rsid w:val="00944743"/>
    <w:rsid w:val="00944983"/>
    <w:rsid w:val="009449C2"/>
    <w:rsid w:val="00944A8C"/>
    <w:rsid w:val="00944BA5"/>
    <w:rsid w:val="00944BD5"/>
    <w:rsid w:val="00944C46"/>
    <w:rsid w:val="00944C7E"/>
    <w:rsid w:val="00944C95"/>
    <w:rsid w:val="00944CA9"/>
    <w:rsid w:val="00944F57"/>
    <w:rsid w:val="00945009"/>
    <w:rsid w:val="00945031"/>
    <w:rsid w:val="0094505C"/>
    <w:rsid w:val="00945143"/>
    <w:rsid w:val="009452DE"/>
    <w:rsid w:val="0094539B"/>
    <w:rsid w:val="009453F1"/>
    <w:rsid w:val="009454E7"/>
    <w:rsid w:val="00945530"/>
    <w:rsid w:val="00945628"/>
    <w:rsid w:val="0094574B"/>
    <w:rsid w:val="00945B1A"/>
    <w:rsid w:val="00945B87"/>
    <w:rsid w:val="00945C54"/>
    <w:rsid w:val="00945CF3"/>
    <w:rsid w:val="00945E16"/>
    <w:rsid w:val="00945E1A"/>
    <w:rsid w:val="00946198"/>
    <w:rsid w:val="0094625D"/>
    <w:rsid w:val="009462C8"/>
    <w:rsid w:val="00946303"/>
    <w:rsid w:val="009463D9"/>
    <w:rsid w:val="00946404"/>
    <w:rsid w:val="00946798"/>
    <w:rsid w:val="00946888"/>
    <w:rsid w:val="009468F5"/>
    <w:rsid w:val="009468FC"/>
    <w:rsid w:val="009469EE"/>
    <w:rsid w:val="00946AE9"/>
    <w:rsid w:val="00946B77"/>
    <w:rsid w:val="00946B8B"/>
    <w:rsid w:val="00946BB1"/>
    <w:rsid w:val="00946BE9"/>
    <w:rsid w:val="00946C1A"/>
    <w:rsid w:val="00946D2D"/>
    <w:rsid w:val="00946EAD"/>
    <w:rsid w:val="00947045"/>
    <w:rsid w:val="0094706B"/>
    <w:rsid w:val="009471A5"/>
    <w:rsid w:val="0094757B"/>
    <w:rsid w:val="0094775D"/>
    <w:rsid w:val="00947797"/>
    <w:rsid w:val="00947815"/>
    <w:rsid w:val="009479C0"/>
    <w:rsid w:val="009479D6"/>
    <w:rsid w:val="00947A80"/>
    <w:rsid w:val="00947B48"/>
    <w:rsid w:val="00947B49"/>
    <w:rsid w:val="00947BB2"/>
    <w:rsid w:val="00947DAA"/>
    <w:rsid w:val="00947DE6"/>
    <w:rsid w:val="00947E34"/>
    <w:rsid w:val="00947E81"/>
    <w:rsid w:val="00947F4F"/>
    <w:rsid w:val="00947FAD"/>
    <w:rsid w:val="0095035D"/>
    <w:rsid w:val="00950375"/>
    <w:rsid w:val="009504B3"/>
    <w:rsid w:val="00950541"/>
    <w:rsid w:val="0095059B"/>
    <w:rsid w:val="009507F1"/>
    <w:rsid w:val="009507F5"/>
    <w:rsid w:val="0095081D"/>
    <w:rsid w:val="009509A0"/>
    <w:rsid w:val="00950A20"/>
    <w:rsid w:val="00950A8A"/>
    <w:rsid w:val="00950AF4"/>
    <w:rsid w:val="00950B47"/>
    <w:rsid w:val="00950B5B"/>
    <w:rsid w:val="00950EC6"/>
    <w:rsid w:val="0095112D"/>
    <w:rsid w:val="009511BB"/>
    <w:rsid w:val="00951231"/>
    <w:rsid w:val="009516D2"/>
    <w:rsid w:val="00951858"/>
    <w:rsid w:val="0095198D"/>
    <w:rsid w:val="00951B61"/>
    <w:rsid w:val="00951D56"/>
    <w:rsid w:val="0095208F"/>
    <w:rsid w:val="0095209B"/>
    <w:rsid w:val="009523AA"/>
    <w:rsid w:val="00952452"/>
    <w:rsid w:val="00952548"/>
    <w:rsid w:val="00952691"/>
    <w:rsid w:val="009527B7"/>
    <w:rsid w:val="00952962"/>
    <w:rsid w:val="00952976"/>
    <w:rsid w:val="00952994"/>
    <w:rsid w:val="00952ACF"/>
    <w:rsid w:val="00952B6A"/>
    <w:rsid w:val="00952C0E"/>
    <w:rsid w:val="00952C65"/>
    <w:rsid w:val="00952D5C"/>
    <w:rsid w:val="00952E1F"/>
    <w:rsid w:val="00952E5A"/>
    <w:rsid w:val="00952F62"/>
    <w:rsid w:val="00952FD4"/>
    <w:rsid w:val="009530D1"/>
    <w:rsid w:val="00953144"/>
    <w:rsid w:val="009533EC"/>
    <w:rsid w:val="00953547"/>
    <w:rsid w:val="00953793"/>
    <w:rsid w:val="0095381A"/>
    <w:rsid w:val="00953901"/>
    <w:rsid w:val="00953A65"/>
    <w:rsid w:val="00953B97"/>
    <w:rsid w:val="00953C4A"/>
    <w:rsid w:val="00953C91"/>
    <w:rsid w:val="00953D4C"/>
    <w:rsid w:val="00953D95"/>
    <w:rsid w:val="009540AD"/>
    <w:rsid w:val="00954109"/>
    <w:rsid w:val="00954232"/>
    <w:rsid w:val="00954338"/>
    <w:rsid w:val="009543EE"/>
    <w:rsid w:val="0095440A"/>
    <w:rsid w:val="009544A1"/>
    <w:rsid w:val="00954510"/>
    <w:rsid w:val="00954655"/>
    <w:rsid w:val="009546AE"/>
    <w:rsid w:val="009546FA"/>
    <w:rsid w:val="0095471C"/>
    <w:rsid w:val="00954962"/>
    <w:rsid w:val="00954965"/>
    <w:rsid w:val="00954AE9"/>
    <w:rsid w:val="00954B33"/>
    <w:rsid w:val="00954B50"/>
    <w:rsid w:val="00954C6A"/>
    <w:rsid w:val="00954D53"/>
    <w:rsid w:val="00954E1A"/>
    <w:rsid w:val="0095509B"/>
    <w:rsid w:val="00955125"/>
    <w:rsid w:val="009552A9"/>
    <w:rsid w:val="00955356"/>
    <w:rsid w:val="009553A3"/>
    <w:rsid w:val="0095573B"/>
    <w:rsid w:val="009558B6"/>
    <w:rsid w:val="0095591F"/>
    <w:rsid w:val="00955996"/>
    <w:rsid w:val="00955CD3"/>
    <w:rsid w:val="00955CE0"/>
    <w:rsid w:val="00955D33"/>
    <w:rsid w:val="00955DEF"/>
    <w:rsid w:val="00955EE4"/>
    <w:rsid w:val="00955F29"/>
    <w:rsid w:val="009561A9"/>
    <w:rsid w:val="009561F1"/>
    <w:rsid w:val="00956223"/>
    <w:rsid w:val="009562AA"/>
    <w:rsid w:val="009563C9"/>
    <w:rsid w:val="009563E2"/>
    <w:rsid w:val="009563EC"/>
    <w:rsid w:val="0095646F"/>
    <w:rsid w:val="00956515"/>
    <w:rsid w:val="0095669A"/>
    <w:rsid w:val="0095687B"/>
    <w:rsid w:val="00956997"/>
    <w:rsid w:val="00956B47"/>
    <w:rsid w:val="00956C33"/>
    <w:rsid w:val="00956ED5"/>
    <w:rsid w:val="00956F5D"/>
    <w:rsid w:val="00957034"/>
    <w:rsid w:val="0095713C"/>
    <w:rsid w:val="0095739C"/>
    <w:rsid w:val="00957886"/>
    <w:rsid w:val="00957A4B"/>
    <w:rsid w:val="00957BAD"/>
    <w:rsid w:val="00957C2F"/>
    <w:rsid w:val="00957C44"/>
    <w:rsid w:val="00957C9C"/>
    <w:rsid w:val="00957CFD"/>
    <w:rsid w:val="00957D9C"/>
    <w:rsid w:val="00957F23"/>
    <w:rsid w:val="00957FB6"/>
    <w:rsid w:val="009600D4"/>
    <w:rsid w:val="00960145"/>
    <w:rsid w:val="0096018D"/>
    <w:rsid w:val="00960323"/>
    <w:rsid w:val="0096036F"/>
    <w:rsid w:val="009604F5"/>
    <w:rsid w:val="00960650"/>
    <w:rsid w:val="0096086B"/>
    <w:rsid w:val="009608F3"/>
    <w:rsid w:val="009609CC"/>
    <w:rsid w:val="00960A23"/>
    <w:rsid w:val="00960A92"/>
    <w:rsid w:val="00960B1D"/>
    <w:rsid w:val="00960BA3"/>
    <w:rsid w:val="00960D0A"/>
    <w:rsid w:val="00960D8F"/>
    <w:rsid w:val="00960E06"/>
    <w:rsid w:val="00960EC5"/>
    <w:rsid w:val="00960EF8"/>
    <w:rsid w:val="00960FE6"/>
    <w:rsid w:val="009611BB"/>
    <w:rsid w:val="00961498"/>
    <w:rsid w:val="009616D4"/>
    <w:rsid w:val="00961868"/>
    <w:rsid w:val="009618CF"/>
    <w:rsid w:val="00961A32"/>
    <w:rsid w:val="00961AC9"/>
    <w:rsid w:val="00961B01"/>
    <w:rsid w:val="00961DC6"/>
    <w:rsid w:val="00961E36"/>
    <w:rsid w:val="00961E96"/>
    <w:rsid w:val="00962006"/>
    <w:rsid w:val="00962072"/>
    <w:rsid w:val="00962249"/>
    <w:rsid w:val="00962299"/>
    <w:rsid w:val="009624EF"/>
    <w:rsid w:val="0096271E"/>
    <w:rsid w:val="00962907"/>
    <w:rsid w:val="00962947"/>
    <w:rsid w:val="00962A3C"/>
    <w:rsid w:val="00962B2F"/>
    <w:rsid w:val="00962C69"/>
    <w:rsid w:val="00962D14"/>
    <w:rsid w:val="00962DE6"/>
    <w:rsid w:val="00962E49"/>
    <w:rsid w:val="009633F0"/>
    <w:rsid w:val="0096357B"/>
    <w:rsid w:val="009635B3"/>
    <w:rsid w:val="0096389B"/>
    <w:rsid w:val="00963977"/>
    <w:rsid w:val="00963A8B"/>
    <w:rsid w:val="00963BDF"/>
    <w:rsid w:val="00963C26"/>
    <w:rsid w:val="00963CBE"/>
    <w:rsid w:val="00963DC4"/>
    <w:rsid w:val="00963FB1"/>
    <w:rsid w:val="00964117"/>
    <w:rsid w:val="0096413D"/>
    <w:rsid w:val="00964246"/>
    <w:rsid w:val="00964283"/>
    <w:rsid w:val="00964382"/>
    <w:rsid w:val="009645CF"/>
    <w:rsid w:val="009647AB"/>
    <w:rsid w:val="00964B3E"/>
    <w:rsid w:val="00964C08"/>
    <w:rsid w:val="00964C6F"/>
    <w:rsid w:val="00964F4F"/>
    <w:rsid w:val="00964FBF"/>
    <w:rsid w:val="009650DA"/>
    <w:rsid w:val="00965393"/>
    <w:rsid w:val="009653C3"/>
    <w:rsid w:val="00965535"/>
    <w:rsid w:val="009655BB"/>
    <w:rsid w:val="00965749"/>
    <w:rsid w:val="009657AE"/>
    <w:rsid w:val="009657AF"/>
    <w:rsid w:val="009657BE"/>
    <w:rsid w:val="009658D1"/>
    <w:rsid w:val="009659C0"/>
    <w:rsid w:val="00965B94"/>
    <w:rsid w:val="00965C06"/>
    <w:rsid w:val="00965C7D"/>
    <w:rsid w:val="00965CA6"/>
    <w:rsid w:val="00965DA8"/>
    <w:rsid w:val="00965EB1"/>
    <w:rsid w:val="00965F2F"/>
    <w:rsid w:val="0096641B"/>
    <w:rsid w:val="00966446"/>
    <w:rsid w:val="0096644F"/>
    <w:rsid w:val="009665D6"/>
    <w:rsid w:val="00966661"/>
    <w:rsid w:val="009666F0"/>
    <w:rsid w:val="009668D9"/>
    <w:rsid w:val="00966BEB"/>
    <w:rsid w:val="00966E8E"/>
    <w:rsid w:val="00966E90"/>
    <w:rsid w:val="00966F71"/>
    <w:rsid w:val="0096703D"/>
    <w:rsid w:val="00967266"/>
    <w:rsid w:val="009672F2"/>
    <w:rsid w:val="0096737C"/>
    <w:rsid w:val="009673B0"/>
    <w:rsid w:val="0096740D"/>
    <w:rsid w:val="00967553"/>
    <w:rsid w:val="00967572"/>
    <w:rsid w:val="00967585"/>
    <w:rsid w:val="009675B4"/>
    <w:rsid w:val="009676CC"/>
    <w:rsid w:val="009676E8"/>
    <w:rsid w:val="00967738"/>
    <w:rsid w:val="009678BD"/>
    <w:rsid w:val="00967928"/>
    <w:rsid w:val="0096798E"/>
    <w:rsid w:val="00967A2A"/>
    <w:rsid w:val="00967A43"/>
    <w:rsid w:val="00967BA7"/>
    <w:rsid w:val="00967C65"/>
    <w:rsid w:val="00967DA2"/>
    <w:rsid w:val="00967E0D"/>
    <w:rsid w:val="0097001B"/>
    <w:rsid w:val="0097007C"/>
    <w:rsid w:val="00970235"/>
    <w:rsid w:val="009702CE"/>
    <w:rsid w:val="0097045E"/>
    <w:rsid w:val="009705B6"/>
    <w:rsid w:val="009705D5"/>
    <w:rsid w:val="009706DD"/>
    <w:rsid w:val="009707B6"/>
    <w:rsid w:val="00970A57"/>
    <w:rsid w:val="00970BA8"/>
    <w:rsid w:val="00970BE2"/>
    <w:rsid w:val="00970C33"/>
    <w:rsid w:val="0097107F"/>
    <w:rsid w:val="009711B2"/>
    <w:rsid w:val="00971206"/>
    <w:rsid w:val="00971255"/>
    <w:rsid w:val="0097131A"/>
    <w:rsid w:val="00971399"/>
    <w:rsid w:val="009713DD"/>
    <w:rsid w:val="00971501"/>
    <w:rsid w:val="00971648"/>
    <w:rsid w:val="0097171D"/>
    <w:rsid w:val="009717ED"/>
    <w:rsid w:val="009717F3"/>
    <w:rsid w:val="00971B3C"/>
    <w:rsid w:val="00971C23"/>
    <w:rsid w:val="00971DBA"/>
    <w:rsid w:val="00971DF9"/>
    <w:rsid w:val="00971E87"/>
    <w:rsid w:val="00971EB4"/>
    <w:rsid w:val="00972068"/>
    <w:rsid w:val="0097217A"/>
    <w:rsid w:val="0097222D"/>
    <w:rsid w:val="00972377"/>
    <w:rsid w:val="00972542"/>
    <w:rsid w:val="0097270E"/>
    <w:rsid w:val="00972889"/>
    <w:rsid w:val="009729E6"/>
    <w:rsid w:val="00972B6C"/>
    <w:rsid w:val="00972BF8"/>
    <w:rsid w:val="00972D95"/>
    <w:rsid w:val="00972E94"/>
    <w:rsid w:val="00973078"/>
    <w:rsid w:val="00973192"/>
    <w:rsid w:val="009733AD"/>
    <w:rsid w:val="009733E5"/>
    <w:rsid w:val="0097354E"/>
    <w:rsid w:val="009737D9"/>
    <w:rsid w:val="00973B52"/>
    <w:rsid w:val="00973DD7"/>
    <w:rsid w:val="00973E54"/>
    <w:rsid w:val="00973EEA"/>
    <w:rsid w:val="009741A1"/>
    <w:rsid w:val="0097443B"/>
    <w:rsid w:val="0097444B"/>
    <w:rsid w:val="009745FC"/>
    <w:rsid w:val="00974607"/>
    <w:rsid w:val="0097493A"/>
    <w:rsid w:val="00974A85"/>
    <w:rsid w:val="00974B4D"/>
    <w:rsid w:val="00974B87"/>
    <w:rsid w:val="00974C2F"/>
    <w:rsid w:val="00974D47"/>
    <w:rsid w:val="00974E3B"/>
    <w:rsid w:val="009750FD"/>
    <w:rsid w:val="0097529C"/>
    <w:rsid w:val="00975344"/>
    <w:rsid w:val="00975425"/>
    <w:rsid w:val="009754D8"/>
    <w:rsid w:val="00975500"/>
    <w:rsid w:val="009756E7"/>
    <w:rsid w:val="00975996"/>
    <w:rsid w:val="009759A3"/>
    <w:rsid w:val="00975A88"/>
    <w:rsid w:val="00975AA1"/>
    <w:rsid w:val="00975C1A"/>
    <w:rsid w:val="00975CE7"/>
    <w:rsid w:val="00975D74"/>
    <w:rsid w:val="00975F60"/>
    <w:rsid w:val="00976086"/>
    <w:rsid w:val="009760E6"/>
    <w:rsid w:val="00976175"/>
    <w:rsid w:val="009761A0"/>
    <w:rsid w:val="00976431"/>
    <w:rsid w:val="00976650"/>
    <w:rsid w:val="00976725"/>
    <w:rsid w:val="00976803"/>
    <w:rsid w:val="00976A26"/>
    <w:rsid w:val="00976AF1"/>
    <w:rsid w:val="00976BCD"/>
    <w:rsid w:val="00976C85"/>
    <w:rsid w:val="0097721F"/>
    <w:rsid w:val="0097723B"/>
    <w:rsid w:val="00977398"/>
    <w:rsid w:val="009774A8"/>
    <w:rsid w:val="009774D7"/>
    <w:rsid w:val="009774E1"/>
    <w:rsid w:val="009775CB"/>
    <w:rsid w:val="00977807"/>
    <w:rsid w:val="0097781A"/>
    <w:rsid w:val="00977836"/>
    <w:rsid w:val="00977881"/>
    <w:rsid w:val="009778BB"/>
    <w:rsid w:val="009778F8"/>
    <w:rsid w:val="00977924"/>
    <w:rsid w:val="00977989"/>
    <w:rsid w:val="009779BA"/>
    <w:rsid w:val="00977A59"/>
    <w:rsid w:val="00977AB3"/>
    <w:rsid w:val="00977D32"/>
    <w:rsid w:val="00977DE3"/>
    <w:rsid w:val="00977E5E"/>
    <w:rsid w:val="00977F5C"/>
    <w:rsid w:val="00980004"/>
    <w:rsid w:val="00980062"/>
    <w:rsid w:val="00980080"/>
    <w:rsid w:val="009800F9"/>
    <w:rsid w:val="009801CD"/>
    <w:rsid w:val="0098033A"/>
    <w:rsid w:val="0098046A"/>
    <w:rsid w:val="00980475"/>
    <w:rsid w:val="0098054B"/>
    <w:rsid w:val="00980556"/>
    <w:rsid w:val="009807E5"/>
    <w:rsid w:val="0098089F"/>
    <w:rsid w:val="00980983"/>
    <w:rsid w:val="00980B2A"/>
    <w:rsid w:val="00980D3E"/>
    <w:rsid w:val="00980D5F"/>
    <w:rsid w:val="00980E65"/>
    <w:rsid w:val="00980EBF"/>
    <w:rsid w:val="00981079"/>
    <w:rsid w:val="009814C2"/>
    <w:rsid w:val="00981587"/>
    <w:rsid w:val="00981623"/>
    <w:rsid w:val="009818D3"/>
    <w:rsid w:val="009818DA"/>
    <w:rsid w:val="0098190A"/>
    <w:rsid w:val="00981919"/>
    <w:rsid w:val="00981A79"/>
    <w:rsid w:val="00981AF2"/>
    <w:rsid w:val="00981E4F"/>
    <w:rsid w:val="00981FF2"/>
    <w:rsid w:val="009820C1"/>
    <w:rsid w:val="00982124"/>
    <w:rsid w:val="00982143"/>
    <w:rsid w:val="0098214B"/>
    <w:rsid w:val="00982188"/>
    <w:rsid w:val="00982329"/>
    <w:rsid w:val="00982642"/>
    <w:rsid w:val="0098267D"/>
    <w:rsid w:val="009826B7"/>
    <w:rsid w:val="009826BA"/>
    <w:rsid w:val="009826D0"/>
    <w:rsid w:val="0098297D"/>
    <w:rsid w:val="00982ACE"/>
    <w:rsid w:val="00982C13"/>
    <w:rsid w:val="00982D97"/>
    <w:rsid w:val="00982DCF"/>
    <w:rsid w:val="0098305E"/>
    <w:rsid w:val="009832A4"/>
    <w:rsid w:val="009832BD"/>
    <w:rsid w:val="009832F7"/>
    <w:rsid w:val="009833CC"/>
    <w:rsid w:val="009834E1"/>
    <w:rsid w:val="00983833"/>
    <w:rsid w:val="00983C60"/>
    <w:rsid w:val="00983DDB"/>
    <w:rsid w:val="00983E6E"/>
    <w:rsid w:val="00983F5B"/>
    <w:rsid w:val="00983F91"/>
    <w:rsid w:val="00983F95"/>
    <w:rsid w:val="0098408D"/>
    <w:rsid w:val="009840DD"/>
    <w:rsid w:val="0098411C"/>
    <w:rsid w:val="0098420F"/>
    <w:rsid w:val="00984352"/>
    <w:rsid w:val="009844DB"/>
    <w:rsid w:val="00984521"/>
    <w:rsid w:val="00984593"/>
    <w:rsid w:val="00984656"/>
    <w:rsid w:val="009847F2"/>
    <w:rsid w:val="0098485B"/>
    <w:rsid w:val="00984996"/>
    <w:rsid w:val="00984AC8"/>
    <w:rsid w:val="00984C61"/>
    <w:rsid w:val="00984DDB"/>
    <w:rsid w:val="00984FC4"/>
    <w:rsid w:val="009851DC"/>
    <w:rsid w:val="009852A3"/>
    <w:rsid w:val="00985372"/>
    <w:rsid w:val="009853B4"/>
    <w:rsid w:val="009853DE"/>
    <w:rsid w:val="00985473"/>
    <w:rsid w:val="00985489"/>
    <w:rsid w:val="009856E0"/>
    <w:rsid w:val="009856E4"/>
    <w:rsid w:val="0098584F"/>
    <w:rsid w:val="00985888"/>
    <w:rsid w:val="009858F2"/>
    <w:rsid w:val="00985AEA"/>
    <w:rsid w:val="00985C25"/>
    <w:rsid w:val="00985DC3"/>
    <w:rsid w:val="00985DEE"/>
    <w:rsid w:val="00985EC7"/>
    <w:rsid w:val="0098608A"/>
    <w:rsid w:val="009860B4"/>
    <w:rsid w:val="00986151"/>
    <w:rsid w:val="00986170"/>
    <w:rsid w:val="009861E3"/>
    <w:rsid w:val="009862CC"/>
    <w:rsid w:val="00986497"/>
    <w:rsid w:val="00986643"/>
    <w:rsid w:val="009866F1"/>
    <w:rsid w:val="009867AE"/>
    <w:rsid w:val="009867F8"/>
    <w:rsid w:val="00986826"/>
    <w:rsid w:val="0098695B"/>
    <w:rsid w:val="00986AD5"/>
    <w:rsid w:val="00986AED"/>
    <w:rsid w:val="00986C67"/>
    <w:rsid w:val="00986DA2"/>
    <w:rsid w:val="00986FC5"/>
    <w:rsid w:val="0098704B"/>
    <w:rsid w:val="00987302"/>
    <w:rsid w:val="009874C9"/>
    <w:rsid w:val="00987515"/>
    <w:rsid w:val="00987606"/>
    <w:rsid w:val="009876CE"/>
    <w:rsid w:val="00987910"/>
    <w:rsid w:val="00987A71"/>
    <w:rsid w:val="00987BA1"/>
    <w:rsid w:val="00987C71"/>
    <w:rsid w:val="00987CB1"/>
    <w:rsid w:val="00987D92"/>
    <w:rsid w:val="00987FCA"/>
    <w:rsid w:val="0098D6A4"/>
    <w:rsid w:val="0099017A"/>
    <w:rsid w:val="00990181"/>
    <w:rsid w:val="009901A7"/>
    <w:rsid w:val="009901B1"/>
    <w:rsid w:val="009902F4"/>
    <w:rsid w:val="00990306"/>
    <w:rsid w:val="00990308"/>
    <w:rsid w:val="009903A6"/>
    <w:rsid w:val="0099056B"/>
    <w:rsid w:val="009907B9"/>
    <w:rsid w:val="009907EF"/>
    <w:rsid w:val="009908E7"/>
    <w:rsid w:val="00990917"/>
    <w:rsid w:val="00990AEB"/>
    <w:rsid w:val="00990B27"/>
    <w:rsid w:val="00990B63"/>
    <w:rsid w:val="00990BFF"/>
    <w:rsid w:val="00990C3D"/>
    <w:rsid w:val="00990D7E"/>
    <w:rsid w:val="00990F4E"/>
    <w:rsid w:val="00990FD1"/>
    <w:rsid w:val="00991006"/>
    <w:rsid w:val="00991183"/>
    <w:rsid w:val="00991193"/>
    <w:rsid w:val="0099119C"/>
    <w:rsid w:val="00991295"/>
    <w:rsid w:val="009912A9"/>
    <w:rsid w:val="0099130D"/>
    <w:rsid w:val="00991395"/>
    <w:rsid w:val="00991736"/>
    <w:rsid w:val="0099177D"/>
    <w:rsid w:val="00991877"/>
    <w:rsid w:val="009918E5"/>
    <w:rsid w:val="00991948"/>
    <w:rsid w:val="009919CA"/>
    <w:rsid w:val="009919CB"/>
    <w:rsid w:val="009919FB"/>
    <w:rsid w:val="00991A65"/>
    <w:rsid w:val="00991A67"/>
    <w:rsid w:val="00991A91"/>
    <w:rsid w:val="00991AE9"/>
    <w:rsid w:val="00991B11"/>
    <w:rsid w:val="00991B6F"/>
    <w:rsid w:val="0099219E"/>
    <w:rsid w:val="009921A0"/>
    <w:rsid w:val="009921E5"/>
    <w:rsid w:val="009922A9"/>
    <w:rsid w:val="0099238E"/>
    <w:rsid w:val="009923D8"/>
    <w:rsid w:val="00992524"/>
    <w:rsid w:val="0099275A"/>
    <w:rsid w:val="00992784"/>
    <w:rsid w:val="0099281C"/>
    <w:rsid w:val="00992823"/>
    <w:rsid w:val="00992A56"/>
    <w:rsid w:val="00992B54"/>
    <w:rsid w:val="00992E5B"/>
    <w:rsid w:val="00992F4F"/>
    <w:rsid w:val="00992FC5"/>
    <w:rsid w:val="009931AA"/>
    <w:rsid w:val="00993253"/>
    <w:rsid w:val="00993255"/>
    <w:rsid w:val="009933CD"/>
    <w:rsid w:val="00993819"/>
    <w:rsid w:val="00993856"/>
    <w:rsid w:val="0099393F"/>
    <w:rsid w:val="00993A2B"/>
    <w:rsid w:val="00993A51"/>
    <w:rsid w:val="00993A54"/>
    <w:rsid w:val="00993B69"/>
    <w:rsid w:val="00993E04"/>
    <w:rsid w:val="00993E0B"/>
    <w:rsid w:val="00993E86"/>
    <w:rsid w:val="00993E8E"/>
    <w:rsid w:val="00993FA9"/>
    <w:rsid w:val="00994041"/>
    <w:rsid w:val="00994208"/>
    <w:rsid w:val="0099424F"/>
    <w:rsid w:val="009942B6"/>
    <w:rsid w:val="009942D1"/>
    <w:rsid w:val="009943CF"/>
    <w:rsid w:val="009943DD"/>
    <w:rsid w:val="009943FC"/>
    <w:rsid w:val="00994600"/>
    <w:rsid w:val="0099461D"/>
    <w:rsid w:val="009946ED"/>
    <w:rsid w:val="00994701"/>
    <w:rsid w:val="0099474A"/>
    <w:rsid w:val="0099490A"/>
    <w:rsid w:val="0099495C"/>
    <w:rsid w:val="00994B41"/>
    <w:rsid w:val="00994B9B"/>
    <w:rsid w:val="00994BFB"/>
    <w:rsid w:val="00994C55"/>
    <w:rsid w:val="00994E89"/>
    <w:rsid w:val="0099504D"/>
    <w:rsid w:val="009950B6"/>
    <w:rsid w:val="009950D1"/>
    <w:rsid w:val="00995122"/>
    <w:rsid w:val="00995128"/>
    <w:rsid w:val="009952B9"/>
    <w:rsid w:val="00995303"/>
    <w:rsid w:val="009957A9"/>
    <w:rsid w:val="009957D1"/>
    <w:rsid w:val="009958B2"/>
    <w:rsid w:val="009958CA"/>
    <w:rsid w:val="00995A0A"/>
    <w:rsid w:val="00995ACE"/>
    <w:rsid w:val="00995D0E"/>
    <w:rsid w:val="00995D4B"/>
    <w:rsid w:val="00995DFF"/>
    <w:rsid w:val="00995E4B"/>
    <w:rsid w:val="00995F32"/>
    <w:rsid w:val="0099610C"/>
    <w:rsid w:val="0099613B"/>
    <w:rsid w:val="0099641B"/>
    <w:rsid w:val="00996475"/>
    <w:rsid w:val="0099656E"/>
    <w:rsid w:val="00996644"/>
    <w:rsid w:val="0099672E"/>
    <w:rsid w:val="009969B1"/>
    <w:rsid w:val="00996C9A"/>
    <w:rsid w:val="00996CF6"/>
    <w:rsid w:val="00996E8A"/>
    <w:rsid w:val="00996EE9"/>
    <w:rsid w:val="00996FA6"/>
    <w:rsid w:val="009970AD"/>
    <w:rsid w:val="0099710A"/>
    <w:rsid w:val="00997140"/>
    <w:rsid w:val="00997181"/>
    <w:rsid w:val="009972DA"/>
    <w:rsid w:val="00997329"/>
    <w:rsid w:val="0099738A"/>
    <w:rsid w:val="009973C1"/>
    <w:rsid w:val="009974F8"/>
    <w:rsid w:val="009976A8"/>
    <w:rsid w:val="00997A72"/>
    <w:rsid w:val="00997B0B"/>
    <w:rsid w:val="00997B7C"/>
    <w:rsid w:val="00997C6E"/>
    <w:rsid w:val="00997D08"/>
    <w:rsid w:val="00997D0E"/>
    <w:rsid w:val="00997D5B"/>
    <w:rsid w:val="00997E69"/>
    <w:rsid w:val="00997F2B"/>
    <w:rsid w:val="00997FF9"/>
    <w:rsid w:val="009A00F0"/>
    <w:rsid w:val="009A033B"/>
    <w:rsid w:val="009A03BC"/>
    <w:rsid w:val="009A03E9"/>
    <w:rsid w:val="009A0661"/>
    <w:rsid w:val="009A079A"/>
    <w:rsid w:val="009A0872"/>
    <w:rsid w:val="009A0898"/>
    <w:rsid w:val="009A0919"/>
    <w:rsid w:val="009A0939"/>
    <w:rsid w:val="009A09A2"/>
    <w:rsid w:val="009A0A8D"/>
    <w:rsid w:val="009A0A93"/>
    <w:rsid w:val="009A0BAA"/>
    <w:rsid w:val="009A0D02"/>
    <w:rsid w:val="009A0DE0"/>
    <w:rsid w:val="009A0E97"/>
    <w:rsid w:val="009A0EC8"/>
    <w:rsid w:val="009A0ED0"/>
    <w:rsid w:val="009A0F2D"/>
    <w:rsid w:val="009A0FAD"/>
    <w:rsid w:val="009A13D7"/>
    <w:rsid w:val="009A15BB"/>
    <w:rsid w:val="009A162E"/>
    <w:rsid w:val="009A1843"/>
    <w:rsid w:val="009A1999"/>
    <w:rsid w:val="009A1AD5"/>
    <w:rsid w:val="009A1AEE"/>
    <w:rsid w:val="009A1BBF"/>
    <w:rsid w:val="009A1F93"/>
    <w:rsid w:val="009A204D"/>
    <w:rsid w:val="009A2295"/>
    <w:rsid w:val="009A2555"/>
    <w:rsid w:val="009A25B5"/>
    <w:rsid w:val="009A26CD"/>
    <w:rsid w:val="009A27C7"/>
    <w:rsid w:val="009A27D3"/>
    <w:rsid w:val="009A2859"/>
    <w:rsid w:val="009A28EA"/>
    <w:rsid w:val="009A2A67"/>
    <w:rsid w:val="009A2B7D"/>
    <w:rsid w:val="009A2D0A"/>
    <w:rsid w:val="009A3088"/>
    <w:rsid w:val="009A319C"/>
    <w:rsid w:val="009A320A"/>
    <w:rsid w:val="009A35CD"/>
    <w:rsid w:val="009A35DB"/>
    <w:rsid w:val="009A363A"/>
    <w:rsid w:val="009A394F"/>
    <w:rsid w:val="009A39CB"/>
    <w:rsid w:val="009A3A1D"/>
    <w:rsid w:val="009A3A21"/>
    <w:rsid w:val="009A3C54"/>
    <w:rsid w:val="009A3DCA"/>
    <w:rsid w:val="009A3FA7"/>
    <w:rsid w:val="009A4126"/>
    <w:rsid w:val="009A41D8"/>
    <w:rsid w:val="009A4268"/>
    <w:rsid w:val="009A4295"/>
    <w:rsid w:val="009A4305"/>
    <w:rsid w:val="009A443B"/>
    <w:rsid w:val="009A4519"/>
    <w:rsid w:val="009A4592"/>
    <w:rsid w:val="009A4842"/>
    <w:rsid w:val="009A4B86"/>
    <w:rsid w:val="009A4FD1"/>
    <w:rsid w:val="009A50F4"/>
    <w:rsid w:val="009A5278"/>
    <w:rsid w:val="009A52F0"/>
    <w:rsid w:val="009A56EE"/>
    <w:rsid w:val="009A5BDE"/>
    <w:rsid w:val="009A5BE0"/>
    <w:rsid w:val="009A5DCD"/>
    <w:rsid w:val="009A60AC"/>
    <w:rsid w:val="009A60B6"/>
    <w:rsid w:val="009A6267"/>
    <w:rsid w:val="009A629A"/>
    <w:rsid w:val="009A6378"/>
    <w:rsid w:val="009A63DC"/>
    <w:rsid w:val="009A6482"/>
    <w:rsid w:val="009A65EB"/>
    <w:rsid w:val="009A676F"/>
    <w:rsid w:val="009A68AD"/>
    <w:rsid w:val="009A68E6"/>
    <w:rsid w:val="009A6A13"/>
    <w:rsid w:val="009A6A2A"/>
    <w:rsid w:val="009A6ADB"/>
    <w:rsid w:val="009A6BB8"/>
    <w:rsid w:val="009A6C1C"/>
    <w:rsid w:val="009A7011"/>
    <w:rsid w:val="009A702B"/>
    <w:rsid w:val="009A7142"/>
    <w:rsid w:val="009A7184"/>
    <w:rsid w:val="009A71E2"/>
    <w:rsid w:val="009A76BF"/>
    <w:rsid w:val="009A76C0"/>
    <w:rsid w:val="009A787F"/>
    <w:rsid w:val="009A7B1B"/>
    <w:rsid w:val="009A7BA7"/>
    <w:rsid w:val="009A7C8B"/>
    <w:rsid w:val="009A7C90"/>
    <w:rsid w:val="009A7D1A"/>
    <w:rsid w:val="009A7D41"/>
    <w:rsid w:val="009A7DE5"/>
    <w:rsid w:val="009A7E18"/>
    <w:rsid w:val="009A7F19"/>
    <w:rsid w:val="009A7F59"/>
    <w:rsid w:val="009AF511"/>
    <w:rsid w:val="009B0182"/>
    <w:rsid w:val="009B0267"/>
    <w:rsid w:val="009B04A8"/>
    <w:rsid w:val="009B064F"/>
    <w:rsid w:val="009B0725"/>
    <w:rsid w:val="009B0849"/>
    <w:rsid w:val="009B0946"/>
    <w:rsid w:val="009B0A2C"/>
    <w:rsid w:val="009B0C6D"/>
    <w:rsid w:val="009B0D37"/>
    <w:rsid w:val="009B0D88"/>
    <w:rsid w:val="009B0EC7"/>
    <w:rsid w:val="009B0ED5"/>
    <w:rsid w:val="009B0FA1"/>
    <w:rsid w:val="009B0FF5"/>
    <w:rsid w:val="009B11D6"/>
    <w:rsid w:val="009B1330"/>
    <w:rsid w:val="009B1436"/>
    <w:rsid w:val="009B145E"/>
    <w:rsid w:val="009B167B"/>
    <w:rsid w:val="009B17F3"/>
    <w:rsid w:val="009B181E"/>
    <w:rsid w:val="009B186A"/>
    <w:rsid w:val="009B18D6"/>
    <w:rsid w:val="009B1BF2"/>
    <w:rsid w:val="009B1C5B"/>
    <w:rsid w:val="009B1EED"/>
    <w:rsid w:val="009B213F"/>
    <w:rsid w:val="009B224E"/>
    <w:rsid w:val="009B2334"/>
    <w:rsid w:val="009B2444"/>
    <w:rsid w:val="009B24F8"/>
    <w:rsid w:val="009B2587"/>
    <w:rsid w:val="009B270E"/>
    <w:rsid w:val="009B27A5"/>
    <w:rsid w:val="009B27DF"/>
    <w:rsid w:val="009B288E"/>
    <w:rsid w:val="009B28E7"/>
    <w:rsid w:val="009B29BD"/>
    <w:rsid w:val="009B2A52"/>
    <w:rsid w:val="009B2AFE"/>
    <w:rsid w:val="009B2B45"/>
    <w:rsid w:val="009B2B4B"/>
    <w:rsid w:val="009B2E2F"/>
    <w:rsid w:val="009B2F3C"/>
    <w:rsid w:val="009B3121"/>
    <w:rsid w:val="009B33C6"/>
    <w:rsid w:val="009B3490"/>
    <w:rsid w:val="009B34C3"/>
    <w:rsid w:val="009B35D3"/>
    <w:rsid w:val="009B35F3"/>
    <w:rsid w:val="009B375C"/>
    <w:rsid w:val="009B3804"/>
    <w:rsid w:val="009B386A"/>
    <w:rsid w:val="009B38C3"/>
    <w:rsid w:val="009B38D6"/>
    <w:rsid w:val="009B3BC8"/>
    <w:rsid w:val="009B3D87"/>
    <w:rsid w:val="009B3E15"/>
    <w:rsid w:val="009B3FA4"/>
    <w:rsid w:val="009B3FB4"/>
    <w:rsid w:val="009B3FE1"/>
    <w:rsid w:val="009B4007"/>
    <w:rsid w:val="009B40A1"/>
    <w:rsid w:val="009B410B"/>
    <w:rsid w:val="009B4161"/>
    <w:rsid w:val="009B41C5"/>
    <w:rsid w:val="009B4277"/>
    <w:rsid w:val="009B4393"/>
    <w:rsid w:val="009B43B0"/>
    <w:rsid w:val="009B449E"/>
    <w:rsid w:val="009B456C"/>
    <w:rsid w:val="009B468E"/>
    <w:rsid w:val="009B46B1"/>
    <w:rsid w:val="009B4825"/>
    <w:rsid w:val="009B48B6"/>
    <w:rsid w:val="009B49A6"/>
    <w:rsid w:val="009B49C8"/>
    <w:rsid w:val="009B4A56"/>
    <w:rsid w:val="009B4BD5"/>
    <w:rsid w:val="009B4C99"/>
    <w:rsid w:val="009B4E76"/>
    <w:rsid w:val="009B501F"/>
    <w:rsid w:val="009B508F"/>
    <w:rsid w:val="009B50EF"/>
    <w:rsid w:val="009B52E8"/>
    <w:rsid w:val="009B5370"/>
    <w:rsid w:val="009B5573"/>
    <w:rsid w:val="009B5672"/>
    <w:rsid w:val="009B56C3"/>
    <w:rsid w:val="009B576B"/>
    <w:rsid w:val="009B583F"/>
    <w:rsid w:val="009B59D9"/>
    <w:rsid w:val="009B5BEF"/>
    <w:rsid w:val="009B5C40"/>
    <w:rsid w:val="009B5C70"/>
    <w:rsid w:val="009B5D1D"/>
    <w:rsid w:val="009B5D79"/>
    <w:rsid w:val="009B5D88"/>
    <w:rsid w:val="009B5DC9"/>
    <w:rsid w:val="009B5E66"/>
    <w:rsid w:val="009B60E9"/>
    <w:rsid w:val="009B6124"/>
    <w:rsid w:val="009B64F3"/>
    <w:rsid w:val="009B656F"/>
    <w:rsid w:val="009B67B0"/>
    <w:rsid w:val="009B6816"/>
    <w:rsid w:val="009B6920"/>
    <w:rsid w:val="009B699D"/>
    <w:rsid w:val="009B6AA7"/>
    <w:rsid w:val="009B6B8F"/>
    <w:rsid w:val="009B6C0F"/>
    <w:rsid w:val="009B6D18"/>
    <w:rsid w:val="009B6DA1"/>
    <w:rsid w:val="009B6F8D"/>
    <w:rsid w:val="009B7184"/>
    <w:rsid w:val="009B7200"/>
    <w:rsid w:val="009B7251"/>
    <w:rsid w:val="009B7402"/>
    <w:rsid w:val="009B75D3"/>
    <w:rsid w:val="009B75FC"/>
    <w:rsid w:val="009B770B"/>
    <w:rsid w:val="009B77BF"/>
    <w:rsid w:val="009B7B17"/>
    <w:rsid w:val="009B7E4E"/>
    <w:rsid w:val="009C00CE"/>
    <w:rsid w:val="009C0174"/>
    <w:rsid w:val="009C0237"/>
    <w:rsid w:val="009C02A8"/>
    <w:rsid w:val="009C038E"/>
    <w:rsid w:val="009C0412"/>
    <w:rsid w:val="009C04A0"/>
    <w:rsid w:val="009C0629"/>
    <w:rsid w:val="009C0945"/>
    <w:rsid w:val="009C0B9B"/>
    <w:rsid w:val="009C0D0F"/>
    <w:rsid w:val="009C0DA0"/>
    <w:rsid w:val="009C0E22"/>
    <w:rsid w:val="009C1046"/>
    <w:rsid w:val="009C1092"/>
    <w:rsid w:val="009C109A"/>
    <w:rsid w:val="009C10D3"/>
    <w:rsid w:val="009C112F"/>
    <w:rsid w:val="009C1186"/>
    <w:rsid w:val="009C11E4"/>
    <w:rsid w:val="009C128F"/>
    <w:rsid w:val="009C1523"/>
    <w:rsid w:val="009C178D"/>
    <w:rsid w:val="009C1804"/>
    <w:rsid w:val="009C18EE"/>
    <w:rsid w:val="009C190F"/>
    <w:rsid w:val="009C1A04"/>
    <w:rsid w:val="009C1AFC"/>
    <w:rsid w:val="009C1B2B"/>
    <w:rsid w:val="009C2131"/>
    <w:rsid w:val="009C224E"/>
    <w:rsid w:val="009C252D"/>
    <w:rsid w:val="009C2701"/>
    <w:rsid w:val="009C2715"/>
    <w:rsid w:val="009C27B8"/>
    <w:rsid w:val="009C28A2"/>
    <w:rsid w:val="009C28BA"/>
    <w:rsid w:val="009C2BCA"/>
    <w:rsid w:val="009C2CB2"/>
    <w:rsid w:val="009C2CE5"/>
    <w:rsid w:val="009C2CF8"/>
    <w:rsid w:val="009C3005"/>
    <w:rsid w:val="009C334E"/>
    <w:rsid w:val="009C33BD"/>
    <w:rsid w:val="009C3489"/>
    <w:rsid w:val="009C34F0"/>
    <w:rsid w:val="009C38C5"/>
    <w:rsid w:val="009C390A"/>
    <w:rsid w:val="009C3A58"/>
    <w:rsid w:val="009C3AAB"/>
    <w:rsid w:val="009C3AD8"/>
    <w:rsid w:val="009C3B2A"/>
    <w:rsid w:val="009C3B79"/>
    <w:rsid w:val="009C3BF1"/>
    <w:rsid w:val="009C3E58"/>
    <w:rsid w:val="009C414E"/>
    <w:rsid w:val="009C4200"/>
    <w:rsid w:val="009C43A5"/>
    <w:rsid w:val="009C4777"/>
    <w:rsid w:val="009C49BC"/>
    <w:rsid w:val="009C4AED"/>
    <w:rsid w:val="009C4B59"/>
    <w:rsid w:val="009C4B7C"/>
    <w:rsid w:val="009C4BEB"/>
    <w:rsid w:val="009C4CAC"/>
    <w:rsid w:val="009C4E49"/>
    <w:rsid w:val="009C4ED7"/>
    <w:rsid w:val="009C4F92"/>
    <w:rsid w:val="009C5057"/>
    <w:rsid w:val="009C511B"/>
    <w:rsid w:val="009C519C"/>
    <w:rsid w:val="009C5417"/>
    <w:rsid w:val="009C5478"/>
    <w:rsid w:val="009C5533"/>
    <w:rsid w:val="009C55E7"/>
    <w:rsid w:val="009C596F"/>
    <w:rsid w:val="009C5998"/>
    <w:rsid w:val="009C5A11"/>
    <w:rsid w:val="009C5A6F"/>
    <w:rsid w:val="009C5C75"/>
    <w:rsid w:val="009C5C83"/>
    <w:rsid w:val="009C5C99"/>
    <w:rsid w:val="009C5DA7"/>
    <w:rsid w:val="009C5F50"/>
    <w:rsid w:val="009C60B3"/>
    <w:rsid w:val="009C62B4"/>
    <w:rsid w:val="009C62FB"/>
    <w:rsid w:val="009C64A7"/>
    <w:rsid w:val="009C6633"/>
    <w:rsid w:val="009C66F4"/>
    <w:rsid w:val="009C68A5"/>
    <w:rsid w:val="009C68C9"/>
    <w:rsid w:val="009C68EC"/>
    <w:rsid w:val="009C6963"/>
    <w:rsid w:val="009C69AB"/>
    <w:rsid w:val="009C6BC2"/>
    <w:rsid w:val="009C6BC4"/>
    <w:rsid w:val="009C6D44"/>
    <w:rsid w:val="009C6D98"/>
    <w:rsid w:val="009C6E0D"/>
    <w:rsid w:val="009C6E2A"/>
    <w:rsid w:val="009C6F96"/>
    <w:rsid w:val="009C704E"/>
    <w:rsid w:val="009C71CC"/>
    <w:rsid w:val="009C728E"/>
    <w:rsid w:val="009C746B"/>
    <w:rsid w:val="009C7521"/>
    <w:rsid w:val="009C75FF"/>
    <w:rsid w:val="009C770C"/>
    <w:rsid w:val="009C7732"/>
    <w:rsid w:val="009C784D"/>
    <w:rsid w:val="009C79B4"/>
    <w:rsid w:val="009C79E9"/>
    <w:rsid w:val="009C7A3C"/>
    <w:rsid w:val="009C7A92"/>
    <w:rsid w:val="009C7AD1"/>
    <w:rsid w:val="009C7B80"/>
    <w:rsid w:val="009C7C3D"/>
    <w:rsid w:val="009C7D0D"/>
    <w:rsid w:val="009C7D79"/>
    <w:rsid w:val="009C7D8D"/>
    <w:rsid w:val="009C7E4E"/>
    <w:rsid w:val="009C7EBA"/>
    <w:rsid w:val="009C7FCE"/>
    <w:rsid w:val="009D0204"/>
    <w:rsid w:val="009D02BE"/>
    <w:rsid w:val="009D03B3"/>
    <w:rsid w:val="009D0730"/>
    <w:rsid w:val="009D0775"/>
    <w:rsid w:val="009D07AD"/>
    <w:rsid w:val="009D0855"/>
    <w:rsid w:val="009D09D0"/>
    <w:rsid w:val="009D0AC8"/>
    <w:rsid w:val="009D0ADF"/>
    <w:rsid w:val="009D0B09"/>
    <w:rsid w:val="009D0C70"/>
    <w:rsid w:val="009D0C82"/>
    <w:rsid w:val="009D0E1B"/>
    <w:rsid w:val="009D0E66"/>
    <w:rsid w:val="009D0EE8"/>
    <w:rsid w:val="009D0F41"/>
    <w:rsid w:val="009D0F6E"/>
    <w:rsid w:val="009D0FF0"/>
    <w:rsid w:val="009D1007"/>
    <w:rsid w:val="009D1029"/>
    <w:rsid w:val="009D10EC"/>
    <w:rsid w:val="009D117B"/>
    <w:rsid w:val="009D125F"/>
    <w:rsid w:val="009D136D"/>
    <w:rsid w:val="009D13E6"/>
    <w:rsid w:val="009D1574"/>
    <w:rsid w:val="009D15BD"/>
    <w:rsid w:val="009D15F8"/>
    <w:rsid w:val="009D1630"/>
    <w:rsid w:val="009D16B8"/>
    <w:rsid w:val="009D17A7"/>
    <w:rsid w:val="009D193B"/>
    <w:rsid w:val="009D1AAC"/>
    <w:rsid w:val="009D1B56"/>
    <w:rsid w:val="009D1CA4"/>
    <w:rsid w:val="009D1D61"/>
    <w:rsid w:val="009D1E62"/>
    <w:rsid w:val="009D1F57"/>
    <w:rsid w:val="009D1F87"/>
    <w:rsid w:val="009D1FC2"/>
    <w:rsid w:val="009D206F"/>
    <w:rsid w:val="009D20E9"/>
    <w:rsid w:val="009D213E"/>
    <w:rsid w:val="009D214A"/>
    <w:rsid w:val="009D2303"/>
    <w:rsid w:val="009D239A"/>
    <w:rsid w:val="009D25DE"/>
    <w:rsid w:val="009D260A"/>
    <w:rsid w:val="009D281C"/>
    <w:rsid w:val="009D282F"/>
    <w:rsid w:val="009D284A"/>
    <w:rsid w:val="009D29F3"/>
    <w:rsid w:val="009D2ACF"/>
    <w:rsid w:val="009D2ADA"/>
    <w:rsid w:val="009D2CD2"/>
    <w:rsid w:val="009D3096"/>
    <w:rsid w:val="009D30F3"/>
    <w:rsid w:val="009D30FF"/>
    <w:rsid w:val="009D311B"/>
    <w:rsid w:val="009D3506"/>
    <w:rsid w:val="009D38FE"/>
    <w:rsid w:val="009D3A94"/>
    <w:rsid w:val="009D3B21"/>
    <w:rsid w:val="009D3C0E"/>
    <w:rsid w:val="009D3C55"/>
    <w:rsid w:val="009D3C72"/>
    <w:rsid w:val="009D3DB1"/>
    <w:rsid w:val="009D3DDA"/>
    <w:rsid w:val="009D3F53"/>
    <w:rsid w:val="009D419F"/>
    <w:rsid w:val="009D45DF"/>
    <w:rsid w:val="009D4727"/>
    <w:rsid w:val="009D4BA9"/>
    <w:rsid w:val="009D4BDB"/>
    <w:rsid w:val="009D4C15"/>
    <w:rsid w:val="009D4DAD"/>
    <w:rsid w:val="009D4DEC"/>
    <w:rsid w:val="009D5614"/>
    <w:rsid w:val="009D5C94"/>
    <w:rsid w:val="009D5D53"/>
    <w:rsid w:val="009D5D9F"/>
    <w:rsid w:val="009D5F2C"/>
    <w:rsid w:val="009D5F60"/>
    <w:rsid w:val="009D5F6E"/>
    <w:rsid w:val="009D6087"/>
    <w:rsid w:val="009D612F"/>
    <w:rsid w:val="009D61BA"/>
    <w:rsid w:val="009D62C0"/>
    <w:rsid w:val="009D62D4"/>
    <w:rsid w:val="009D6340"/>
    <w:rsid w:val="009D641A"/>
    <w:rsid w:val="009D64EB"/>
    <w:rsid w:val="009D6580"/>
    <w:rsid w:val="009D65A2"/>
    <w:rsid w:val="009D661E"/>
    <w:rsid w:val="009D6948"/>
    <w:rsid w:val="009D6977"/>
    <w:rsid w:val="009D6C33"/>
    <w:rsid w:val="009D6EFD"/>
    <w:rsid w:val="009D6F57"/>
    <w:rsid w:val="009D6FBA"/>
    <w:rsid w:val="009D7026"/>
    <w:rsid w:val="009D7381"/>
    <w:rsid w:val="009D7510"/>
    <w:rsid w:val="009D7611"/>
    <w:rsid w:val="009D76DE"/>
    <w:rsid w:val="009D7796"/>
    <w:rsid w:val="009D77D1"/>
    <w:rsid w:val="009D7842"/>
    <w:rsid w:val="009D78CF"/>
    <w:rsid w:val="009D7919"/>
    <w:rsid w:val="009D7A04"/>
    <w:rsid w:val="009D7A3D"/>
    <w:rsid w:val="009D7CF5"/>
    <w:rsid w:val="009D7D10"/>
    <w:rsid w:val="009D7D6E"/>
    <w:rsid w:val="009D7FAB"/>
    <w:rsid w:val="009D7FD1"/>
    <w:rsid w:val="009E009E"/>
    <w:rsid w:val="009E01A8"/>
    <w:rsid w:val="009E0248"/>
    <w:rsid w:val="009E03DF"/>
    <w:rsid w:val="009E03F7"/>
    <w:rsid w:val="009E0619"/>
    <w:rsid w:val="009E09F4"/>
    <w:rsid w:val="009E0AB1"/>
    <w:rsid w:val="009E0BA8"/>
    <w:rsid w:val="009E11C9"/>
    <w:rsid w:val="009E164F"/>
    <w:rsid w:val="009E1714"/>
    <w:rsid w:val="009E1790"/>
    <w:rsid w:val="009E1824"/>
    <w:rsid w:val="009E188E"/>
    <w:rsid w:val="009E1A1A"/>
    <w:rsid w:val="009E1A23"/>
    <w:rsid w:val="009E1A7D"/>
    <w:rsid w:val="009E1CC6"/>
    <w:rsid w:val="009E1F4F"/>
    <w:rsid w:val="009E1F58"/>
    <w:rsid w:val="009E203B"/>
    <w:rsid w:val="009E2112"/>
    <w:rsid w:val="009E23D6"/>
    <w:rsid w:val="009E2404"/>
    <w:rsid w:val="009E2621"/>
    <w:rsid w:val="009E282E"/>
    <w:rsid w:val="009E28A9"/>
    <w:rsid w:val="009E292E"/>
    <w:rsid w:val="009E2B06"/>
    <w:rsid w:val="009E2B67"/>
    <w:rsid w:val="009E2BE6"/>
    <w:rsid w:val="009E2D20"/>
    <w:rsid w:val="009E2D98"/>
    <w:rsid w:val="009E2E84"/>
    <w:rsid w:val="009E2F0D"/>
    <w:rsid w:val="009E2FAA"/>
    <w:rsid w:val="009E2FF9"/>
    <w:rsid w:val="009E31C8"/>
    <w:rsid w:val="009E3299"/>
    <w:rsid w:val="009E3411"/>
    <w:rsid w:val="009E34AF"/>
    <w:rsid w:val="009E3704"/>
    <w:rsid w:val="009E3715"/>
    <w:rsid w:val="009E37CA"/>
    <w:rsid w:val="009E37D8"/>
    <w:rsid w:val="009E38F7"/>
    <w:rsid w:val="009E3AA9"/>
    <w:rsid w:val="009E3C4D"/>
    <w:rsid w:val="009E3C84"/>
    <w:rsid w:val="009E3D1C"/>
    <w:rsid w:val="009E3DAD"/>
    <w:rsid w:val="009E40AD"/>
    <w:rsid w:val="009E4103"/>
    <w:rsid w:val="009E41F0"/>
    <w:rsid w:val="009E4336"/>
    <w:rsid w:val="009E4367"/>
    <w:rsid w:val="009E43F4"/>
    <w:rsid w:val="009E455F"/>
    <w:rsid w:val="009E45C8"/>
    <w:rsid w:val="009E4657"/>
    <w:rsid w:val="009E486A"/>
    <w:rsid w:val="009E487E"/>
    <w:rsid w:val="009E4986"/>
    <w:rsid w:val="009E4A35"/>
    <w:rsid w:val="009E4B29"/>
    <w:rsid w:val="009E4B8C"/>
    <w:rsid w:val="009E4DFF"/>
    <w:rsid w:val="009E4E92"/>
    <w:rsid w:val="009E5006"/>
    <w:rsid w:val="009E5099"/>
    <w:rsid w:val="009E5103"/>
    <w:rsid w:val="009E5111"/>
    <w:rsid w:val="009E5120"/>
    <w:rsid w:val="009E5153"/>
    <w:rsid w:val="009E5177"/>
    <w:rsid w:val="009E5198"/>
    <w:rsid w:val="009E5382"/>
    <w:rsid w:val="009E543D"/>
    <w:rsid w:val="009E57D3"/>
    <w:rsid w:val="009E59BE"/>
    <w:rsid w:val="009E5AFF"/>
    <w:rsid w:val="009E5B58"/>
    <w:rsid w:val="009E5FD4"/>
    <w:rsid w:val="009E6116"/>
    <w:rsid w:val="009E6158"/>
    <w:rsid w:val="009E61B4"/>
    <w:rsid w:val="009E6226"/>
    <w:rsid w:val="009E633F"/>
    <w:rsid w:val="009E64CF"/>
    <w:rsid w:val="009E6525"/>
    <w:rsid w:val="009E652D"/>
    <w:rsid w:val="009E6556"/>
    <w:rsid w:val="009E65D3"/>
    <w:rsid w:val="009E6611"/>
    <w:rsid w:val="009E6897"/>
    <w:rsid w:val="009E689F"/>
    <w:rsid w:val="009E68C3"/>
    <w:rsid w:val="009E69B3"/>
    <w:rsid w:val="009E6D69"/>
    <w:rsid w:val="009E6E30"/>
    <w:rsid w:val="009E6ED2"/>
    <w:rsid w:val="009E70DA"/>
    <w:rsid w:val="009E7248"/>
    <w:rsid w:val="009E72C1"/>
    <w:rsid w:val="009E7352"/>
    <w:rsid w:val="009E7481"/>
    <w:rsid w:val="009E76A0"/>
    <w:rsid w:val="009E77DC"/>
    <w:rsid w:val="009E7882"/>
    <w:rsid w:val="009E78C3"/>
    <w:rsid w:val="009E7AE5"/>
    <w:rsid w:val="009E7BBB"/>
    <w:rsid w:val="009E7C35"/>
    <w:rsid w:val="009E7D5B"/>
    <w:rsid w:val="009E7DCB"/>
    <w:rsid w:val="009F0124"/>
    <w:rsid w:val="009F01AD"/>
    <w:rsid w:val="009F01DB"/>
    <w:rsid w:val="009F02AC"/>
    <w:rsid w:val="009F048C"/>
    <w:rsid w:val="009F05DC"/>
    <w:rsid w:val="009F0901"/>
    <w:rsid w:val="009F0C65"/>
    <w:rsid w:val="009F0CC3"/>
    <w:rsid w:val="009F0D0B"/>
    <w:rsid w:val="009F0DE3"/>
    <w:rsid w:val="009F0E11"/>
    <w:rsid w:val="009F0E1D"/>
    <w:rsid w:val="009F0EB2"/>
    <w:rsid w:val="009F12AC"/>
    <w:rsid w:val="009F1456"/>
    <w:rsid w:val="009F155D"/>
    <w:rsid w:val="009F179B"/>
    <w:rsid w:val="009F18D3"/>
    <w:rsid w:val="009F1967"/>
    <w:rsid w:val="009F1CBE"/>
    <w:rsid w:val="009F1E58"/>
    <w:rsid w:val="009F1ED8"/>
    <w:rsid w:val="009F1FC5"/>
    <w:rsid w:val="009F2019"/>
    <w:rsid w:val="009F20EA"/>
    <w:rsid w:val="009F21E6"/>
    <w:rsid w:val="009F2219"/>
    <w:rsid w:val="009F2288"/>
    <w:rsid w:val="009F2320"/>
    <w:rsid w:val="009F2428"/>
    <w:rsid w:val="009F26A1"/>
    <w:rsid w:val="009F26BA"/>
    <w:rsid w:val="009F2786"/>
    <w:rsid w:val="009F2B3E"/>
    <w:rsid w:val="009F2BE0"/>
    <w:rsid w:val="009F2C13"/>
    <w:rsid w:val="009F2CE8"/>
    <w:rsid w:val="009F3292"/>
    <w:rsid w:val="009F3346"/>
    <w:rsid w:val="009F33B6"/>
    <w:rsid w:val="009F34BD"/>
    <w:rsid w:val="009F35BE"/>
    <w:rsid w:val="009F36EB"/>
    <w:rsid w:val="009F38E3"/>
    <w:rsid w:val="009F3AC8"/>
    <w:rsid w:val="009F3BFB"/>
    <w:rsid w:val="009F3BFF"/>
    <w:rsid w:val="009F3C60"/>
    <w:rsid w:val="009F3CA4"/>
    <w:rsid w:val="009F3CB6"/>
    <w:rsid w:val="009F3D40"/>
    <w:rsid w:val="009F3DC2"/>
    <w:rsid w:val="009F3EBE"/>
    <w:rsid w:val="009F3EE8"/>
    <w:rsid w:val="009F3F1C"/>
    <w:rsid w:val="009F402C"/>
    <w:rsid w:val="009F41F4"/>
    <w:rsid w:val="009F42A1"/>
    <w:rsid w:val="009F42A7"/>
    <w:rsid w:val="009F4482"/>
    <w:rsid w:val="009F44AE"/>
    <w:rsid w:val="009F451B"/>
    <w:rsid w:val="009F46F7"/>
    <w:rsid w:val="009F4783"/>
    <w:rsid w:val="009F486B"/>
    <w:rsid w:val="009F4E0C"/>
    <w:rsid w:val="009F4E3E"/>
    <w:rsid w:val="009F4EDD"/>
    <w:rsid w:val="009F502C"/>
    <w:rsid w:val="009F5130"/>
    <w:rsid w:val="009F5176"/>
    <w:rsid w:val="009F5225"/>
    <w:rsid w:val="009F5502"/>
    <w:rsid w:val="009F56C1"/>
    <w:rsid w:val="009F577B"/>
    <w:rsid w:val="009F59D5"/>
    <w:rsid w:val="009F5AE0"/>
    <w:rsid w:val="009F5C46"/>
    <w:rsid w:val="009F5C6A"/>
    <w:rsid w:val="009F5EDC"/>
    <w:rsid w:val="009F613C"/>
    <w:rsid w:val="009F6145"/>
    <w:rsid w:val="009F6387"/>
    <w:rsid w:val="009F64E7"/>
    <w:rsid w:val="009F6661"/>
    <w:rsid w:val="009F6735"/>
    <w:rsid w:val="009F67CF"/>
    <w:rsid w:val="009F6841"/>
    <w:rsid w:val="009F6A70"/>
    <w:rsid w:val="009F6A7E"/>
    <w:rsid w:val="009F6B38"/>
    <w:rsid w:val="009F6CC5"/>
    <w:rsid w:val="009F6D11"/>
    <w:rsid w:val="009F6E0D"/>
    <w:rsid w:val="009F6EEA"/>
    <w:rsid w:val="009F6FC5"/>
    <w:rsid w:val="009F6FC8"/>
    <w:rsid w:val="009F71C3"/>
    <w:rsid w:val="009F7220"/>
    <w:rsid w:val="009F7259"/>
    <w:rsid w:val="009F7300"/>
    <w:rsid w:val="009F7490"/>
    <w:rsid w:val="009F74D1"/>
    <w:rsid w:val="009F7599"/>
    <w:rsid w:val="009F75BC"/>
    <w:rsid w:val="009F76A4"/>
    <w:rsid w:val="009F77CC"/>
    <w:rsid w:val="009F7ACC"/>
    <w:rsid w:val="009F7BC9"/>
    <w:rsid w:val="009F7C35"/>
    <w:rsid w:val="009F7DD0"/>
    <w:rsid w:val="009F7DFD"/>
    <w:rsid w:val="00A0008D"/>
    <w:rsid w:val="00A000B2"/>
    <w:rsid w:val="00A0019F"/>
    <w:rsid w:val="00A003DF"/>
    <w:rsid w:val="00A0059A"/>
    <w:rsid w:val="00A0064B"/>
    <w:rsid w:val="00A00681"/>
    <w:rsid w:val="00A0074C"/>
    <w:rsid w:val="00A00838"/>
    <w:rsid w:val="00A008AF"/>
    <w:rsid w:val="00A00955"/>
    <w:rsid w:val="00A00AB8"/>
    <w:rsid w:val="00A00AD6"/>
    <w:rsid w:val="00A00EA5"/>
    <w:rsid w:val="00A00FE2"/>
    <w:rsid w:val="00A011BC"/>
    <w:rsid w:val="00A01322"/>
    <w:rsid w:val="00A01628"/>
    <w:rsid w:val="00A01790"/>
    <w:rsid w:val="00A01802"/>
    <w:rsid w:val="00A01A31"/>
    <w:rsid w:val="00A01AA4"/>
    <w:rsid w:val="00A01B0E"/>
    <w:rsid w:val="00A01B4D"/>
    <w:rsid w:val="00A01BB8"/>
    <w:rsid w:val="00A01D19"/>
    <w:rsid w:val="00A022AD"/>
    <w:rsid w:val="00A022C7"/>
    <w:rsid w:val="00A02394"/>
    <w:rsid w:val="00A02612"/>
    <w:rsid w:val="00A0274B"/>
    <w:rsid w:val="00A028F1"/>
    <w:rsid w:val="00A028FD"/>
    <w:rsid w:val="00A02944"/>
    <w:rsid w:val="00A029D6"/>
    <w:rsid w:val="00A02AEE"/>
    <w:rsid w:val="00A02BA0"/>
    <w:rsid w:val="00A02BE0"/>
    <w:rsid w:val="00A02D09"/>
    <w:rsid w:val="00A02D3C"/>
    <w:rsid w:val="00A02E52"/>
    <w:rsid w:val="00A02EC7"/>
    <w:rsid w:val="00A02FED"/>
    <w:rsid w:val="00A0304E"/>
    <w:rsid w:val="00A033FB"/>
    <w:rsid w:val="00A03A2E"/>
    <w:rsid w:val="00A03CB0"/>
    <w:rsid w:val="00A03CDA"/>
    <w:rsid w:val="00A03D44"/>
    <w:rsid w:val="00A03DE9"/>
    <w:rsid w:val="00A03E3B"/>
    <w:rsid w:val="00A03FA5"/>
    <w:rsid w:val="00A0400E"/>
    <w:rsid w:val="00A04085"/>
    <w:rsid w:val="00A046F7"/>
    <w:rsid w:val="00A04714"/>
    <w:rsid w:val="00A048F7"/>
    <w:rsid w:val="00A04D84"/>
    <w:rsid w:val="00A04F28"/>
    <w:rsid w:val="00A04F2C"/>
    <w:rsid w:val="00A0510F"/>
    <w:rsid w:val="00A05162"/>
    <w:rsid w:val="00A051AA"/>
    <w:rsid w:val="00A05257"/>
    <w:rsid w:val="00A052FC"/>
    <w:rsid w:val="00A054DC"/>
    <w:rsid w:val="00A0558A"/>
    <w:rsid w:val="00A0561B"/>
    <w:rsid w:val="00A0567A"/>
    <w:rsid w:val="00A05838"/>
    <w:rsid w:val="00A0585C"/>
    <w:rsid w:val="00A0594E"/>
    <w:rsid w:val="00A059AD"/>
    <w:rsid w:val="00A05BAC"/>
    <w:rsid w:val="00A05C2B"/>
    <w:rsid w:val="00A05E93"/>
    <w:rsid w:val="00A05F5E"/>
    <w:rsid w:val="00A061E6"/>
    <w:rsid w:val="00A062AB"/>
    <w:rsid w:val="00A06568"/>
    <w:rsid w:val="00A066AB"/>
    <w:rsid w:val="00A066F2"/>
    <w:rsid w:val="00A0691E"/>
    <w:rsid w:val="00A06AF1"/>
    <w:rsid w:val="00A06B6D"/>
    <w:rsid w:val="00A06E10"/>
    <w:rsid w:val="00A06EB2"/>
    <w:rsid w:val="00A06EC8"/>
    <w:rsid w:val="00A07049"/>
    <w:rsid w:val="00A07394"/>
    <w:rsid w:val="00A07406"/>
    <w:rsid w:val="00A074AE"/>
    <w:rsid w:val="00A075C2"/>
    <w:rsid w:val="00A0767C"/>
    <w:rsid w:val="00A07683"/>
    <w:rsid w:val="00A07972"/>
    <w:rsid w:val="00A07974"/>
    <w:rsid w:val="00A07BDD"/>
    <w:rsid w:val="00A07E97"/>
    <w:rsid w:val="00A07F5C"/>
    <w:rsid w:val="00A1011D"/>
    <w:rsid w:val="00A1016E"/>
    <w:rsid w:val="00A101A1"/>
    <w:rsid w:val="00A10397"/>
    <w:rsid w:val="00A10399"/>
    <w:rsid w:val="00A1041C"/>
    <w:rsid w:val="00A1043D"/>
    <w:rsid w:val="00A104AD"/>
    <w:rsid w:val="00A105F5"/>
    <w:rsid w:val="00A1066D"/>
    <w:rsid w:val="00A10830"/>
    <w:rsid w:val="00A10847"/>
    <w:rsid w:val="00A10A27"/>
    <w:rsid w:val="00A10A43"/>
    <w:rsid w:val="00A10AD1"/>
    <w:rsid w:val="00A10B85"/>
    <w:rsid w:val="00A10C0D"/>
    <w:rsid w:val="00A10D54"/>
    <w:rsid w:val="00A10D9E"/>
    <w:rsid w:val="00A10F75"/>
    <w:rsid w:val="00A10FC7"/>
    <w:rsid w:val="00A111EF"/>
    <w:rsid w:val="00A1126A"/>
    <w:rsid w:val="00A112CB"/>
    <w:rsid w:val="00A1131D"/>
    <w:rsid w:val="00A1145D"/>
    <w:rsid w:val="00A116BA"/>
    <w:rsid w:val="00A11772"/>
    <w:rsid w:val="00A11822"/>
    <w:rsid w:val="00A11A07"/>
    <w:rsid w:val="00A11ABE"/>
    <w:rsid w:val="00A11CE0"/>
    <w:rsid w:val="00A11D38"/>
    <w:rsid w:val="00A11D3C"/>
    <w:rsid w:val="00A11D8D"/>
    <w:rsid w:val="00A11E52"/>
    <w:rsid w:val="00A11F70"/>
    <w:rsid w:val="00A1240C"/>
    <w:rsid w:val="00A125A0"/>
    <w:rsid w:val="00A125D6"/>
    <w:rsid w:val="00A12625"/>
    <w:rsid w:val="00A1271B"/>
    <w:rsid w:val="00A127D0"/>
    <w:rsid w:val="00A12843"/>
    <w:rsid w:val="00A1292C"/>
    <w:rsid w:val="00A129AE"/>
    <w:rsid w:val="00A12A24"/>
    <w:rsid w:val="00A12A2B"/>
    <w:rsid w:val="00A12A3F"/>
    <w:rsid w:val="00A12A58"/>
    <w:rsid w:val="00A12B4F"/>
    <w:rsid w:val="00A12C12"/>
    <w:rsid w:val="00A12CE4"/>
    <w:rsid w:val="00A12FF2"/>
    <w:rsid w:val="00A130F9"/>
    <w:rsid w:val="00A13560"/>
    <w:rsid w:val="00A135E5"/>
    <w:rsid w:val="00A13643"/>
    <w:rsid w:val="00A136B5"/>
    <w:rsid w:val="00A136CC"/>
    <w:rsid w:val="00A13997"/>
    <w:rsid w:val="00A139CB"/>
    <w:rsid w:val="00A13A44"/>
    <w:rsid w:val="00A13B81"/>
    <w:rsid w:val="00A13BE4"/>
    <w:rsid w:val="00A13BF7"/>
    <w:rsid w:val="00A13D18"/>
    <w:rsid w:val="00A13EC6"/>
    <w:rsid w:val="00A141A6"/>
    <w:rsid w:val="00A14286"/>
    <w:rsid w:val="00A1439E"/>
    <w:rsid w:val="00A1446A"/>
    <w:rsid w:val="00A147BE"/>
    <w:rsid w:val="00A14861"/>
    <w:rsid w:val="00A14956"/>
    <w:rsid w:val="00A14A57"/>
    <w:rsid w:val="00A14A76"/>
    <w:rsid w:val="00A14BC0"/>
    <w:rsid w:val="00A14BC9"/>
    <w:rsid w:val="00A14C03"/>
    <w:rsid w:val="00A14CB3"/>
    <w:rsid w:val="00A14CCD"/>
    <w:rsid w:val="00A14E81"/>
    <w:rsid w:val="00A14EE1"/>
    <w:rsid w:val="00A14F54"/>
    <w:rsid w:val="00A151CB"/>
    <w:rsid w:val="00A152EE"/>
    <w:rsid w:val="00A1586A"/>
    <w:rsid w:val="00A159D4"/>
    <w:rsid w:val="00A15A97"/>
    <w:rsid w:val="00A15DA8"/>
    <w:rsid w:val="00A15DAE"/>
    <w:rsid w:val="00A16160"/>
    <w:rsid w:val="00A16390"/>
    <w:rsid w:val="00A164F8"/>
    <w:rsid w:val="00A166B1"/>
    <w:rsid w:val="00A166B5"/>
    <w:rsid w:val="00A16852"/>
    <w:rsid w:val="00A168CF"/>
    <w:rsid w:val="00A16A61"/>
    <w:rsid w:val="00A16AB7"/>
    <w:rsid w:val="00A16B09"/>
    <w:rsid w:val="00A16B4D"/>
    <w:rsid w:val="00A16D21"/>
    <w:rsid w:val="00A16D2E"/>
    <w:rsid w:val="00A16EA2"/>
    <w:rsid w:val="00A16FE9"/>
    <w:rsid w:val="00A17020"/>
    <w:rsid w:val="00A170D2"/>
    <w:rsid w:val="00A17110"/>
    <w:rsid w:val="00A17198"/>
    <w:rsid w:val="00A171F1"/>
    <w:rsid w:val="00A17283"/>
    <w:rsid w:val="00A172B1"/>
    <w:rsid w:val="00A17323"/>
    <w:rsid w:val="00A174A3"/>
    <w:rsid w:val="00A175B8"/>
    <w:rsid w:val="00A17608"/>
    <w:rsid w:val="00A1765A"/>
    <w:rsid w:val="00A176F8"/>
    <w:rsid w:val="00A17730"/>
    <w:rsid w:val="00A1790C"/>
    <w:rsid w:val="00A17913"/>
    <w:rsid w:val="00A1795B"/>
    <w:rsid w:val="00A17D04"/>
    <w:rsid w:val="00A20384"/>
    <w:rsid w:val="00A20411"/>
    <w:rsid w:val="00A20515"/>
    <w:rsid w:val="00A2055B"/>
    <w:rsid w:val="00A20660"/>
    <w:rsid w:val="00A2098C"/>
    <w:rsid w:val="00A20A19"/>
    <w:rsid w:val="00A20B7E"/>
    <w:rsid w:val="00A20C2D"/>
    <w:rsid w:val="00A20D15"/>
    <w:rsid w:val="00A20F64"/>
    <w:rsid w:val="00A210BF"/>
    <w:rsid w:val="00A21146"/>
    <w:rsid w:val="00A21326"/>
    <w:rsid w:val="00A21424"/>
    <w:rsid w:val="00A2146A"/>
    <w:rsid w:val="00A214CD"/>
    <w:rsid w:val="00A214DD"/>
    <w:rsid w:val="00A218B3"/>
    <w:rsid w:val="00A218C4"/>
    <w:rsid w:val="00A218CE"/>
    <w:rsid w:val="00A21902"/>
    <w:rsid w:val="00A2199D"/>
    <w:rsid w:val="00A21A02"/>
    <w:rsid w:val="00A21A5B"/>
    <w:rsid w:val="00A21BFF"/>
    <w:rsid w:val="00A21C21"/>
    <w:rsid w:val="00A21DA8"/>
    <w:rsid w:val="00A21E0A"/>
    <w:rsid w:val="00A21FBE"/>
    <w:rsid w:val="00A22085"/>
    <w:rsid w:val="00A220A0"/>
    <w:rsid w:val="00A220BC"/>
    <w:rsid w:val="00A2255B"/>
    <w:rsid w:val="00A22680"/>
    <w:rsid w:val="00A227C0"/>
    <w:rsid w:val="00A22919"/>
    <w:rsid w:val="00A22BD7"/>
    <w:rsid w:val="00A22C23"/>
    <w:rsid w:val="00A22D47"/>
    <w:rsid w:val="00A22E2A"/>
    <w:rsid w:val="00A230C4"/>
    <w:rsid w:val="00A230E5"/>
    <w:rsid w:val="00A231E2"/>
    <w:rsid w:val="00A231E5"/>
    <w:rsid w:val="00A232EC"/>
    <w:rsid w:val="00A233AF"/>
    <w:rsid w:val="00A233B4"/>
    <w:rsid w:val="00A2365F"/>
    <w:rsid w:val="00A23772"/>
    <w:rsid w:val="00A237E3"/>
    <w:rsid w:val="00A239C9"/>
    <w:rsid w:val="00A23C24"/>
    <w:rsid w:val="00A23CDA"/>
    <w:rsid w:val="00A23D04"/>
    <w:rsid w:val="00A23D23"/>
    <w:rsid w:val="00A23EF3"/>
    <w:rsid w:val="00A2418A"/>
    <w:rsid w:val="00A241B9"/>
    <w:rsid w:val="00A241E1"/>
    <w:rsid w:val="00A241FA"/>
    <w:rsid w:val="00A2423E"/>
    <w:rsid w:val="00A24324"/>
    <w:rsid w:val="00A243C1"/>
    <w:rsid w:val="00A2458A"/>
    <w:rsid w:val="00A24877"/>
    <w:rsid w:val="00A248AD"/>
    <w:rsid w:val="00A24C1A"/>
    <w:rsid w:val="00A24D2B"/>
    <w:rsid w:val="00A25044"/>
    <w:rsid w:val="00A25065"/>
    <w:rsid w:val="00A251B6"/>
    <w:rsid w:val="00A2532E"/>
    <w:rsid w:val="00A2539E"/>
    <w:rsid w:val="00A253CD"/>
    <w:rsid w:val="00A25441"/>
    <w:rsid w:val="00A2548D"/>
    <w:rsid w:val="00A25707"/>
    <w:rsid w:val="00A25869"/>
    <w:rsid w:val="00A25870"/>
    <w:rsid w:val="00A25ADC"/>
    <w:rsid w:val="00A25C78"/>
    <w:rsid w:val="00A25C9D"/>
    <w:rsid w:val="00A2605E"/>
    <w:rsid w:val="00A261B1"/>
    <w:rsid w:val="00A261C7"/>
    <w:rsid w:val="00A26407"/>
    <w:rsid w:val="00A26446"/>
    <w:rsid w:val="00A26471"/>
    <w:rsid w:val="00A2691F"/>
    <w:rsid w:val="00A26C31"/>
    <w:rsid w:val="00A26DA6"/>
    <w:rsid w:val="00A26DC9"/>
    <w:rsid w:val="00A26ED4"/>
    <w:rsid w:val="00A26F9A"/>
    <w:rsid w:val="00A273CB"/>
    <w:rsid w:val="00A273F1"/>
    <w:rsid w:val="00A27567"/>
    <w:rsid w:val="00A27647"/>
    <w:rsid w:val="00A276CD"/>
    <w:rsid w:val="00A277A3"/>
    <w:rsid w:val="00A27852"/>
    <w:rsid w:val="00A27872"/>
    <w:rsid w:val="00A278ED"/>
    <w:rsid w:val="00A27960"/>
    <w:rsid w:val="00A27A3F"/>
    <w:rsid w:val="00A27A44"/>
    <w:rsid w:val="00A27A7A"/>
    <w:rsid w:val="00A27DD9"/>
    <w:rsid w:val="00A27E04"/>
    <w:rsid w:val="00A3006A"/>
    <w:rsid w:val="00A30082"/>
    <w:rsid w:val="00A3011D"/>
    <w:rsid w:val="00A3026E"/>
    <w:rsid w:val="00A30368"/>
    <w:rsid w:val="00A303ED"/>
    <w:rsid w:val="00A3046B"/>
    <w:rsid w:val="00A3053E"/>
    <w:rsid w:val="00A30750"/>
    <w:rsid w:val="00A30752"/>
    <w:rsid w:val="00A30838"/>
    <w:rsid w:val="00A30BF5"/>
    <w:rsid w:val="00A30DF5"/>
    <w:rsid w:val="00A30E81"/>
    <w:rsid w:val="00A31141"/>
    <w:rsid w:val="00A31239"/>
    <w:rsid w:val="00A31306"/>
    <w:rsid w:val="00A314A3"/>
    <w:rsid w:val="00A3157F"/>
    <w:rsid w:val="00A31581"/>
    <w:rsid w:val="00A318A0"/>
    <w:rsid w:val="00A31D36"/>
    <w:rsid w:val="00A31E76"/>
    <w:rsid w:val="00A31E7A"/>
    <w:rsid w:val="00A31EB2"/>
    <w:rsid w:val="00A31F75"/>
    <w:rsid w:val="00A3226B"/>
    <w:rsid w:val="00A324B5"/>
    <w:rsid w:val="00A326DB"/>
    <w:rsid w:val="00A327F4"/>
    <w:rsid w:val="00A32874"/>
    <w:rsid w:val="00A3289A"/>
    <w:rsid w:val="00A32E47"/>
    <w:rsid w:val="00A32EA5"/>
    <w:rsid w:val="00A32F1F"/>
    <w:rsid w:val="00A32F49"/>
    <w:rsid w:val="00A32FF7"/>
    <w:rsid w:val="00A330EA"/>
    <w:rsid w:val="00A3335F"/>
    <w:rsid w:val="00A3339F"/>
    <w:rsid w:val="00A333C5"/>
    <w:rsid w:val="00A333E5"/>
    <w:rsid w:val="00A33479"/>
    <w:rsid w:val="00A33577"/>
    <w:rsid w:val="00A3358D"/>
    <w:rsid w:val="00A335A1"/>
    <w:rsid w:val="00A335A6"/>
    <w:rsid w:val="00A336C6"/>
    <w:rsid w:val="00A337A5"/>
    <w:rsid w:val="00A337AA"/>
    <w:rsid w:val="00A33836"/>
    <w:rsid w:val="00A33C21"/>
    <w:rsid w:val="00A33E38"/>
    <w:rsid w:val="00A33F0E"/>
    <w:rsid w:val="00A33F26"/>
    <w:rsid w:val="00A33F3C"/>
    <w:rsid w:val="00A33F3E"/>
    <w:rsid w:val="00A33FFA"/>
    <w:rsid w:val="00A34091"/>
    <w:rsid w:val="00A342D1"/>
    <w:rsid w:val="00A34333"/>
    <w:rsid w:val="00A34434"/>
    <w:rsid w:val="00A34800"/>
    <w:rsid w:val="00A3498F"/>
    <w:rsid w:val="00A34A18"/>
    <w:rsid w:val="00A34A20"/>
    <w:rsid w:val="00A34B46"/>
    <w:rsid w:val="00A34E97"/>
    <w:rsid w:val="00A34EDB"/>
    <w:rsid w:val="00A34F2A"/>
    <w:rsid w:val="00A35003"/>
    <w:rsid w:val="00A35138"/>
    <w:rsid w:val="00A35180"/>
    <w:rsid w:val="00A351B4"/>
    <w:rsid w:val="00A35260"/>
    <w:rsid w:val="00A354A9"/>
    <w:rsid w:val="00A35619"/>
    <w:rsid w:val="00A3562E"/>
    <w:rsid w:val="00A356A5"/>
    <w:rsid w:val="00A35812"/>
    <w:rsid w:val="00A35956"/>
    <w:rsid w:val="00A3598A"/>
    <w:rsid w:val="00A35E99"/>
    <w:rsid w:val="00A35EF2"/>
    <w:rsid w:val="00A35FD5"/>
    <w:rsid w:val="00A36125"/>
    <w:rsid w:val="00A362A6"/>
    <w:rsid w:val="00A36377"/>
    <w:rsid w:val="00A36385"/>
    <w:rsid w:val="00A36584"/>
    <w:rsid w:val="00A365B6"/>
    <w:rsid w:val="00A36752"/>
    <w:rsid w:val="00A368BA"/>
    <w:rsid w:val="00A36940"/>
    <w:rsid w:val="00A36B7B"/>
    <w:rsid w:val="00A36C3E"/>
    <w:rsid w:val="00A36EE4"/>
    <w:rsid w:val="00A36F7B"/>
    <w:rsid w:val="00A370A7"/>
    <w:rsid w:val="00A370E3"/>
    <w:rsid w:val="00A371D2"/>
    <w:rsid w:val="00A37234"/>
    <w:rsid w:val="00A37309"/>
    <w:rsid w:val="00A373FE"/>
    <w:rsid w:val="00A3753D"/>
    <w:rsid w:val="00A375F4"/>
    <w:rsid w:val="00A37951"/>
    <w:rsid w:val="00A379B2"/>
    <w:rsid w:val="00A37A53"/>
    <w:rsid w:val="00A37CBA"/>
    <w:rsid w:val="00A37E27"/>
    <w:rsid w:val="00A37ECC"/>
    <w:rsid w:val="00A400D5"/>
    <w:rsid w:val="00A40162"/>
    <w:rsid w:val="00A401DB"/>
    <w:rsid w:val="00A404DA"/>
    <w:rsid w:val="00A4059B"/>
    <w:rsid w:val="00A405B4"/>
    <w:rsid w:val="00A405E6"/>
    <w:rsid w:val="00A4073F"/>
    <w:rsid w:val="00A40789"/>
    <w:rsid w:val="00A408F0"/>
    <w:rsid w:val="00A40B0D"/>
    <w:rsid w:val="00A40B86"/>
    <w:rsid w:val="00A40C9C"/>
    <w:rsid w:val="00A40CA3"/>
    <w:rsid w:val="00A40CF0"/>
    <w:rsid w:val="00A40D0D"/>
    <w:rsid w:val="00A41060"/>
    <w:rsid w:val="00A41150"/>
    <w:rsid w:val="00A4125D"/>
    <w:rsid w:val="00A4129E"/>
    <w:rsid w:val="00A41308"/>
    <w:rsid w:val="00A4175A"/>
    <w:rsid w:val="00A41820"/>
    <w:rsid w:val="00A41944"/>
    <w:rsid w:val="00A419C7"/>
    <w:rsid w:val="00A41A26"/>
    <w:rsid w:val="00A41A68"/>
    <w:rsid w:val="00A41B2E"/>
    <w:rsid w:val="00A41B65"/>
    <w:rsid w:val="00A41C25"/>
    <w:rsid w:val="00A41C2D"/>
    <w:rsid w:val="00A41CC6"/>
    <w:rsid w:val="00A41FBA"/>
    <w:rsid w:val="00A4205D"/>
    <w:rsid w:val="00A42087"/>
    <w:rsid w:val="00A4217F"/>
    <w:rsid w:val="00A421A0"/>
    <w:rsid w:val="00A42327"/>
    <w:rsid w:val="00A4262B"/>
    <w:rsid w:val="00A4289C"/>
    <w:rsid w:val="00A42A77"/>
    <w:rsid w:val="00A42C69"/>
    <w:rsid w:val="00A42C7F"/>
    <w:rsid w:val="00A42DBE"/>
    <w:rsid w:val="00A43023"/>
    <w:rsid w:val="00A4304B"/>
    <w:rsid w:val="00A430D1"/>
    <w:rsid w:val="00A434F0"/>
    <w:rsid w:val="00A434F8"/>
    <w:rsid w:val="00A43514"/>
    <w:rsid w:val="00A4352E"/>
    <w:rsid w:val="00A435D8"/>
    <w:rsid w:val="00A43779"/>
    <w:rsid w:val="00A437D0"/>
    <w:rsid w:val="00A437E1"/>
    <w:rsid w:val="00A4382E"/>
    <w:rsid w:val="00A4388B"/>
    <w:rsid w:val="00A43975"/>
    <w:rsid w:val="00A43DDD"/>
    <w:rsid w:val="00A43F8E"/>
    <w:rsid w:val="00A440D2"/>
    <w:rsid w:val="00A4416D"/>
    <w:rsid w:val="00A4420E"/>
    <w:rsid w:val="00A4440A"/>
    <w:rsid w:val="00A444D4"/>
    <w:rsid w:val="00A445FA"/>
    <w:rsid w:val="00A446D0"/>
    <w:rsid w:val="00A4472B"/>
    <w:rsid w:val="00A44820"/>
    <w:rsid w:val="00A4482B"/>
    <w:rsid w:val="00A448C2"/>
    <w:rsid w:val="00A44976"/>
    <w:rsid w:val="00A44A62"/>
    <w:rsid w:val="00A44DC9"/>
    <w:rsid w:val="00A45034"/>
    <w:rsid w:val="00A45146"/>
    <w:rsid w:val="00A45168"/>
    <w:rsid w:val="00A451D6"/>
    <w:rsid w:val="00A45418"/>
    <w:rsid w:val="00A455A9"/>
    <w:rsid w:val="00A4579D"/>
    <w:rsid w:val="00A458BB"/>
    <w:rsid w:val="00A4591A"/>
    <w:rsid w:val="00A45962"/>
    <w:rsid w:val="00A45967"/>
    <w:rsid w:val="00A45AAA"/>
    <w:rsid w:val="00A45E8A"/>
    <w:rsid w:val="00A45FE9"/>
    <w:rsid w:val="00A45FEA"/>
    <w:rsid w:val="00A46092"/>
    <w:rsid w:val="00A461C5"/>
    <w:rsid w:val="00A46334"/>
    <w:rsid w:val="00A46451"/>
    <w:rsid w:val="00A4647D"/>
    <w:rsid w:val="00A46519"/>
    <w:rsid w:val="00A4660A"/>
    <w:rsid w:val="00A46898"/>
    <w:rsid w:val="00A4698F"/>
    <w:rsid w:val="00A46A2A"/>
    <w:rsid w:val="00A46A4D"/>
    <w:rsid w:val="00A46B2E"/>
    <w:rsid w:val="00A46BE8"/>
    <w:rsid w:val="00A46C5D"/>
    <w:rsid w:val="00A46D9F"/>
    <w:rsid w:val="00A46EE1"/>
    <w:rsid w:val="00A46FEE"/>
    <w:rsid w:val="00A47053"/>
    <w:rsid w:val="00A47152"/>
    <w:rsid w:val="00A47379"/>
    <w:rsid w:val="00A473A0"/>
    <w:rsid w:val="00A473EE"/>
    <w:rsid w:val="00A47744"/>
    <w:rsid w:val="00A477F1"/>
    <w:rsid w:val="00A477FB"/>
    <w:rsid w:val="00A478BB"/>
    <w:rsid w:val="00A478D7"/>
    <w:rsid w:val="00A47BF1"/>
    <w:rsid w:val="00A47E46"/>
    <w:rsid w:val="00A47E55"/>
    <w:rsid w:val="00A47F8D"/>
    <w:rsid w:val="00A500DA"/>
    <w:rsid w:val="00A50210"/>
    <w:rsid w:val="00A50214"/>
    <w:rsid w:val="00A503AB"/>
    <w:rsid w:val="00A50493"/>
    <w:rsid w:val="00A50581"/>
    <w:rsid w:val="00A50B21"/>
    <w:rsid w:val="00A50DDA"/>
    <w:rsid w:val="00A50E85"/>
    <w:rsid w:val="00A50F6F"/>
    <w:rsid w:val="00A50FC1"/>
    <w:rsid w:val="00A515C6"/>
    <w:rsid w:val="00A516E9"/>
    <w:rsid w:val="00A51958"/>
    <w:rsid w:val="00A519B3"/>
    <w:rsid w:val="00A51A4E"/>
    <w:rsid w:val="00A51B77"/>
    <w:rsid w:val="00A51BEE"/>
    <w:rsid w:val="00A51CA6"/>
    <w:rsid w:val="00A51CE5"/>
    <w:rsid w:val="00A51D1A"/>
    <w:rsid w:val="00A51D8D"/>
    <w:rsid w:val="00A51DD9"/>
    <w:rsid w:val="00A522EF"/>
    <w:rsid w:val="00A52362"/>
    <w:rsid w:val="00A523FB"/>
    <w:rsid w:val="00A5242E"/>
    <w:rsid w:val="00A52468"/>
    <w:rsid w:val="00A525BF"/>
    <w:rsid w:val="00A52653"/>
    <w:rsid w:val="00A52804"/>
    <w:rsid w:val="00A52889"/>
    <w:rsid w:val="00A528A6"/>
    <w:rsid w:val="00A52956"/>
    <w:rsid w:val="00A52A56"/>
    <w:rsid w:val="00A52B2D"/>
    <w:rsid w:val="00A52BE9"/>
    <w:rsid w:val="00A52DEA"/>
    <w:rsid w:val="00A52E8D"/>
    <w:rsid w:val="00A52EAB"/>
    <w:rsid w:val="00A53055"/>
    <w:rsid w:val="00A530F7"/>
    <w:rsid w:val="00A53331"/>
    <w:rsid w:val="00A533E4"/>
    <w:rsid w:val="00A53585"/>
    <w:rsid w:val="00A5360C"/>
    <w:rsid w:val="00A53670"/>
    <w:rsid w:val="00A537EB"/>
    <w:rsid w:val="00A53827"/>
    <w:rsid w:val="00A5388A"/>
    <w:rsid w:val="00A53B5A"/>
    <w:rsid w:val="00A53C4E"/>
    <w:rsid w:val="00A53C6C"/>
    <w:rsid w:val="00A53D0C"/>
    <w:rsid w:val="00A53D0D"/>
    <w:rsid w:val="00A53E44"/>
    <w:rsid w:val="00A53EA5"/>
    <w:rsid w:val="00A53F13"/>
    <w:rsid w:val="00A53F53"/>
    <w:rsid w:val="00A53FB2"/>
    <w:rsid w:val="00A5401A"/>
    <w:rsid w:val="00A5403E"/>
    <w:rsid w:val="00A540F5"/>
    <w:rsid w:val="00A5423F"/>
    <w:rsid w:val="00A542DF"/>
    <w:rsid w:val="00A54636"/>
    <w:rsid w:val="00A548F0"/>
    <w:rsid w:val="00A5493C"/>
    <w:rsid w:val="00A54AB8"/>
    <w:rsid w:val="00A54B4A"/>
    <w:rsid w:val="00A54C04"/>
    <w:rsid w:val="00A54C4D"/>
    <w:rsid w:val="00A54DC4"/>
    <w:rsid w:val="00A54F8B"/>
    <w:rsid w:val="00A55039"/>
    <w:rsid w:val="00A5505E"/>
    <w:rsid w:val="00A55069"/>
    <w:rsid w:val="00A55102"/>
    <w:rsid w:val="00A5539B"/>
    <w:rsid w:val="00A55692"/>
    <w:rsid w:val="00A557FC"/>
    <w:rsid w:val="00A55839"/>
    <w:rsid w:val="00A5588F"/>
    <w:rsid w:val="00A558BA"/>
    <w:rsid w:val="00A55B02"/>
    <w:rsid w:val="00A55C58"/>
    <w:rsid w:val="00A55C87"/>
    <w:rsid w:val="00A55D06"/>
    <w:rsid w:val="00A55E2F"/>
    <w:rsid w:val="00A55F45"/>
    <w:rsid w:val="00A562ED"/>
    <w:rsid w:val="00A563B7"/>
    <w:rsid w:val="00A56627"/>
    <w:rsid w:val="00A56713"/>
    <w:rsid w:val="00A5696B"/>
    <w:rsid w:val="00A56B21"/>
    <w:rsid w:val="00A56CB2"/>
    <w:rsid w:val="00A56CF4"/>
    <w:rsid w:val="00A56DE9"/>
    <w:rsid w:val="00A56EB1"/>
    <w:rsid w:val="00A56F1B"/>
    <w:rsid w:val="00A57128"/>
    <w:rsid w:val="00A57450"/>
    <w:rsid w:val="00A5750F"/>
    <w:rsid w:val="00A57618"/>
    <w:rsid w:val="00A57639"/>
    <w:rsid w:val="00A57660"/>
    <w:rsid w:val="00A57779"/>
    <w:rsid w:val="00A57895"/>
    <w:rsid w:val="00A57937"/>
    <w:rsid w:val="00A57B49"/>
    <w:rsid w:val="00A57C32"/>
    <w:rsid w:val="00A57C9D"/>
    <w:rsid w:val="00A57D6B"/>
    <w:rsid w:val="00A57E44"/>
    <w:rsid w:val="00A57EF5"/>
    <w:rsid w:val="00A57F00"/>
    <w:rsid w:val="00A57F8D"/>
    <w:rsid w:val="00A6003B"/>
    <w:rsid w:val="00A60172"/>
    <w:rsid w:val="00A60312"/>
    <w:rsid w:val="00A603A3"/>
    <w:rsid w:val="00A604F2"/>
    <w:rsid w:val="00A60665"/>
    <w:rsid w:val="00A60803"/>
    <w:rsid w:val="00A60AB8"/>
    <w:rsid w:val="00A60AD9"/>
    <w:rsid w:val="00A60B51"/>
    <w:rsid w:val="00A60BF7"/>
    <w:rsid w:val="00A60E68"/>
    <w:rsid w:val="00A6101F"/>
    <w:rsid w:val="00A6107D"/>
    <w:rsid w:val="00A61139"/>
    <w:rsid w:val="00A611FA"/>
    <w:rsid w:val="00A61251"/>
    <w:rsid w:val="00A612F1"/>
    <w:rsid w:val="00A6148B"/>
    <w:rsid w:val="00A6166E"/>
    <w:rsid w:val="00A61ADB"/>
    <w:rsid w:val="00A61BDD"/>
    <w:rsid w:val="00A61C96"/>
    <w:rsid w:val="00A61E13"/>
    <w:rsid w:val="00A61EC1"/>
    <w:rsid w:val="00A61F76"/>
    <w:rsid w:val="00A61FFB"/>
    <w:rsid w:val="00A6201E"/>
    <w:rsid w:val="00A62059"/>
    <w:rsid w:val="00A623C5"/>
    <w:rsid w:val="00A6240B"/>
    <w:rsid w:val="00A624AE"/>
    <w:rsid w:val="00A6251A"/>
    <w:rsid w:val="00A6253B"/>
    <w:rsid w:val="00A62621"/>
    <w:rsid w:val="00A626D8"/>
    <w:rsid w:val="00A6279A"/>
    <w:rsid w:val="00A627D9"/>
    <w:rsid w:val="00A627DB"/>
    <w:rsid w:val="00A6282F"/>
    <w:rsid w:val="00A628D0"/>
    <w:rsid w:val="00A628F3"/>
    <w:rsid w:val="00A629F1"/>
    <w:rsid w:val="00A62A2F"/>
    <w:rsid w:val="00A62AAA"/>
    <w:rsid w:val="00A62AF0"/>
    <w:rsid w:val="00A62EE2"/>
    <w:rsid w:val="00A62F9A"/>
    <w:rsid w:val="00A63224"/>
    <w:rsid w:val="00A636F1"/>
    <w:rsid w:val="00A638EF"/>
    <w:rsid w:val="00A63960"/>
    <w:rsid w:val="00A63A3C"/>
    <w:rsid w:val="00A63B53"/>
    <w:rsid w:val="00A63D28"/>
    <w:rsid w:val="00A63F4A"/>
    <w:rsid w:val="00A64059"/>
    <w:rsid w:val="00A64070"/>
    <w:rsid w:val="00A64112"/>
    <w:rsid w:val="00A6417F"/>
    <w:rsid w:val="00A64389"/>
    <w:rsid w:val="00A64473"/>
    <w:rsid w:val="00A647F0"/>
    <w:rsid w:val="00A64809"/>
    <w:rsid w:val="00A6481A"/>
    <w:rsid w:val="00A6491B"/>
    <w:rsid w:val="00A64977"/>
    <w:rsid w:val="00A64A88"/>
    <w:rsid w:val="00A64DD2"/>
    <w:rsid w:val="00A64DE5"/>
    <w:rsid w:val="00A64E37"/>
    <w:rsid w:val="00A650B6"/>
    <w:rsid w:val="00A651C8"/>
    <w:rsid w:val="00A65384"/>
    <w:rsid w:val="00A654B3"/>
    <w:rsid w:val="00A65610"/>
    <w:rsid w:val="00A6587E"/>
    <w:rsid w:val="00A65931"/>
    <w:rsid w:val="00A65AEA"/>
    <w:rsid w:val="00A65AF3"/>
    <w:rsid w:val="00A65C31"/>
    <w:rsid w:val="00A65CFC"/>
    <w:rsid w:val="00A65E89"/>
    <w:rsid w:val="00A65EE1"/>
    <w:rsid w:val="00A6604B"/>
    <w:rsid w:val="00A660BE"/>
    <w:rsid w:val="00A6615B"/>
    <w:rsid w:val="00A66207"/>
    <w:rsid w:val="00A66354"/>
    <w:rsid w:val="00A66401"/>
    <w:rsid w:val="00A6654A"/>
    <w:rsid w:val="00A66892"/>
    <w:rsid w:val="00A66972"/>
    <w:rsid w:val="00A66A9E"/>
    <w:rsid w:val="00A6700E"/>
    <w:rsid w:val="00A67067"/>
    <w:rsid w:val="00A671FF"/>
    <w:rsid w:val="00A672A9"/>
    <w:rsid w:val="00A674AF"/>
    <w:rsid w:val="00A67641"/>
    <w:rsid w:val="00A67645"/>
    <w:rsid w:val="00A6764C"/>
    <w:rsid w:val="00A67753"/>
    <w:rsid w:val="00A677CB"/>
    <w:rsid w:val="00A6782D"/>
    <w:rsid w:val="00A67A7F"/>
    <w:rsid w:val="00A67B0F"/>
    <w:rsid w:val="00A67C1F"/>
    <w:rsid w:val="00A67CBE"/>
    <w:rsid w:val="00A67D30"/>
    <w:rsid w:val="00A67D3E"/>
    <w:rsid w:val="00A67DB1"/>
    <w:rsid w:val="00A67DE9"/>
    <w:rsid w:val="00A67E75"/>
    <w:rsid w:val="00A700AE"/>
    <w:rsid w:val="00A701E6"/>
    <w:rsid w:val="00A701F3"/>
    <w:rsid w:val="00A703E3"/>
    <w:rsid w:val="00A70525"/>
    <w:rsid w:val="00A70641"/>
    <w:rsid w:val="00A70664"/>
    <w:rsid w:val="00A70939"/>
    <w:rsid w:val="00A70973"/>
    <w:rsid w:val="00A709EA"/>
    <w:rsid w:val="00A709F3"/>
    <w:rsid w:val="00A70A18"/>
    <w:rsid w:val="00A70A69"/>
    <w:rsid w:val="00A70AFF"/>
    <w:rsid w:val="00A70D6E"/>
    <w:rsid w:val="00A70F98"/>
    <w:rsid w:val="00A710D3"/>
    <w:rsid w:val="00A7134C"/>
    <w:rsid w:val="00A714D3"/>
    <w:rsid w:val="00A71512"/>
    <w:rsid w:val="00A71583"/>
    <w:rsid w:val="00A71A0D"/>
    <w:rsid w:val="00A71B53"/>
    <w:rsid w:val="00A71B68"/>
    <w:rsid w:val="00A71E23"/>
    <w:rsid w:val="00A71EA3"/>
    <w:rsid w:val="00A71F75"/>
    <w:rsid w:val="00A71FE6"/>
    <w:rsid w:val="00A72092"/>
    <w:rsid w:val="00A72096"/>
    <w:rsid w:val="00A720CB"/>
    <w:rsid w:val="00A72196"/>
    <w:rsid w:val="00A72364"/>
    <w:rsid w:val="00A72536"/>
    <w:rsid w:val="00A7257F"/>
    <w:rsid w:val="00A72652"/>
    <w:rsid w:val="00A7265D"/>
    <w:rsid w:val="00A7290D"/>
    <w:rsid w:val="00A72AD2"/>
    <w:rsid w:val="00A72AD9"/>
    <w:rsid w:val="00A72AEB"/>
    <w:rsid w:val="00A72D00"/>
    <w:rsid w:val="00A72D77"/>
    <w:rsid w:val="00A72E3D"/>
    <w:rsid w:val="00A72E3F"/>
    <w:rsid w:val="00A72F07"/>
    <w:rsid w:val="00A72F88"/>
    <w:rsid w:val="00A73038"/>
    <w:rsid w:val="00A7309F"/>
    <w:rsid w:val="00A73103"/>
    <w:rsid w:val="00A73372"/>
    <w:rsid w:val="00A73403"/>
    <w:rsid w:val="00A7362B"/>
    <w:rsid w:val="00A7369A"/>
    <w:rsid w:val="00A736FE"/>
    <w:rsid w:val="00A7380C"/>
    <w:rsid w:val="00A7390A"/>
    <w:rsid w:val="00A73A67"/>
    <w:rsid w:val="00A73DB3"/>
    <w:rsid w:val="00A73F23"/>
    <w:rsid w:val="00A73F60"/>
    <w:rsid w:val="00A7409F"/>
    <w:rsid w:val="00A740AE"/>
    <w:rsid w:val="00A740CA"/>
    <w:rsid w:val="00A740DD"/>
    <w:rsid w:val="00A74166"/>
    <w:rsid w:val="00A7448D"/>
    <w:rsid w:val="00A744B1"/>
    <w:rsid w:val="00A747CF"/>
    <w:rsid w:val="00A747DA"/>
    <w:rsid w:val="00A74A41"/>
    <w:rsid w:val="00A74B33"/>
    <w:rsid w:val="00A74DF3"/>
    <w:rsid w:val="00A74EAF"/>
    <w:rsid w:val="00A751D6"/>
    <w:rsid w:val="00A753AB"/>
    <w:rsid w:val="00A7546B"/>
    <w:rsid w:val="00A75476"/>
    <w:rsid w:val="00A7554B"/>
    <w:rsid w:val="00A75639"/>
    <w:rsid w:val="00A75702"/>
    <w:rsid w:val="00A757B1"/>
    <w:rsid w:val="00A757EC"/>
    <w:rsid w:val="00A75850"/>
    <w:rsid w:val="00A758CF"/>
    <w:rsid w:val="00A75906"/>
    <w:rsid w:val="00A759BC"/>
    <w:rsid w:val="00A75A0B"/>
    <w:rsid w:val="00A75C2B"/>
    <w:rsid w:val="00A75CB7"/>
    <w:rsid w:val="00A75F5C"/>
    <w:rsid w:val="00A7603B"/>
    <w:rsid w:val="00A76115"/>
    <w:rsid w:val="00A76118"/>
    <w:rsid w:val="00A7617C"/>
    <w:rsid w:val="00A7638B"/>
    <w:rsid w:val="00A76476"/>
    <w:rsid w:val="00A764D2"/>
    <w:rsid w:val="00A7658F"/>
    <w:rsid w:val="00A76642"/>
    <w:rsid w:val="00A766A2"/>
    <w:rsid w:val="00A76B8E"/>
    <w:rsid w:val="00A76BED"/>
    <w:rsid w:val="00A76D83"/>
    <w:rsid w:val="00A76DD1"/>
    <w:rsid w:val="00A76FE3"/>
    <w:rsid w:val="00A77220"/>
    <w:rsid w:val="00A7742A"/>
    <w:rsid w:val="00A776D9"/>
    <w:rsid w:val="00A77711"/>
    <w:rsid w:val="00A778C4"/>
    <w:rsid w:val="00A77AE0"/>
    <w:rsid w:val="00A77C1C"/>
    <w:rsid w:val="00A77C91"/>
    <w:rsid w:val="00A77D63"/>
    <w:rsid w:val="00A77DBB"/>
    <w:rsid w:val="00A77E19"/>
    <w:rsid w:val="00A77E32"/>
    <w:rsid w:val="00A77F5D"/>
    <w:rsid w:val="00A802BB"/>
    <w:rsid w:val="00A80352"/>
    <w:rsid w:val="00A80466"/>
    <w:rsid w:val="00A8052F"/>
    <w:rsid w:val="00A805A3"/>
    <w:rsid w:val="00A806F5"/>
    <w:rsid w:val="00A80728"/>
    <w:rsid w:val="00A80B28"/>
    <w:rsid w:val="00A80BC8"/>
    <w:rsid w:val="00A80DBE"/>
    <w:rsid w:val="00A80DD4"/>
    <w:rsid w:val="00A80E72"/>
    <w:rsid w:val="00A80ECB"/>
    <w:rsid w:val="00A810B0"/>
    <w:rsid w:val="00A812F1"/>
    <w:rsid w:val="00A81408"/>
    <w:rsid w:val="00A814AE"/>
    <w:rsid w:val="00A8170A"/>
    <w:rsid w:val="00A819FE"/>
    <w:rsid w:val="00A81DB5"/>
    <w:rsid w:val="00A81E5A"/>
    <w:rsid w:val="00A81EAA"/>
    <w:rsid w:val="00A8209B"/>
    <w:rsid w:val="00A8210C"/>
    <w:rsid w:val="00A8212E"/>
    <w:rsid w:val="00A82197"/>
    <w:rsid w:val="00A823CE"/>
    <w:rsid w:val="00A824B8"/>
    <w:rsid w:val="00A82536"/>
    <w:rsid w:val="00A82842"/>
    <w:rsid w:val="00A82853"/>
    <w:rsid w:val="00A82972"/>
    <w:rsid w:val="00A829C3"/>
    <w:rsid w:val="00A82ADB"/>
    <w:rsid w:val="00A82B42"/>
    <w:rsid w:val="00A83036"/>
    <w:rsid w:val="00A830E6"/>
    <w:rsid w:val="00A83136"/>
    <w:rsid w:val="00A831D0"/>
    <w:rsid w:val="00A83572"/>
    <w:rsid w:val="00A836C5"/>
    <w:rsid w:val="00A83749"/>
    <w:rsid w:val="00A838BB"/>
    <w:rsid w:val="00A83A66"/>
    <w:rsid w:val="00A83C1F"/>
    <w:rsid w:val="00A83D90"/>
    <w:rsid w:val="00A83ED4"/>
    <w:rsid w:val="00A841A1"/>
    <w:rsid w:val="00A8421C"/>
    <w:rsid w:val="00A8425F"/>
    <w:rsid w:val="00A844EB"/>
    <w:rsid w:val="00A8464B"/>
    <w:rsid w:val="00A8485A"/>
    <w:rsid w:val="00A84926"/>
    <w:rsid w:val="00A84A61"/>
    <w:rsid w:val="00A84BFB"/>
    <w:rsid w:val="00A84C17"/>
    <w:rsid w:val="00A84E0C"/>
    <w:rsid w:val="00A84E20"/>
    <w:rsid w:val="00A84EA8"/>
    <w:rsid w:val="00A84F59"/>
    <w:rsid w:val="00A84F5A"/>
    <w:rsid w:val="00A84F95"/>
    <w:rsid w:val="00A84F9E"/>
    <w:rsid w:val="00A85111"/>
    <w:rsid w:val="00A8519C"/>
    <w:rsid w:val="00A852F8"/>
    <w:rsid w:val="00A8532C"/>
    <w:rsid w:val="00A85503"/>
    <w:rsid w:val="00A85661"/>
    <w:rsid w:val="00A85665"/>
    <w:rsid w:val="00A8571E"/>
    <w:rsid w:val="00A85F4C"/>
    <w:rsid w:val="00A8627F"/>
    <w:rsid w:val="00A86358"/>
    <w:rsid w:val="00A86462"/>
    <w:rsid w:val="00A865A7"/>
    <w:rsid w:val="00A867B5"/>
    <w:rsid w:val="00A86931"/>
    <w:rsid w:val="00A86B17"/>
    <w:rsid w:val="00A86D20"/>
    <w:rsid w:val="00A86EC1"/>
    <w:rsid w:val="00A86F51"/>
    <w:rsid w:val="00A871AA"/>
    <w:rsid w:val="00A87298"/>
    <w:rsid w:val="00A873CA"/>
    <w:rsid w:val="00A87450"/>
    <w:rsid w:val="00A87462"/>
    <w:rsid w:val="00A8748C"/>
    <w:rsid w:val="00A875DA"/>
    <w:rsid w:val="00A878FE"/>
    <w:rsid w:val="00A8797D"/>
    <w:rsid w:val="00A87B0F"/>
    <w:rsid w:val="00A87B11"/>
    <w:rsid w:val="00A87D0D"/>
    <w:rsid w:val="00A87D4E"/>
    <w:rsid w:val="00A87DC1"/>
    <w:rsid w:val="00A87FA3"/>
    <w:rsid w:val="00A9016A"/>
    <w:rsid w:val="00A9021D"/>
    <w:rsid w:val="00A902A5"/>
    <w:rsid w:val="00A9046C"/>
    <w:rsid w:val="00A906DE"/>
    <w:rsid w:val="00A90718"/>
    <w:rsid w:val="00A90A01"/>
    <w:rsid w:val="00A90E06"/>
    <w:rsid w:val="00A90F33"/>
    <w:rsid w:val="00A90FFB"/>
    <w:rsid w:val="00A910D5"/>
    <w:rsid w:val="00A9120A"/>
    <w:rsid w:val="00A91345"/>
    <w:rsid w:val="00A9136B"/>
    <w:rsid w:val="00A913BB"/>
    <w:rsid w:val="00A91987"/>
    <w:rsid w:val="00A91992"/>
    <w:rsid w:val="00A91E25"/>
    <w:rsid w:val="00A91E3A"/>
    <w:rsid w:val="00A9227B"/>
    <w:rsid w:val="00A922FA"/>
    <w:rsid w:val="00A9237E"/>
    <w:rsid w:val="00A923AA"/>
    <w:rsid w:val="00A9259C"/>
    <w:rsid w:val="00A9278E"/>
    <w:rsid w:val="00A92796"/>
    <w:rsid w:val="00A927BE"/>
    <w:rsid w:val="00A92819"/>
    <w:rsid w:val="00A92823"/>
    <w:rsid w:val="00A928C4"/>
    <w:rsid w:val="00A929AC"/>
    <w:rsid w:val="00A929E3"/>
    <w:rsid w:val="00A92A9E"/>
    <w:rsid w:val="00A92C6E"/>
    <w:rsid w:val="00A92CD2"/>
    <w:rsid w:val="00A92CE6"/>
    <w:rsid w:val="00A92D0A"/>
    <w:rsid w:val="00A92FFD"/>
    <w:rsid w:val="00A932CD"/>
    <w:rsid w:val="00A932E2"/>
    <w:rsid w:val="00A93560"/>
    <w:rsid w:val="00A936A8"/>
    <w:rsid w:val="00A936DA"/>
    <w:rsid w:val="00A93722"/>
    <w:rsid w:val="00A93742"/>
    <w:rsid w:val="00A9398E"/>
    <w:rsid w:val="00A93A33"/>
    <w:rsid w:val="00A93A3F"/>
    <w:rsid w:val="00A93A4E"/>
    <w:rsid w:val="00A93B97"/>
    <w:rsid w:val="00A93C12"/>
    <w:rsid w:val="00A93CE0"/>
    <w:rsid w:val="00A93E15"/>
    <w:rsid w:val="00A94094"/>
    <w:rsid w:val="00A940F1"/>
    <w:rsid w:val="00A94138"/>
    <w:rsid w:val="00A941DA"/>
    <w:rsid w:val="00A9430E"/>
    <w:rsid w:val="00A944AF"/>
    <w:rsid w:val="00A9458D"/>
    <w:rsid w:val="00A949DF"/>
    <w:rsid w:val="00A94A0B"/>
    <w:rsid w:val="00A94BC4"/>
    <w:rsid w:val="00A94DE8"/>
    <w:rsid w:val="00A94E48"/>
    <w:rsid w:val="00A94EAF"/>
    <w:rsid w:val="00A95019"/>
    <w:rsid w:val="00A95021"/>
    <w:rsid w:val="00A95139"/>
    <w:rsid w:val="00A95458"/>
    <w:rsid w:val="00A95470"/>
    <w:rsid w:val="00A9550D"/>
    <w:rsid w:val="00A95584"/>
    <w:rsid w:val="00A955BA"/>
    <w:rsid w:val="00A955FF"/>
    <w:rsid w:val="00A9573B"/>
    <w:rsid w:val="00A9576C"/>
    <w:rsid w:val="00A95849"/>
    <w:rsid w:val="00A9592E"/>
    <w:rsid w:val="00A95936"/>
    <w:rsid w:val="00A959F3"/>
    <w:rsid w:val="00A95AE8"/>
    <w:rsid w:val="00A95AF6"/>
    <w:rsid w:val="00A95B53"/>
    <w:rsid w:val="00A95BE3"/>
    <w:rsid w:val="00A95C2E"/>
    <w:rsid w:val="00A95D26"/>
    <w:rsid w:val="00A95E4C"/>
    <w:rsid w:val="00A95EFC"/>
    <w:rsid w:val="00A95F47"/>
    <w:rsid w:val="00A96085"/>
    <w:rsid w:val="00A96651"/>
    <w:rsid w:val="00A9667F"/>
    <w:rsid w:val="00A967C2"/>
    <w:rsid w:val="00A9682D"/>
    <w:rsid w:val="00A96832"/>
    <w:rsid w:val="00A96955"/>
    <w:rsid w:val="00A969B1"/>
    <w:rsid w:val="00A96AE1"/>
    <w:rsid w:val="00A96CFE"/>
    <w:rsid w:val="00A96D2C"/>
    <w:rsid w:val="00A96E36"/>
    <w:rsid w:val="00A96F22"/>
    <w:rsid w:val="00A9711B"/>
    <w:rsid w:val="00A9749A"/>
    <w:rsid w:val="00A97618"/>
    <w:rsid w:val="00A9782C"/>
    <w:rsid w:val="00A978BE"/>
    <w:rsid w:val="00A97933"/>
    <w:rsid w:val="00A97A16"/>
    <w:rsid w:val="00A97A90"/>
    <w:rsid w:val="00A97CC9"/>
    <w:rsid w:val="00AA021E"/>
    <w:rsid w:val="00AA0A2E"/>
    <w:rsid w:val="00AA0A43"/>
    <w:rsid w:val="00AA0ADF"/>
    <w:rsid w:val="00AA0F1D"/>
    <w:rsid w:val="00AA0F7A"/>
    <w:rsid w:val="00AA1152"/>
    <w:rsid w:val="00AA1298"/>
    <w:rsid w:val="00AA12CC"/>
    <w:rsid w:val="00AA153C"/>
    <w:rsid w:val="00AA1624"/>
    <w:rsid w:val="00AA1672"/>
    <w:rsid w:val="00AA17A3"/>
    <w:rsid w:val="00AA184E"/>
    <w:rsid w:val="00AA19B5"/>
    <w:rsid w:val="00AA1B42"/>
    <w:rsid w:val="00AA1B78"/>
    <w:rsid w:val="00AA1C12"/>
    <w:rsid w:val="00AA1C4F"/>
    <w:rsid w:val="00AA1CBC"/>
    <w:rsid w:val="00AA1CEF"/>
    <w:rsid w:val="00AA1DAC"/>
    <w:rsid w:val="00AA1DC2"/>
    <w:rsid w:val="00AA23E7"/>
    <w:rsid w:val="00AA24AA"/>
    <w:rsid w:val="00AA2505"/>
    <w:rsid w:val="00AA2620"/>
    <w:rsid w:val="00AA2650"/>
    <w:rsid w:val="00AA26C2"/>
    <w:rsid w:val="00AA272E"/>
    <w:rsid w:val="00AA29F2"/>
    <w:rsid w:val="00AA2A55"/>
    <w:rsid w:val="00AA2AA4"/>
    <w:rsid w:val="00AA2D5F"/>
    <w:rsid w:val="00AA2DA2"/>
    <w:rsid w:val="00AA2E9B"/>
    <w:rsid w:val="00AA2F14"/>
    <w:rsid w:val="00AA3069"/>
    <w:rsid w:val="00AA31D1"/>
    <w:rsid w:val="00AA32B5"/>
    <w:rsid w:val="00AA334C"/>
    <w:rsid w:val="00AA33CC"/>
    <w:rsid w:val="00AA34DF"/>
    <w:rsid w:val="00AA358C"/>
    <w:rsid w:val="00AA36C7"/>
    <w:rsid w:val="00AA3706"/>
    <w:rsid w:val="00AA3A04"/>
    <w:rsid w:val="00AA3BEB"/>
    <w:rsid w:val="00AA3C2C"/>
    <w:rsid w:val="00AA3C3C"/>
    <w:rsid w:val="00AA3CAD"/>
    <w:rsid w:val="00AA3CCB"/>
    <w:rsid w:val="00AA3E73"/>
    <w:rsid w:val="00AA3EC4"/>
    <w:rsid w:val="00AA3ECD"/>
    <w:rsid w:val="00AA3F7F"/>
    <w:rsid w:val="00AA41FD"/>
    <w:rsid w:val="00AA427F"/>
    <w:rsid w:val="00AA42A6"/>
    <w:rsid w:val="00AA434F"/>
    <w:rsid w:val="00AA4428"/>
    <w:rsid w:val="00AA45C5"/>
    <w:rsid w:val="00AA466B"/>
    <w:rsid w:val="00AA4AA2"/>
    <w:rsid w:val="00AA4D53"/>
    <w:rsid w:val="00AA4D8B"/>
    <w:rsid w:val="00AA4E33"/>
    <w:rsid w:val="00AA4E8C"/>
    <w:rsid w:val="00AA4E8E"/>
    <w:rsid w:val="00AA4EB8"/>
    <w:rsid w:val="00AA4F01"/>
    <w:rsid w:val="00AA5046"/>
    <w:rsid w:val="00AA5053"/>
    <w:rsid w:val="00AA5181"/>
    <w:rsid w:val="00AA5238"/>
    <w:rsid w:val="00AA53A2"/>
    <w:rsid w:val="00AA5456"/>
    <w:rsid w:val="00AA5489"/>
    <w:rsid w:val="00AA560E"/>
    <w:rsid w:val="00AA5845"/>
    <w:rsid w:val="00AA58F4"/>
    <w:rsid w:val="00AA5A5B"/>
    <w:rsid w:val="00AA5B4C"/>
    <w:rsid w:val="00AA5D40"/>
    <w:rsid w:val="00AA5ED4"/>
    <w:rsid w:val="00AA6050"/>
    <w:rsid w:val="00AA60F7"/>
    <w:rsid w:val="00AA6195"/>
    <w:rsid w:val="00AA6243"/>
    <w:rsid w:val="00AA625E"/>
    <w:rsid w:val="00AA6454"/>
    <w:rsid w:val="00AA645E"/>
    <w:rsid w:val="00AA64C0"/>
    <w:rsid w:val="00AA64D2"/>
    <w:rsid w:val="00AA64F4"/>
    <w:rsid w:val="00AA65F3"/>
    <w:rsid w:val="00AA66F9"/>
    <w:rsid w:val="00AA6B73"/>
    <w:rsid w:val="00AA6BC6"/>
    <w:rsid w:val="00AA6C7D"/>
    <w:rsid w:val="00AA6E4E"/>
    <w:rsid w:val="00AA6FC3"/>
    <w:rsid w:val="00AA70DB"/>
    <w:rsid w:val="00AA70E2"/>
    <w:rsid w:val="00AA7147"/>
    <w:rsid w:val="00AA71F0"/>
    <w:rsid w:val="00AA72C2"/>
    <w:rsid w:val="00AA73DF"/>
    <w:rsid w:val="00AA74BF"/>
    <w:rsid w:val="00AA7590"/>
    <w:rsid w:val="00AA7652"/>
    <w:rsid w:val="00AA770E"/>
    <w:rsid w:val="00AA771A"/>
    <w:rsid w:val="00AA790D"/>
    <w:rsid w:val="00AA7933"/>
    <w:rsid w:val="00AA798D"/>
    <w:rsid w:val="00AA7C05"/>
    <w:rsid w:val="00AA7D57"/>
    <w:rsid w:val="00AA7F26"/>
    <w:rsid w:val="00AB001C"/>
    <w:rsid w:val="00AB00B2"/>
    <w:rsid w:val="00AB062A"/>
    <w:rsid w:val="00AB0893"/>
    <w:rsid w:val="00AB091C"/>
    <w:rsid w:val="00AB0931"/>
    <w:rsid w:val="00AB0C69"/>
    <w:rsid w:val="00AB0CEF"/>
    <w:rsid w:val="00AB0D37"/>
    <w:rsid w:val="00AB0E22"/>
    <w:rsid w:val="00AB0E44"/>
    <w:rsid w:val="00AB0FA0"/>
    <w:rsid w:val="00AB0FD0"/>
    <w:rsid w:val="00AB106E"/>
    <w:rsid w:val="00AB1095"/>
    <w:rsid w:val="00AB10DF"/>
    <w:rsid w:val="00AB117A"/>
    <w:rsid w:val="00AB14EF"/>
    <w:rsid w:val="00AB15AC"/>
    <w:rsid w:val="00AB16BF"/>
    <w:rsid w:val="00AB18E4"/>
    <w:rsid w:val="00AB18FB"/>
    <w:rsid w:val="00AB18FD"/>
    <w:rsid w:val="00AB1A36"/>
    <w:rsid w:val="00AB1A47"/>
    <w:rsid w:val="00AB1CED"/>
    <w:rsid w:val="00AB1E85"/>
    <w:rsid w:val="00AB1EC1"/>
    <w:rsid w:val="00AB20A0"/>
    <w:rsid w:val="00AB2319"/>
    <w:rsid w:val="00AB23D7"/>
    <w:rsid w:val="00AB2565"/>
    <w:rsid w:val="00AB285C"/>
    <w:rsid w:val="00AB2945"/>
    <w:rsid w:val="00AB2980"/>
    <w:rsid w:val="00AB29CD"/>
    <w:rsid w:val="00AB2A8D"/>
    <w:rsid w:val="00AB2AC6"/>
    <w:rsid w:val="00AB2B39"/>
    <w:rsid w:val="00AB2C71"/>
    <w:rsid w:val="00AB2E48"/>
    <w:rsid w:val="00AB300D"/>
    <w:rsid w:val="00AB30DD"/>
    <w:rsid w:val="00AB32C0"/>
    <w:rsid w:val="00AB37EB"/>
    <w:rsid w:val="00AB382E"/>
    <w:rsid w:val="00AB3844"/>
    <w:rsid w:val="00AB38B6"/>
    <w:rsid w:val="00AB3B29"/>
    <w:rsid w:val="00AB3B56"/>
    <w:rsid w:val="00AB3C60"/>
    <w:rsid w:val="00AB3D2D"/>
    <w:rsid w:val="00AB3DD7"/>
    <w:rsid w:val="00AB3E03"/>
    <w:rsid w:val="00AB3F93"/>
    <w:rsid w:val="00AB3FBB"/>
    <w:rsid w:val="00AB4113"/>
    <w:rsid w:val="00AB4334"/>
    <w:rsid w:val="00AB43AA"/>
    <w:rsid w:val="00AB43B2"/>
    <w:rsid w:val="00AB4569"/>
    <w:rsid w:val="00AB471B"/>
    <w:rsid w:val="00AB49E0"/>
    <w:rsid w:val="00AB4A6C"/>
    <w:rsid w:val="00AB4B89"/>
    <w:rsid w:val="00AB4C03"/>
    <w:rsid w:val="00AB4C37"/>
    <w:rsid w:val="00AB4CBC"/>
    <w:rsid w:val="00AB4D7E"/>
    <w:rsid w:val="00AB4E50"/>
    <w:rsid w:val="00AB4FFB"/>
    <w:rsid w:val="00AB537A"/>
    <w:rsid w:val="00AB5636"/>
    <w:rsid w:val="00AB57F0"/>
    <w:rsid w:val="00AB5908"/>
    <w:rsid w:val="00AB592E"/>
    <w:rsid w:val="00AB5930"/>
    <w:rsid w:val="00AB59E2"/>
    <w:rsid w:val="00AB5A3F"/>
    <w:rsid w:val="00AB5AC4"/>
    <w:rsid w:val="00AB5ACE"/>
    <w:rsid w:val="00AB5CB5"/>
    <w:rsid w:val="00AB5DB5"/>
    <w:rsid w:val="00AB5ED7"/>
    <w:rsid w:val="00AB5F8C"/>
    <w:rsid w:val="00AB6127"/>
    <w:rsid w:val="00AB6148"/>
    <w:rsid w:val="00AB616C"/>
    <w:rsid w:val="00AB65F5"/>
    <w:rsid w:val="00AB66BF"/>
    <w:rsid w:val="00AB6A90"/>
    <w:rsid w:val="00AB6B8A"/>
    <w:rsid w:val="00AB6BF3"/>
    <w:rsid w:val="00AB6C34"/>
    <w:rsid w:val="00AB6C4D"/>
    <w:rsid w:val="00AB6D18"/>
    <w:rsid w:val="00AB6D81"/>
    <w:rsid w:val="00AB6E04"/>
    <w:rsid w:val="00AB6E7B"/>
    <w:rsid w:val="00AB6F71"/>
    <w:rsid w:val="00AB6F83"/>
    <w:rsid w:val="00AB7181"/>
    <w:rsid w:val="00AB76F2"/>
    <w:rsid w:val="00AB7734"/>
    <w:rsid w:val="00AB7878"/>
    <w:rsid w:val="00AB7A54"/>
    <w:rsid w:val="00AB7AD6"/>
    <w:rsid w:val="00AB7BF9"/>
    <w:rsid w:val="00AB7C4F"/>
    <w:rsid w:val="00AB7CA3"/>
    <w:rsid w:val="00AB7E14"/>
    <w:rsid w:val="00AC01FE"/>
    <w:rsid w:val="00AC02D7"/>
    <w:rsid w:val="00AC04F0"/>
    <w:rsid w:val="00AC0856"/>
    <w:rsid w:val="00AC08A3"/>
    <w:rsid w:val="00AC08AB"/>
    <w:rsid w:val="00AC092B"/>
    <w:rsid w:val="00AC0930"/>
    <w:rsid w:val="00AC09B0"/>
    <w:rsid w:val="00AC09EF"/>
    <w:rsid w:val="00AC0B63"/>
    <w:rsid w:val="00AC0B67"/>
    <w:rsid w:val="00AC0B95"/>
    <w:rsid w:val="00AC0BF3"/>
    <w:rsid w:val="00AC0C28"/>
    <w:rsid w:val="00AC0C7A"/>
    <w:rsid w:val="00AC0CDD"/>
    <w:rsid w:val="00AC0D1C"/>
    <w:rsid w:val="00AC0D6F"/>
    <w:rsid w:val="00AC0D80"/>
    <w:rsid w:val="00AC0DCF"/>
    <w:rsid w:val="00AC108A"/>
    <w:rsid w:val="00AC1157"/>
    <w:rsid w:val="00AC11E8"/>
    <w:rsid w:val="00AC12B5"/>
    <w:rsid w:val="00AC1410"/>
    <w:rsid w:val="00AC1444"/>
    <w:rsid w:val="00AC149B"/>
    <w:rsid w:val="00AC1533"/>
    <w:rsid w:val="00AC1862"/>
    <w:rsid w:val="00AC193A"/>
    <w:rsid w:val="00AC1A77"/>
    <w:rsid w:val="00AC1AD1"/>
    <w:rsid w:val="00AC1BDA"/>
    <w:rsid w:val="00AC1D87"/>
    <w:rsid w:val="00AC1E1A"/>
    <w:rsid w:val="00AC2081"/>
    <w:rsid w:val="00AC2146"/>
    <w:rsid w:val="00AC215F"/>
    <w:rsid w:val="00AC2213"/>
    <w:rsid w:val="00AC230F"/>
    <w:rsid w:val="00AC2905"/>
    <w:rsid w:val="00AC297F"/>
    <w:rsid w:val="00AC2B8D"/>
    <w:rsid w:val="00AC2CD9"/>
    <w:rsid w:val="00AC2DFF"/>
    <w:rsid w:val="00AC2F1C"/>
    <w:rsid w:val="00AC2F6F"/>
    <w:rsid w:val="00AC3081"/>
    <w:rsid w:val="00AC3142"/>
    <w:rsid w:val="00AC315F"/>
    <w:rsid w:val="00AC3174"/>
    <w:rsid w:val="00AC32F9"/>
    <w:rsid w:val="00AC330D"/>
    <w:rsid w:val="00AC353B"/>
    <w:rsid w:val="00AC3691"/>
    <w:rsid w:val="00AC395C"/>
    <w:rsid w:val="00AC3F02"/>
    <w:rsid w:val="00AC3F2A"/>
    <w:rsid w:val="00AC3F68"/>
    <w:rsid w:val="00AC4175"/>
    <w:rsid w:val="00AC45A2"/>
    <w:rsid w:val="00AC45E2"/>
    <w:rsid w:val="00AC466E"/>
    <w:rsid w:val="00AC48A0"/>
    <w:rsid w:val="00AC48FC"/>
    <w:rsid w:val="00AC4E5C"/>
    <w:rsid w:val="00AC4E8D"/>
    <w:rsid w:val="00AC4EBF"/>
    <w:rsid w:val="00AC4FAC"/>
    <w:rsid w:val="00AC5069"/>
    <w:rsid w:val="00AC50BB"/>
    <w:rsid w:val="00AC514C"/>
    <w:rsid w:val="00AC5159"/>
    <w:rsid w:val="00AC52E3"/>
    <w:rsid w:val="00AC5551"/>
    <w:rsid w:val="00AC55B0"/>
    <w:rsid w:val="00AC581F"/>
    <w:rsid w:val="00AC5871"/>
    <w:rsid w:val="00AC59A3"/>
    <w:rsid w:val="00AC59C2"/>
    <w:rsid w:val="00AC5A2C"/>
    <w:rsid w:val="00AC5C30"/>
    <w:rsid w:val="00AC5C68"/>
    <w:rsid w:val="00AC5CE8"/>
    <w:rsid w:val="00AC5D53"/>
    <w:rsid w:val="00AC5DF5"/>
    <w:rsid w:val="00AC5EEA"/>
    <w:rsid w:val="00AC5FBF"/>
    <w:rsid w:val="00AC61AB"/>
    <w:rsid w:val="00AC6383"/>
    <w:rsid w:val="00AC63A8"/>
    <w:rsid w:val="00AC6491"/>
    <w:rsid w:val="00AC65D4"/>
    <w:rsid w:val="00AC667D"/>
    <w:rsid w:val="00AC6808"/>
    <w:rsid w:val="00AC699A"/>
    <w:rsid w:val="00AC6BA6"/>
    <w:rsid w:val="00AC6BEF"/>
    <w:rsid w:val="00AC6BFE"/>
    <w:rsid w:val="00AC6CFB"/>
    <w:rsid w:val="00AC6E8D"/>
    <w:rsid w:val="00AC7000"/>
    <w:rsid w:val="00AC702D"/>
    <w:rsid w:val="00AC7110"/>
    <w:rsid w:val="00AC7191"/>
    <w:rsid w:val="00AC71B2"/>
    <w:rsid w:val="00AC71C3"/>
    <w:rsid w:val="00AC7217"/>
    <w:rsid w:val="00AC72D3"/>
    <w:rsid w:val="00AC73AE"/>
    <w:rsid w:val="00AC74C2"/>
    <w:rsid w:val="00AC74EE"/>
    <w:rsid w:val="00AC759E"/>
    <w:rsid w:val="00AC77B8"/>
    <w:rsid w:val="00AC77DB"/>
    <w:rsid w:val="00AC77EB"/>
    <w:rsid w:val="00AC7861"/>
    <w:rsid w:val="00AC7BB8"/>
    <w:rsid w:val="00AC7C0E"/>
    <w:rsid w:val="00AC7C21"/>
    <w:rsid w:val="00AC7D54"/>
    <w:rsid w:val="00AC7EB9"/>
    <w:rsid w:val="00AC7F1B"/>
    <w:rsid w:val="00AC7F4A"/>
    <w:rsid w:val="00AD001B"/>
    <w:rsid w:val="00AD002D"/>
    <w:rsid w:val="00AD0070"/>
    <w:rsid w:val="00AD0174"/>
    <w:rsid w:val="00AD0308"/>
    <w:rsid w:val="00AD0345"/>
    <w:rsid w:val="00AD0491"/>
    <w:rsid w:val="00AD07A9"/>
    <w:rsid w:val="00AD088E"/>
    <w:rsid w:val="00AD08A9"/>
    <w:rsid w:val="00AD08DB"/>
    <w:rsid w:val="00AD097E"/>
    <w:rsid w:val="00AD0A76"/>
    <w:rsid w:val="00AD0A92"/>
    <w:rsid w:val="00AD0AD4"/>
    <w:rsid w:val="00AD0AF9"/>
    <w:rsid w:val="00AD0B39"/>
    <w:rsid w:val="00AD0CDD"/>
    <w:rsid w:val="00AD0D4A"/>
    <w:rsid w:val="00AD0DF8"/>
    <w:rsid w:val="00AD0E77"/>
    <w:rsid w:val="00AD0F12"/>
    <w:rsid w:val="00AD0FDB"/>
    <w:rsid w:val="00AD112B"/>
    <w:rsid w:val="00AD112C"/>
    <w:rsid w:val="00AD11A9"/>
    <w:rsid w:val="00AD11AD"/>
    <w:rsid w:val="00AD12D5"/>
    <w:rsid w:val="00AD17A1"/>
    <w:rsid w:val="00AD17CF"/>
    <w:rsid w:val="00AD18E1"/>
    <w:rsid w:val="00AD1AF7"/>
    <w:rsid w:val="00AD1C52"/>
    <w:rsid w:val="00AD1D3B"/>
    <w:rsid w:val="00AD1E47"/>
    <w:rsid w:val="00AD1E95"/>
    <w:rsid w:val="00AD1EAA"/>
    <w:rsid w:val="00AD1F55"/>
    <w:rsid w:val="00AD203D"/>
    <w:rsid w:val="00AD208B"/>
    <w:rsid w:val="00AD21DA"/>
    <w:rsid w:val="00AD221C"/>
    <w:rsid w:val="00AD2448"/>
    <w:rsid w:val="00AD248D"/>
    <w:rsid w:val="00AD24AC"/>
    <w:rsid w:val="00AD2568"/>
    <w:rsid w:val="00AD2619"/>
    <w:rsid w:val="00AD26DD"/>
    <w:rsid w:val="00AD2A4B"/>
    <w:rsid w:val="00AD2C26"/>
    <w:rsid w:val="00AD2CEB"/>
    <w:rsid w:val="00AD2CF6"/>
    <w:rsid w:val="00AD2E35"/>
    <w:rsid w:val="00AD2FA5"/>
    <w:rsid w:val="00AD2FC6"/>
    <w:rsid w:val="00AD300D"/>
    <w:rsid w:val="00AD328B"/>
    <w:rsid w:val="00AD3349"/>
    <w:rsid w:val="00AD33FF"/>
    <w:rsid w:val="00AD348B"/>
    <w:rsid w:val="00AD34B7"/>
    <w:rsid w:val="00AD34FE"/>
    <w:rsid w:val="00AD356E"/>
    <w:rsid w:val="00AD3594"/>
    <w:rsid w:val="00AD35FC"/>
    <w:rsid w:val="00AD360D"/>
    <w:rsid w:val="00AD3661"/>
    <w:rsid w:val="00AD36A5"/>
    <w:rsid w:val="00AD3748"/>
    <w:rsid w:val="00AD37D2"/>
    <w:rsid w:val="00AD3889"/>
    <w:rsid w:val="00AD3E38"/>
    <w:rsid w:val="00AD413E"/>
    <w:rsid w:val="00AD4266"/>
    <w:rsid w:val="00AD429C"/>
    <w:rsid w:val="00AD4308"/>
    <w:rsid w:val="00AD4348"/>
    <w:rsid w:val="00AD44FE"/>
    <w:rsid w:val="00AD450A"/>
    <w:rsid w:val="00AD4641"/>
    <w:rsid w:val="00AD4718"/>
    <w:rsid w:val="00AD47C7"/>
    <w:rsid w:val="00AD4811"/>
    <w:rsid w:val="00AD48EB"/>
    <w:rsid w:val="00AD4A4B"/>
    <w:rsid w:val="00AD4AB5"/>
    <w:rsid w:val="00AD4CC6"/>
    <w:rsid w:val="00AD4E02"/>
    <w:rsid w:val="00AD4EEC"/>
    <w:rsid w:val="00AD4F2F"/>
    <w:rsid w:val="00AD4F87"/>
    <w:rsid w:val="00AD50D8"/>
    <w:rsid w:val="00AD5279"/>
    <w:rsid w:val="00AD5353"/>
    <w:rsid w:val="00AD5486"/>
    <w:rsid w:val="00AD56A7"/>
    <w:rsid w:val="00AD5796"/>
    <w:rsid w:val="00AD58A5"/>
    <w:rsid w:val="00AD5A77"/>
    <w:rsid w:val="00AD5E99"/>
    <w:rsid w:val="00AD6040"/>
    <w:rsid w:val="00AD6044"/>
    <w:rsid w:val="00AD606C"/>
    <w:rsid w:val="00AD61FB"/>
    <w:rsid w:val="00AD6206"/>
    <w:rsid w:val="00AD6291"/>
    <w:rsid w:val="00AD631C"/>
    <w:rsid w:val="00AD688F"/>
    <w:rsid w:val="00AD689B"/>
    <w:rsid w:val="00AD6988"/>
    <w:rsid w:val="00AD6AB0"/>
    <w:rsid w:val="00AD6C3D"/>
    <w:rsid w:val="00AD6C9B"/>
    <w:rsid w:val="00AD6CBB"/>
    <w:rsid w:val="00AD6D30"/>
    <w:rsid w:val="00AD6E1D"/>
    <w:rsid w:val="00AD6E40"/>
    <w:rsid w:val="00AD71FE"/>
    <w:rsid w:val="00AD7257"/>
    <w:rsid w:val="00AD7273"/>
    <w:rsid w:val="00AD7288"/>
    <w:rsid w:val="00AD76B3"/>
    <w:rsid w:val="00AD774D"/>
    <w:rsid w:val="00AD7785"/>
    <w:rsid w:val="00AD786B"/>
    <w:rsid w:val="00AD787D"/>
    <w:rsid w:val="00AD788B"/>
    <w:rsid w:val="00AD78DB"/>
    <w:rsid w:val="00AD79BF"/>
    <w:rsid w:val="00AD7A33"/>
    <w:rsid w:val="00AD7B1D"/>
    <w:rsid w:val="00AD7C32"/>
    <w:rsid w:val="00AD7C74"/>
    <w:rsid w:val="00AD7D42"/>
    <w:rsid w:val="00AD7DA0"/>
    <w:rsid w:val="00AD7EB8"/>
    <w:rsid w:val="00AD7FA7"/>
    <w:rsid w:val="00AD7FDD"/>
    <w:rsid w:val="00AE004F"/>
    <w:rsid w:val="00AE015A"/>
    <w:rsid w:val="00AE03DE"/>
    <w:rsid w:val="00AE06A2"/>
    <w:rsid w:val="00AE06E5"/>
    <w:rsid w:val="00AE0781"/>
    <w:rsid w:val="00AE0A45"/>
    <w:rsid w:val="00AE0AAA"/>
    <w:rsid w:val="00AE0B9E"/>
    <w:rsid w:val="00AE0C97"/>
    <w:rsid w:val="00AE0CB5"/>
    <w:rsid w:val="00AE0CCA"/>
    <w:rsid w:val="00AE0CD2"/>
    <w:rsid w:val="00AE0F0A"/>
    <w:rsid w:val="00AE0F42"/>
    <w:rsid w:val="00AE0F4C"/>
    <w:rsid w:val="00AE10BC"/>
    <w:rsid w:val="00AE10C4"/>
    <w:rsid w:val="00AE11B4"/>
    <w:rsid w:val="00AE13F2"/>
    <w:rsid w:val="00AE14C8"/>
    <w:rsid w:val="00AE1552"/>
    <w:rsid w:val="00AE1720"/>
    <w:rsid w:val="00AE1996"/>
    <w:rsid w:val="00AE19FE"/>
    <w:rsid w:val="00AE1A14"/>
    <w:rsid w:val="00AE1A57"/>
    <w:rsid w:val="00AE1BF7"/>
    <w:rsid w:val="00AE1C13"/>
    <w:rsid w:val="00AE1D19"/>
    <w:rsid w:val="00AE1DAA"/>
    <w:rsid w:val="00AE1F21"/>
    <w:rsid w:val="00AE2068"/>
    <w:rsid w:val="00AE20FD"/>
    <w:rsid w:val="00AE2605"/>
    <w:rsid w:val="00AE2700"/>
    <w:rsid w:val="00AE2754"/>
    <w:rsid w:val="00AE27AD"/>
    <w:rsid w:val="00AE27D8"/>
    <w:rsid w:val="00AE2BCA"/>
    <w:rsid w:val="00AE2E33"/>
    <w:rsid w:val="00AE2F13"/>
    <w:rsid w:val="00AE2F43"/>
    <w:rsid w:val="00AE30D8"/>
    <w:rsid w:val="00AE31CD"/>
    <w:rsid w:val="00AE32B7"/>
    <w:rsid w:val="00AE34EF"/>
    <w:rsid w:val="00AE3A4B"/>
    <w:rsid w:val="00AE3A8B"/>
    <w:rsid w:val="00AE3ACC"/>
    <w:rsid w:val="00AE3AEC"/>
    <w:rsid w:val="00AE3BAC"/>
    <w:rsid w:val="00AE3C02"/>
    <w:rsid w:val="00AE3DA0"/>
    <w:rsid w:val="00AE3E0B"/>
    <w:rsid w:val="00AE3E46"/>
    <w:rsid w:val="00AE3FB7"/>
    <w:rsid w:val="00AE4281"/>
    <w:rsid w:val="00AE42AA"/>
    <w:rsid w:val="00AE432A"/>
    <w:rsid w:val="00AE435D"/>
    <w:rsid w:val="00AE435E"/>
    <w:rsid w:val="00AE48E5"/>
    <w:rsid w:val="00AE49A1"/>
    <w:rsid w:val="00AE4D14"/>
    <w:rsid w:val="00AE4D24"/>
    <w:rsid w:val="00AE4DA8"/>
    <w:rsid w:val="00AE4E38"/>
    <w:rsid w:val="00AE4F77"/>
    <w:rsid w:val="00AE4FEF"/>
    <w:rsid w:val="00AE508E"/>
    <w:rsid w:val="00AE51C8"/>
    <w:rsid w:val="00AE51C9"/>
    <w:rsid w:val="00AE5355"/>
    <w:rsid w:val="00AE53F2"/>
    <w:rsid w:val="00AE540B"/>
    <w:rsid w:val="00AE578C"/>
    <w:rsid w:val="00AE5993"/>
    <w:rsid w:val="00AE5A4C"/>
    <w:rsid w:val="00AE5A6B"/>
    <w:rsid w:val="00AE5B14"/>
    <w:rsid w:val="00AE5BFA"/>
    <w:rsid w:val="00AE5D32"/>
    <w:rsid w:val="00AE5E3D"/>
    <w:rsid w:val="00AE6079"/>
    <w:rsid w:val="00AE6227"/>
    <w:rsid w:val="00AE628C"/>
    <w:rsid w:val="00AE6414"/>
    <w:rsid w:val="00AE652C"/>
    <w:rsid w:val="00AE66B4"/>
    <w:rsid w:val="00AE6704"/>
    <w:rsid w:val="00AE6770"/>
    <w:rsid w:val="00AE680F"/>
    <w:rsid w:val="00AE68D7"/>
    <w:rsid w:val="00AE6959"/>
    <w:rsid w:val="00AE6A35"/>
    <w:rsid w:val="00AE6B17"/>
    <w:rsid w:val="00AE6B1E"/>
    <w:rsid w:val="00AE6C48"/>
    <w:rsid w:val="00AE6DD2"/>
    <w:rsid w:val="00AE6ED3"/>
    <w:rsid w:val="00AE6FB5"/>
    <w:rsid w:val="00AE6FD4"/>
    <w:rsid w:val="00AE7050"/>
    <w:rsid w:val="00AE708F"/>
    <w:rsid w:val="00AE71FF"/>
    <w:rsid w:val="00AE7420"/>
    <w:rsid w:val="00AE743D"/>
    <w:rsid w:val="00AE74C7"/>
    <w:rsid w:val="00AE74DB"/>
    <w:rsid w:val="00AE77DE"/>
    <w:rsid w:val="00AE78C7"/>
    <w:rsid w:val="00AE79D4"/>
    <w:rsid w:val="00AE79FF"/>
    <w:rsid w:val="00AE7E19"/>
    <w:rsid w:val="00AF0184"/>
    <w:rsid w:val="00AF0262"/>
    <w:rsid w:val="00AF0321"/>
    <w:rsid w:val="00AF042F"/>
    <w:rsid w:val="00AF056B"/>
    <w:rsid w:val="00AF05B2"/>
    <w:rsid w:val="00AF06B1"/>
    <w:rsid w:val="00AF07AF"/>
    <w:rsid w:val="00AF08EE"/>
    <w:rsid w:val="00AF090A"/>
    <w:rsid w:val="00AF097A"/>
    <w:rsid w:val="00AF09FA"/>
    <w:rsid w:val="00AF0E4F"/>
    <w:rsid w:val="00AF0FB2"/>
    <w:rsid w:val="00AF0FF8"/>
    <w:rsid w:val="00AF10D6"/>
    <w:rsid w:val="00AF117C"/>
    <w:rsid w:val="00AF1220"/>
    <w:rsid w:val="00AF156B"/>
    <w:rsid w:val="00AF158C"/>
    <w:rsid w:val="00AF1686"/>
    <w:rsid w:val="00AF1790"/>
    <w:rsid w:val="00AF1871"/>
    <w:rsid w:val="00AF18E9"/>
    <w:rsid w:val="00AF1AD7"/>
    <w:rsid w:val="00AF1B53"/>
    <w:rsid w:val="00AF1B8D"/>
    <w:rsid w:val="00AF1D47"/>
    <w:rsid w:val="00AF1EF8"/>
    <w:rsid w:val="00AF208E"/>
    <w:rsid w:val="00AF21D4"/>
    <w:rsid w:val="00AF2375"/>
    <w:rsid w:val="00AF2587"/>
    <w:rsid w:val="00AF26BF"/>
    <w:rsid w:val="00AF26D7"/>
    <w:rsid w:val="00AF27CF"/>
    <w:rsid w:val="00AF2A17"/>
    <w:rsid w:val="00AF2D9B"/>
    <w:rsid w:val="00AF2DD9"/>
    <w:rsid w:val="00AF2FFD"/>
    <w:rsid w:val="00AF32FF"/>
    <w:rsid w:val="00AF3446"/>
    <w:rsid w:val="00AF3517"/>
    <w:rsid w:val="00AF378C"/>
    <w:rsid w:val="00AF37AB"/>
    <w:rsid w:val="00AF38B7"/>
    <w:rsid w:val="00AF3944"/>
    <w:rsid w:val="00AF3B52"/>
    <w:rsid w:val="00AF3BF3"/>
    <w:rsid w:val="00AF3BF6"/>
    <w:rsid w:val="00AF3C67"/>
    <w:rsid w:val="00AF3CB0"/>
    <w:rsid w:val="00AF3CB5"/>
    <w:rsid w:val="00AF3EC4"/>
    <w:rsid w:val="00AF3EC9"/>
    <w:rsid w:val="00AF3FAA"/>
    <w:rsid w:val="00AF40AE"/>
    <w:rsid w:val="00AF42D2"/>
    <w:rsid w:val="00AF43C1"/>
    <w:rsid w:val="00AF43FF"/>
    <w:rsid w:val="00AF44CE"/>
    <w:rsid w:val="00AF46AF"/>
    <w:rsid w:val="00AF46C6"/>
    <w:rsid w:val="00AF487D"/>
    <w:rsid w:val="00AF4936"/>
    <w:rsid w:val="00AF4D2E"/>
    <w:rsid w:val="00AF4E60"/>
    <w:rsid w:val="00AF50B4"/>
    <w:rsid w:val="00AF50E1"/>
    <w:rsid w:val="00AF50EF"/>
    <w:rsid w:val="00AF51AD"/>
    <w:rsid w:val="00AF51E7"/>
    <w:rsid w:val="00AF54A5"/>
    <w:rsid w:val="00AF54AC"/>
    <w:rsid w:val="00AF56FA"/>
    <w:rsid w:val="00AF5775"/>
    <w:rsid w:val="00AF57A3"/>
    <w:rsid w:val="00AF584F"/>
    <w:rsid w:val="00AF58A9"/>
    <w:rsid w:val="00AF58E1"/>
    <w:rsid w:val="00AF591C"/>
    <w:rsid w:val="00AF5BAC"/>
    <w:rsid w:val="00AF5BF9"/>
    <w:rsid w:val="00AF5E84"/>
    <w:rsid w:val="00AF5EBF"/>
    <w:rsid w:val="00AF6505"/>
    <w:rsid w:val="00AF65DE"/>
    <w:rsid w:val="00AF6636"/>
    <w:rsid w:val="00AF663A"/>
    <w:rsid w:val="00AF67F2"/>
    <w:rsid w:val="00AF68D6"/>
    <w:rsid w:val="00AF69D5"/>
    <w:rsid w:val="00AF6B96"/>
    <w:rsid w:val="00AF6CA8"/>
    <w:rsid w:val="00AF6CB2"/>
    <w:rsid w:val="00AF6DCF"/>
    <w:rsid w:val="00AF6E9C"/>
    <w:rsid w:val="00AF6EAC"/>
    <w:rsid w:val="00AF6F2A"/>
    <w:rsid w:val="00AF7109"/>
    <w:rsid w:val="00AF7395"/>
    <w:rsid w:val="00AF74B2"/>
    <w:rsid w:val="00AF7636"/>
    <w:rsid w:val="00AF7640"/>
    <w:rsid w:val="00AF765C"/>
    <w:rsid w:val="00AF772F"/>
    <w:rsid w:val="00AF7AC9"/>
    <w:rsid w:val="00AF7ACB"/>
    <w:rsid w:val="00AF7B26"/>
    <w:rsid w:val="00AF7DBC"/>
    <w:rsid w:val="00AF7FF8"/>
    <w:rsid w:val="00B000D0"/>
    <w:rsid w:val="00B000E5"/>
    <w:rsid w:val="00B001D1"/>
    <w:rsid w:val="00B00238"/>
    <w:rsid w:val="00B003D5"/>
    <w:rsid w:val="00B005EB"/>
    <w:rsid w:val="00B0073B"/>
    <w:rsid w:val="00B00937"/>
    <w:rsid w:val="00B00A25"/>
    <w:rsid w:val="00B00A9A"/>
    <w:rsid w:val="00B00AB7"/>
    <w:rsid w:val="00B00B3C"/>
    <w:rsid w:val="00B00D22"/>
    <w:rsid w:val="00B00D8A"/>
    <w:rsid w:val="00B00DC7"/>
    <w:rsid w:val="00B00E1C"/>
    <w:rsid w:val="00B00EFC"/>
    <w:rsid w:val="00B0115F"/>
    <w:rsid w:val="00B0119D"/>
    <w:rsid w:val="00B012A7"/>
    <w:rsid w:val="00B015E3"/>
    <w:rsid w:val="00B01687"/>
    <w:rsid w:val="00B01B30"/>
    <w:rsid w:val="00B01C19"/>
    <w:rsid w:val="00B01C36"/>
    <w:rsid w:val="00B01CA0"/>
    <w:rsid w:val="00B01DDD"/>
    <w:rsid w:val="00B01DFC"/>
    <w:rsid w:val="00B01F80"/>
    <w:rsid w:val="00B01FC5"/>
    <w:rsid w:val="00B01FE9"/>
    <w:rsid w:val="00B021A9"/>
    <w:rsid w:val="00B02224"/>
    <w:rsid w:val="00B02325"/>
    <w:rsid w:val="00B02423"/>
    <w:rsid w:val="00B02531"/>
    <w:rsid w:val="00B025A0"/>
    <w:rsid w:val="00B0269C"/>
    <w:rsid w:val="00B026C4"/>
    <w:rsid w:val="00B026D2"/>
    <w:rsid w:val="00B0275F"/>
    <w:rsid w:val="00B027B6"/>
    <w:rsid w:val="00B02B09"/>
    <w:rsid w:val="00B02B78"/>
    <w:rsid w:val="00B02D2F"/>
    <w:rsid w:val="00B02D5B"/>
    <w:rsid w:val="00B02E9F"/>
    <w:rsid w:val="00B02FC8"/>
    <w:rsid w:val="00B03184"/>
    <w:rsid w:val="00B032C0"/>
    <w:rsid w:val="00B034B4"/>
    <w:rsid w:val="00B0363F"/>
    <w:rsid w:val="00B03665"/>
    <w:rsid w:val="00B0366E"/>
    <w:rsid w:val="00B037F2"/>
    <w:rsid w:val="00B0393C"/>
    <w:rsid w:val="00B039CA"/>
    <w:rsid w:val="00B03A64"/>
    <w:rsid w:val="00B03B60"/>
    <w:rsid w:val="00B03E79"/>
    <w:rsid w:val="00B03EC1"/>
    <w:rsid w:val="00B041A9"/>
    <w:rsid w:val="00B044CC"/>
    <w:rsid w:val="00B0459D"/>
    <w:rsid w:val="00B04777"/>
    <w:rsid w:val="00B04931"/>
    <w:rsid w:val="00B04A9B"/>
    <w:rsid w:val="00B04B24"/>
    <w:rsid w:val="00B04B6B"/>
    <w:rsid w:val="00B04C1F"/>
    <w:rsid w:val="00B04CBF"/>
    <w:rsid w:val="00B04D12"/>
    <w:rsid w:val="00B04DF4"/>
    <w:rsid w:val="00B04E5B"/>
    <w:rsid w:val="00B04F88"/>
    <w:rsid w:val="00B0506A"/>
    <w:rsid w:val="00B05128"/>
    <w:rsid w:val="00B05229"/>
    <w:rsid w:val="00B05231"/>
    <w:rsid w:val="00B05272"/>
    <w:rsid w:val="00B05281"/>
    <w:rsid w:val="00B052F7"/>
    <w:rsid w:val="00B0546D"/>
    <w:rsid w:val="00B05900"/>
    <w:rsid w:val="00B05915"/>
    <w:rsid w:val="00B05A5F"/>
    <w:rsid w:val="00B05ABB"/>
    <w:rsid w:val="00B05C73"/>
    <w:rsid w:val="00B05EF9"/>
    <w:rsid w:val="00B05F65"/>
    <w:rsid w:val="00B05FAD"/>
    <w:rsid w:val="00B062B6"/>
    <w:rsid w:val="00B062E5"/>
    <w:rsid w:val="00B06303"/>
    <w:rsid w:val="00B06671"/>
    <w:rsid w:val="00B06721"/>
    <w:rsid w:val="00B068CA"/>
    <w:rsid w:val="00B06C35"/>
    <w:rsid w:val="00B06D38"/>
    <w:rsid w:val="00B06D80"/>
    <w:rsid w:val="00B06E4F"/>
    <w:rsid w:val="00B06EB6"/>
    <w:rsid w:val="00B07019"/>
    <w:rsid w:val="00B0725C"/>
    <w:rsid w:val="00B072D4"/>
    <w:rsid w:val="00B07306"/>
    <w:rsid w:val="00B07364"/>
    <w:rsid w:val="00B0759A"/>
    <w:rsid w:val="00B07663"/>
    <w:rsid w:val="00B0769B"/>
    <w:rsid w:val="00B0787F"/>
    <w:rsid w:val="00B078D6"/>
    <w:rsid w:val="00B078EB"/>
    <w:rsid w:val="00B0792B"/>
    <w:rsid w:val="00B07BE5"/>
    <w:rsid w:val="00B07D2D"/>
    <w:rsid w:val="00B07DCD"/>
    <w:rsid w:val="00B07E4E"/>
    <w:rsid w:val="00B07E81"/>
    <w:rsid w:val="00B07F3F"/>
    <w:rsid w:val="00B07F51"/>
    <w:rsid w:val="00B10012"/>
    <w:rsid w:val="00B1008D"/>
    <w:rsid w:val="00B10133"/>
    <w:rsid w:val="00B1019F"/>
    <w:rsid w:val="00B10220"/>
    <w:rsid w:val="00B10475"/>
    <w:rsid w:val="00B10554"/>
    <w:rsid w:val="00B105A3"/>
    <w:rsid w:val="00B10654"/>
    <w:rsid w:val="00B1075D"/>
    <w:rsid w:val="00B10A43"/>
    <w:rsid w:val="00B10B6E"/>
    <w:rsid w:val="00B10B7F"/>
    <w:rsid w:val="00B10CF7"/>
    <w:rsid w:val="00B10CFD"/>
    <w:rsid w:val="00B10D57"/>
    <w:rsid w:val="00B10DE0"/>
    <w:rsid w:val="00B10E25"/>
    <w:rsid w:val="00B10E7C"/>
    <w:rsid w:val="00B10FD5"/>
    <w:rsid w:val="00B1104A"/>
    <w:rsid w:val="00B110B0"/>
    <w:rsid w:val="00B112A7"/>
    <w:rsid w:val="00B11314"/>
    <w:rsid w:val="00B11469"/>
    <w:rsid w:val="00B1146E"/>
    <w:rsid w:val="00B115C1"/>
    <w:rsid w:val="00B1165B"/>
    <w:rsid w:val="00B117E3"/>
    <w:rsid w:val="00B1185C"/>
    <w:rsid w:val="00B119F9"/>
    <w:rsid w:val="00B11A3F"/>
    <w:rsid w:val="00B11B87"/>
    <w:rsid w:val="00B11C0E"/>
    <w:rsid w:val="00B11D39"/>
    <w:rsid w:val="00B11D9A"/>
    <w:rsid w:val="00B11DC1"/>
    <w:rsid w:val="00B11F10"/>
    <w:rsid w:val="00B12296"/>
    <w:rsid w:val="00B12298"/>
    <w:rsid w:val="00B1231B"/>
    <w:rsid w:val="00B12425"/>
    <w:rsid w:val="00B124C8"/>
    <w:rsid w:val="00B124CA"/>
    <w:rsid w:val="00B124CD"/>
    <w:rsid w:val="00B1279C"/>
    <w:rsid w:val="00B12816"/>
    <w:rsid w:val="00B12D71"/>
    <w:rsid w:val="00B12DCC"/>
    <w:rsid w:val="00B12F19"/>
    <w:rsid w:val="00B131B8"/>
    <w:rsid w:val="00B131F9"/>
    <w:rsid w:val="00B1327C"/>
    <w:rsid w:val="00B1372E"/>
    <w:rsid w:val="00B137A8"/>
    <w:rsid w:val="00B137CD"/>
    <w:rsid w:val="00B137FA"/>
    <w:rsid w:val="00B13838"/>
    <w:rsid w:val="00B1384D"/>
    <w:rsid w:val="00B13AAF"/>
    <w:rsid w:val="00B13C5B"/>
    <w:rsid w:val="00B13E6E"/>
    <w:rsid w:val="00B1400D"/>
    <w:rsid w:val="00B14040"/>
    <w:rsid w:val="00B1418E"/>
    <w:rsid w:val="00B14274"/>
    <w:rsid w:val="00B14414"/>
    <w:rsid w:val="00B1463F"/>
    <w:rsid w:val="00B1473C"/>
    <w:rsid w:val="00B1481D"/>
    <w:rsid w:val="00B148DC"/>
    <w:rsid w:val="00B149D5"/>
    <w:rsid w:val="00B14A24"/>
    <w:rsid w:val="00B14AEB"/>
    <w:rsid w:val="00B14B5D"/>
    <w:rsid w:val="00B14BD5"/>
    <w:rsid w:val="00B14BEF"/>
    <w:rsid w:val="00B14FC0"/>
    <w:rsid w:val="00B15029"/>
    <w:rsid w:val="00B15125"/>
    <w:rsid w:val="00B1517A"/>
    <w:rsid w:val="00B151A2"/>
    <w:rsid w:val="00B151D8"/>
    <w:rsid w:val="00B1525D"/>
    <w:rsid w:val="00B152BD"/>
    <w:rsid w:val="00B15318"/>
    <w:rsid w:val="00B1532A"/>
    <w:rsid w:val="00B153F5"/>
    <w:rsid w:val="00B15440"/>
    <w:rsid w:val="00B1563B"/>
    <w:rsid w:val="00B156C4"/>
    <w:rsid w:val="00B157AA"/>
    <w:rsid w:val="00B1581C"/>
    <w:rsid w:val="00B15879"/>
    <w:rsid w:val="00B15B84"/>
    <w:rsid w:val="00B15E94"/>
    <w:rsid w:val="00B15ECF"/>
    <w:rsid w:val="00B15F88"/>
    <w:rsid w:val="00B1601F"/>
    <w:rsid w:val="00B16055"/>
    <w:rsid w:val="00B16128"/>
    <w:rsid w:val="00B164C8"/>
    <w:rsid w:val="00B165A2"/>
    <w:rsid w:val="00B1684A"/>
    <w:rsid w:val="00B16884"/>
    <w:rsid w:val="00B16895"/>
    <w:rsid w:val="00B16BAD"/>
    <w:rsid w:val="00B16BC5"/>
    <w:rsid w:val="00B16D04"/>
    <w:rsid w:val="00B16D52"/>
    <w:rsid w:val="00B16F7A"/>
    <w:rsid w:val="00B17004"/>
    <w:rsid w:val="00B17170"/>
    <w:rsid w:val="00B173A6"/>
    <w:rsid w:val="00B1766E"/>
    <w:rsid w:val="00B17827"/>
    <w:rsid w:val="00B17BB1"/>
    <w:rsid w:val="00B17CA4"/>
    <w:rsid w:val="00B17E91"/>
    <w:rsid w:val="00B17FA3"/>
    <w:rsid w:val="00B2016C"/>
    <w:rsid w:val="00B20241"/>
    <w:rsid w:val="00B202E0"/>
    <w:rsid w:val="00B2031B"/>
    <w:rsid w:val="00B2045E"/>
    <w:rsid w:val="00B20728"/>
    <w:rsid w:val="00B207B4"/>
    <w:rsid w:val="00B20973"/>
    <w:rsid w:val="00B20988"/>
    <w:rsid w:val="00B20DE8"/>
    <w:rsid w:val="00B20FD4"/>
    <w:rsid w:val="00B210A0"/>
    <w:rsid w:val="00B21185"/>
    <w:rsid w:val="00B212B7"/>
    <w:rsid w:val="00B213B8"/>
    <w:rsid w:val="00B213D4"/>
    <w:rsid w:val="00B2140D"/>
    <w:rsid w:val="00B2150F"/>
    <w:rsid w:val="00B2155C"/>
    <w:rsid w:val="00B21573"/>
    <w:rsid w:val="00B21665"/>
    <w:rsid w:val="00B216E8"/>
    <w:rsid w:val="00B217FD"/>
    <w:rsid w:val="00B21829"/>
    <w:rsid w:val="00B218EA"/>
    <w:rsid w:val="00B21C31"/>
    <w:rsid w:val="00B21FC9"/>
    <w:rsid w:val="00B2212D"/>
    <w:rsid w:val="00B22439"/>
    <w:rsid w:val="00B22452"/>
    <w:rsid w:val="00B22569"/>
    <w:rsid w:val="00B2271F"/>
    <w:rsid w:val="00B2288A"/>
    <w:rsid w:val="00B228A9"/>
    <w:rsid w:val="00B228DF"/>
    <w:rsid w:val="00B2291B"/>
    <w:rsid w:val="00B22ACB"/>
    <w:rsid w:val="00B22B24"/>
    <w:rsid w:val="00B22B84"/>
    <w:rsid w:val="00B22B85"/>
    <w:rsid w:val="00B22C71"/>
    <w:rsid w:val="00B22C97"/>
    <w:rsid w:val="00B22E1C"/>
    <w:rsid w:val="00B22EE8"/>
    <w:rsid w:val="00B22EFA"/>
    <w:rsid w:val="00B23221"/>
    <w:rsid w:val="00B2335D"/>
    <w:rsid w:val="00B2338F"/>
    <w:rsid w:val="00B23456"/>
    <w:rsid w:val="00B23541"/>
    <w:rsid w:val="00B236CB"/>
    <w:rsid w:val="00B23B3C"/>
    <w:rsid w:val="00B23BB5"/>
    <w:rsid w:val="00B23E7E"/>
    <w:rsid w:val="00B23EE4"/>
    <w:rsid w:val="00B23EF5"/>
    <w:rsid w:val="00B240B4"/>
    <w:rsid w:val="00B24118"/>
    <w:rsid w:val="00B24902"/>
    <w:rsid w:val="00B24940"/>
    <w:rsid w:val="00B24B44"/>
    <w:rsid w:val="00B24D9D"/>
    <w:rsid w:val="00B24DDB"/>
    <w:rsid w:val="00B24E7F"/>
    <w:rsid w:val="00B24F97"/>
    <w:rsid w:val="00B24FE6"/>
    <w:rsid w:val="00B25184"/>
    <w:rsid w:val="00B25259"/>
    <w:rsid w:val="00B2543A"/>
    <w:rsid w:val="00B25535"/>
    <w:rsid w:val="00B25559"/>
    <w:rsid w:val="00B255F0"/>
    <w:rsid w:val="00B25698"/>
    <w:rsid w:val="00B25944"/>
    <w:rsid w:val="00B25C51"/>
    <w:rsid w:val="00B26243"/>
    <w:rsid w:val="00B262A8"/>
    <w:rsid w:val="00B265A8"/>
    <w:rsid w:val="00B26791"/>
    <w:rsid w:val="00B2690A"/>
    <w:rsid w:val="00B26988"/>
    <w:rsid w:val="00B26A3E"/>
    <w:rsid w:val="00B26A7D"/>
    <w:rsid w:val="00B26B8A"/>
    <w:rsid w:val="00B26C92"/>
    <w:rsid w:val="00B26DE4"/>
    <w:rsid w:val="00B26E47"/>
    <w:rsid w:val="00B26EE7"/>
    <w:rsid w:val="00B270C2"/>
    <w:rsid w:val="00B27136"/>
    <w:rsid w:val="00B271FB"/>
    <w:rsid w:val="00B27466"/>
    <w:rsid w:val="00B2757C"/>
    <w:rsid w:val="00B2765E"/>
    <w:rsid w:val="00B277C1"/>
    <w:rsid w:val="00B277C9"/>
    <w:rsid w:val="00B27978"/>
    <w:rsid w:val="00B279E0"/>
    <w:rsid w:val="00B279E9"/>
    <w:rsid w:val="00B27BC6"/>
    <w:rsid w:val="00B27CB7"/>
    <w:rsid w:val="00B27D11"/>
    <w:rsid w:val="00B27E76"/>
    <w:rsid w:val="00B29DBB"/>
    <w:rsid w:val="00B30030"/>
    <w:rsid w:val="00B3006A"/>
    <w:rsid w:val="00B3009D"/>
    <w:rsid w:val="00B300EC"/>
    <w:rsid w:val="00B303CE"/>
    <w:rsid w:val="00B304C0"/>
    <w:rsid w:val="00B3050D"/>
    <w:rsid w:val="00B305E6"/>
    <w:rsid w:val="00B305F6"/>
    <w:rsid w:val="00B3065F"/>
    <w:rsid w:val="00B3069B"/>
    <w:rsid w:val="00B30ACB"/>
    <w:rsid w:val="00B30BFB"/>
    <w:rsid w:val="00B30C26"/>
    <w:rsid w:val="00B30D0A"/>
    <w:rsid w:val="00B30F8B"/>
    <w:rsid w:val="00B31084"/>
    <w:rsid w:val="00B310A4"/>
    <w:rsid w:val="00B310D6"/>
    <w:rsid w:val="00B311AD"/>
    <w:rsid w:val="00B312A7"/>
    <w:rsid w:val="00B312CE"/>
    <w:rsid w:val="00B31318"/>
    <w:rsid w:val="00B31344"/>
    <w:rsid w:val="00B3147D"/>
    <w:rsid w:val="00B315B7"/>
    <w:rsid w:val="00B317F4"/>
    <w:rsid w:val="00B31824"/>
    <w:rsid w:val="00B3186D"/>
    <w:rsid w:val="00B319F8"/>
    <w:rsid w:val="00B31A6A"/>
    <w:rsid w:val="00B31BE8"/>
    <w:rsid w:val="00B31C9D"/>
    <w:rsid w:val="00B31CEE"/>
    <w:rsid w:val="00B31EAD"/>
    <w:rsid w:val="00B31FA9"/>
    <w:rsid w:val="00B320C5"/>
    <w:rsid w:val="00B3216A"/>
    <w:rsid w:val="00B32190"/>
    <w:rsid w:val="00B32200"/>
    <w:rsid w:val="00B322E8"/>
    <w:rsid w:val="00B322EF"/>
    <w:rsid w:val="00B3240C"/>
    <w:rsid w:val="00B32446"/>
    <w:rsid w:val="00B32480"/>
    <w:rsid w:val="00B3254E"/>
    <w:rsid w:val="00B32660"/>
    <w:rsid w:val="00B3288E"/>
    <w:rsid w:val="00B3289C"/>
    <w:rsid w:val="00B328BE"/>
    <w:rsid w:val="00B329D2"/>
    <w:rsid w:val="00B329F9"/>
    <w:rsid w:val="00B32A06"/>
    <w:rsid w:val="00B32B09"/>
    <w:rsid w:val="00B32C19"/>
    <w:rsid w:val="00B32C63"/>
    <w:rsid w:val="00B32FA6"/>
    <w:rsid w:val="00B33018"/>
    <w:rsid w:val="00B3312A"/>
    <w:rsid w:val="00B3340F"/>
    <w:rsid w:val="00B3349F"/>
    <w:rsid w:val="00B33654"/>
    <w:rsid w:val="00B336B6"/>
    <w:rsid w:val="00B33B3C"/>
    <w:rsid w:val="00B33B77"/>
    <w:rsid w:val="00B33C7C"/>
    <w:rsid w:val="00B33DEE"/>
    <w:rsid w:val="00B33E31"/>
    <w:rsid w:val="00B33E78"/>
    <w:rsid w:val="00B33F29"/>
    <w:rsid w:val="00B3430C"/>
    <w:rsid w:val="00B343A8"/>
    <w:rsid w:val="00B343EC"/>
    <w:rsid w:val="00B34709"/>
    <w:rsid w:val="00B34860"/>
    <w:rsid w:val="00B34893"/>
    <w:rsid w:val="00B348F1"/>
    <w:rsid w:val="00B349D7"/>
    <w:rsid w:val="00B34ABA"/>
    <w:rsid w:val="00B34ABF"/>
    <w:rsid w:val="00B34C8C"/>
    <w:rsid w:val="00B34D18"/>
    <w:rsid w:val="00B34D9F"/>
    <w:rsid w:val="00B34DD4"/>
    <w:rsid w:val="00B34E22"/>
    <w:rsid w:val="00B34F7B"/>
    <w:rsid w:val="00B35015"/>
    <w:rsid w:val="00B35055"/>
    <w:rsid w:val="00B3516D"/>
    <w:rsid w:val="00B352B6"/>
    <w:rsid w:val="00B35415"/>
    <w:rsid w:val="00B357B1"/>
    <w:rsid w:val="00B357B9"/>
    <w:rsid w:val="00B357E9"/>
    <w:rsid w:val="00B35856"/>
    <w:rsid w:val="00B358D5"/>
    <w:rsid w:val="00B35ACB"/>
    <w:rsid w:val="00B35B2B"/>
    <w:rsid w:val="00B35C0A"/>
    <w:rsid w:val="00B35C40"/>
    <w:rsid w:val="00B35FDC"/>
    <w:rsid w:val="00B36111"/>
    <w:rsid w:val="00B36174"/>
    <w:rsid w:val="00B36319"/>
    <w:rsid w:val="00B36340"/>
    <w:rsid w:val="00B36374"/>
    <w:rsid w:val="00B363A0"/>
    <w:rsid w:val="00B3643F"/>
    <w:rsid w:val="00B3647E"/>
    <w:rsid w:val="00B36534"/>
    <w:rsid w:val="00B3659E"/>
    <w:rsid w:val="00B366AB"/>
    <w:rsid w:val="00B36A1B"/>
    <w:rsid w:val="00B36B82"/>
    <w:rsid w:val="00B36BFE"/>
    <w:rsid w:val="00B36C2A"/>
    <w:rsid w:val="00B36C59"/>
    <w:rsid w:val="00B36C5B"/>
    <w:rsid w:val="00B36D0D"/>
    <w:rsid w:val="00B36D11"/>
    <w:rsid w:val="00B36D3B"/>
    <w:rsid w:val="00B36F75"/>
    <w:rsid w:val="00B3704B"/>
    <w:rsid w:val="00B37379"/>
    <w:rsid w:val="00B3738F"/>
    <w:rsid w:val="00B3744D"/>
    <w:rsid w:val="00B3757D"/>
    <w:rsid w:val="00B37602"/>
    <w:rsid w:val="00B376A2"/>
    <w:rsid w:val="00B376FB"/>
    <w:rsid w:val="00B37724"/>
    <w:rsid w:val="00B378A1"/>
    <w:rsid w:val="00B379DC"/>
    <w:rsid w:val="00B37A59"/>
    <w:rsid w:val="00B37D4B"/>
    <w:rsid w:val="00B40004"/>
    <w:rsid w:val="00B4007D"/>
    <w:rsid w:val="00B4016C"/>
    <w:rsid w:val="00B403DB"/>
    <w:rsid w:val="00B40503"/>
    <w:rsid w:val="00B40506"/>
    <w:rsid w:val="00B4057C"/>
    <w:rsid w:val="00B4062A"/>
    <w:rsid w:val="00B40675"/>
    <w:rsid w:val="00B40694"/>
    <w:rsid w:val="00B40805"/>
    <w:rsid w:val="00B40923"/>
    <w:rsid w:val="00B40933"/>
    <w:rsid w:val="00B4094E"/>
    <w:rsid w:val="00B409AA"/>
    <w:rsid w:val="00B409FD"/>
    <w:rsid w:val="00B40B2A"/>
    <w:rsid w:val="00B40BE7"/>
    <w:rsid w:val="00B40DAE"/>
    <w:rsid w:val="00B40E05"/>
    <w:rsid w:val="00B410BE"/>
    <w:rsid w:val="00B410FA"/>
    <w:rsid w:val="00B410FF"/>
    <w:rsid w:val="00B41154"/>
    <w:rsid w:val="00B411D8"/>
    <w:rsid w:val="00B413E4"/>
    <w:rsid w:val="00B4151C"/>
    <w:rsid w:val="00B41672"/>
    <w:rsid w:val="00B4170C"/>
    <w:rsid w:val="00B418C9"/>
    <w:rsid w:val="00B41A14"/>
    <w:rsid w:val="00B41B3D"/>
    <w:rsid w:val="00B41BE8"/>
    <w:rsid w:val="00B41C0E"/>
    <w:rsid w:val="00B41C14"/>
    <w:rsid w:val="00B41C4D"/>
    <w:rsid w:val="00B41DB3"/>
    <w:rsid w:val="00B42061"/>
    <w:rsid w:val="00B420B0"/>
    <w:rsid w:val="00B42101"/>
    <w:rsid w:val="00B42234"/>
    <w:rsid w:val="00B4258B"/>
    <w:rsid w:val="00B4268C"/>
    <w:rsid w:val="00B42693"/>
    <w:rsid w:val="00B42819"/>
    <w:rsid w:val="00B428EE"/>
    <w:rsid w:val="00B4292D"/>
    <w:rsid w:val="00B42A6D"/>
    <w:rsid w:val="00B42B15"/>
    <w:rsid w:val="00B42B4E"/>
    <w:rsid w:val="00B42C60"/>
    <w:rsid w:val="00B42DA6"/>
    <w:rsid w:val="00B42DDB"/>
    <w:rsid w:val="00B42E33"/>
    <w:rsid w:val="00B42E73"/>
    <w:rsid w:val="00B42F72"/>
    <w:rsid w:val="00B42FE1"/>
    <w:rsid w:val="00B4307E"/>
    <w:rsid w:val="00B43108"/>
    <w:rsid w:val="00B43147"/>
    <w:rsid w:val="00B4349A"/>
    <w:rsid w:val="00B434CA"/>
    <w:rsid w:val="00B43547"/>
    <w:rsid w:val="00B437E1"/>
    <w:rsid w:val="00B43860"/>
    <w:rsid w:val="00B4396D"/>
    <w:rsid w:val="00B43ABC"/>
    <w:rsid w:val="00B43ADA"/>
    <w:rsid w:val="00B43B2F"/>
    <w:rsid w:val="00B43B47"/>
    <w:rsid w:val="00B43B5D"/>
    <w:rsid w:val="00B43B84"/>
    <w:rsid w:val="00B43C40"/>
    <w:rsid w:val="00B43C49"/>
    <w:rsid w:val="00B43D3C"/>
    <w:rsid w:val="00B43DFB"/>
    <w:rsid w:val="00B43FE8"/>
    <w:rsid w:val="00B44072"/>
    <w:rsid w:val="00B44112"/>
    <w:rsid w:val="00B44279"/>
    <w:rsid w:val="00B44336"/>
    <w:rsid w:val="00B443D6"/>
    <w:rsid w:val="00B444C0"/>
    <w:rsid w:val="00B444F1"/>
    <w:rsid w:val="00B445D3"/>
    <w:rsid w:val="00B44676"/>
    <w:rsid w:val="00B446D1"/>
    <w:rsid w:val="00B446E5"/>
    <w:rsid w:val="00B44728"/>
    <w:rsid w:val="00B448A6"/>
    <w:rsid w:val="00B448C7"/>
    <w:rsid w:val="00B44909"/>
    <w:rsid w:val="00B44914"/>
    <w:rsid w:val="00B44929"/>
    <w:rsid w:val="00B44AAC"/>
    <w:rsid w:val="00B44B08"/>
    <w:rsid w:val="00B44B19"/>
    <w:rsid w:val="00B44B56"/>
    <w:rsid w:val="00B44B5E"/>
    <w:rsid w:val="00B44DCE"/>
    <w:rsid w:val="00B44EE9"/>
    <w:rsid w:val="00B4503B"/>
    <w:rsid w:val="00B45189"/>
    <w:rsid w:val="00B453C5"/>
    <w:rsid w:val="00B45424"/>
    <w:rsid w:val="00B454DF"/>
    <w:rsid w:val="00B45665"/>
    <w:rsid w:val="00B45787"/>
    <w:rsid w:val="00B45A98"/>
    <w:rsid w:val="00B45C1E"/>
    <w:rsid w:val="00B45DBB"/>
    <w:rsid w:val="00B45FE5"/>
    <w:rsid w:val="00B46092"/>
    <w:rsid w:val="00B46097"/>
    <w:rsid w:val="00B463E5"/>
    <w:rsid w:val="00B4651E"/>
    <w:rsid w:val="00B4652C"/>
    <w:rsid w:val="00B466DA"/>
    <w:rsid w:val="00B4679B"/>
    <w:rsid w:val="00B46809"/>
    <w:rsid w:val="00B4699F"/>
    <w:rsid w:val="00B46A7E"/>
    <w:rsid w:val="00B46C0E"/>
    <w:rsid w:val="00B46D35"/>
    <w:rsid w:val="00B46EBA"/>
    <w:rsid w:val="00B46FB6"/>
    <w:rsid w:val="00B47136"/>
    <w:rsid w:val="00B471C4"/>
    <w:rsid w:val="00B472C1"/>
    <w:rsid w:val="00B47366"/>
    <w:rsid w:val="00B47449"/>
    <w:rsid w:val="00B4755A"/>
    <w:rsid w:val="00B47579"/>
    <w:rsid w:val="00B475EE"/>
    <w:rsid w:val="00B4762C"/>
    <w:rsid w:val="00B476BD"/>
    <w:rsid w:val="00B47700"/>
    <w:rsid w:val="00B47826"/>
    <w:rsid w:val="00B478AF"/>
    <w:rsid w:val="00B47901"/>
    <w:rsid w:val="00B479BC"/>
    <w:rsid w:val="00B47AFB"/>
    <w:rsid w:val="00B47DD4"/>
    <w:rsid w:val="00B47ED7"/>
    <w:rsid w:val="00B47EEE"/>
    <w:rsid w:val="00B47F1E"/>
    <w:rsid w:val="00B5021C"/>
    <w:rsid w:val="00B50523"/>
    <w:rsid w:val="00B50550"/>
    <w:rsid w:val="00B506B0"/>
    <w:rsid w:val="00B5073E"/>
    <w:rsid w:val="00B50815"/>
    <w:rsid w:val="00B50873"/>
    <w:rsid w:val="00B509E8"/>
    <w:rsid w:val="00B50D1C"/>
    <w:rsid w:val="00B50DFE"/>
    <w:rsid w:val="00B50E59"/>
    <w:rsid w:val="00B50FC8"/>
    <w:rsid w:val="00B50FE4"/>
    <w:rsid w:val="00B51223"/>
    <w:rsid w:val="00B512BF"/>
    <w:rsid w:val="00B51358"/>
    <w:rsid w:val="00B5145A"/>
    <w:rsid w:val="00B51599"/>
    <w:rsid w:val="00B51764"/>
    <w:rsid w:val="00B5180E"/>
    <w:rsid w:val="00B51812"/>
    <w:rsid w:val="00B5186B"/>
    <w:rsid w:val="00B5186E"/>
    <w:rsid w:val="00B51923"/>
    <w:rsid w:val="00B51BDF"/>
    <w:rsid w:val="00B51D72"/>
    <w:rsid w:val="00B51E63"/>
    <w:rsid w:val="00B51F1B"/>
    <w:rsid w:val="00B52027"/>
    <w:rsid w:val="00B521EC"/>
    <w:rsid w:val="00B524BE"/>
    <w:rsid w:val="00B52767"/>
    <w:rsid w:val="00B52781"/>
    <w:rsid w:val="00B52892"/>
    <w:rsid w:val="00B52920"/>
    <w:rsid w:val="00B52B9C"/>
    <w:rsid w:val="00B52EDF"/>
    <w:rsid w:val="00B5329D"/>
    <w:rsid w:val="00B5344C"/>
    <w:rsid w:val="00B53495"/>
    <w:rsid w:val="00B53655"/>
    <w:rsid w:val="00B5365A"/>
    <w:rsid w:val="00B536D2"/>
    <w:rsid w:val="00B536DB"/>
    <w:rsid w:val="00B5370C"/>
    <w:rsid w:val="00B5376C"/>
    <w:rsid w:val="00B537A7"/>
    <w:rsid w:val="00B538A4"/>
    <w:rsid w:val="00B538B5"/>
    <w:rsid w:val="00B538BE"/>
    <w:rsid w:val="00B538DB"/>
    <w:rsid w:val="00B5399A"/>
    <w:rsid w:val="00B539CB"/>
    <w:rsid w:val="00B53A61"/>
    <w:rsid w:val="00B53A76"/>
    <w:rsid w:val="00B53BEF"/>
    <w:rsid w:val="00B53C97"/>
    <w:rsid w:val="00B53C9F"/>
    <w:rsid w:val="00B53F3C"/>
    <w:rsid w:val="00B53FF8"/>
    <w:rsid w:val="00B5402C"/>
    <w:rsid w:val="00B540C7"/>
    <w:rsid w:val="00B540F8"/>
    <w:rsid w:val="00B542D0"/>
    <w:rsid w:val="00B54328"/>
    <w:rsid w:val="00B54331"/>
    <w:rsid w:val="00B54340"/>
    <w:rsid w:val="00B54356"/>
    <w:rsid w:val="00B54510"/>
    <w:rsid w:val="00B546EB"/>
    <w:rsid w:val="00B54922"/>
    <w:rsid w:val="00B549E0"/>
    <w:rsid w:val="00B549F1"/>
    <w:rsid w:val="00B54E35"/>
    <w:rsid w:val="00B54E82"/>
    <w:rsid w:val="00B550BD"/>
    <w:rsid w:val="00B55348"/>
    <w:rsid w:val="00B557A2"/>
    <w:rsid w:val="00B5596F"/>
    <w:rsid w:val="00B5597F"/>
    <w:rsid w:val="00B55AE8"/>
    <w:rsid w:val="00B55B5A"/>
    <w:rsid w:val="00B55B86"/>
    <w:rsid w:val="00B55BC2"/>
    <w:rsid w:val="00B55D28"/>
    <w:rsid w:val="00B55D65"/>
    <w:rsid w:val="00B55E24"/>
    <w:rsid w:val="00B55E40"/>
    <w:rsid w:val="00B55EC4"/>
    <w:rsid w:val="00B56203"/>
    <w:rsid w:val="00B564F9"/>
    <w:rsid w:val="00B565CE"/>
    <w:rsid w:val="00B56628"/>
    <w:rsid w:val="00B56713"/>
    <w:rsid w:val="00B56980"/>
    <w:rsid w:val="00B56A7D"/>
    <w:rsid w:val="00B56B28"/>
    <w:rsid w:val="00B56B8D"/>
    <w:rsid w:val="00B56BF5"/>
    <w:rsid w:val="00B56C26"/>
    <w:rsid w:val="00B56E35"/>
    <w:rsid w:val="00B56F49"/>
    <w:rsid w:val="00B56FB6"/>
    <w:rsid w:val="00B56FF0"/>
    <w:rsid w:val="00B572DB"/>
    <w:rsid w:val="00B575C4"/>
    <w:rsid w:val="00B576F4"/>
    <w:rsid w:val="00B57719"/>
    <w:rsid w:val="00B57939"/>
    <w:rsid w:val="00B579B8"/>
    <w:rsid w:val="00B579E9"/>
    <w:rsid w:val="00B57AC5"/>
    <w:rsid w:val="00B57DEC"/>
    <w:rsid w:val="00B57ED8"/>
    <w:rsid w:val="00B60087"/>
    <w:rsid w:val="00B600BB"/>
    <w:rsid w:val="00B60143"/>
    <w:rsid w:val="00B60186"/>
    <w:rsid w:val="00B6021D"/>
    <w:rsid w:val="00B60251"/>
    <w:rsid w:val="00B60285"/>
    <w:rsid w:val="00B602CB"/>
    <w:rsid w:val="00B603E4"/>
    <w:rsid w:val="00B603F8"/>
    <w:rsid w:val="00B606B1"/>
    <w:rsid w:val="00B606C8"/>
    <w:rsid w:val="00B6077E"/>
    <w:rsid w:val="00B60912"/>
    <w:rsid w:val="00B609C7"/>
    <w:rsid w:val="00B609D5"/>
    <w:rsid w:val="00B609EC"/>
    <w:rsid w:val="00B60B3A"/>
    <w:rsid w:val="00B60B99"/>
    <w:rsid w:val="00B60C71"/>
    <w:rsid w:val="00B60CB8"/>
    <w:rsid w:val="00B60D37"/>
    <w:rsid w:val="00B60DAF"/>
    <w:rsid w:val="00B60DEB"/>
    <w:rsid w:val="00B60E6B"/>
    <w:rsid w:val="00B60E78"/>
    <w:rsid w:val="00B60FAE"/>
    <w:rsid w:val="00B60FF1"/>
    <w:rsid w:val="00B6102C"/>
    <w:rsid w:val="00B611D2"/>
    <w:rsid w:val="00B611E1"/>
    <w:rsid w:val="00B61209"/>
    <w:rsid w:val="00B612CA"/>
    <w:rsid w:val="00B612E0"/>
    <w:rsid w:val="00B613E9"/>
    <w:rsid w:val="00B615A2"/>
    <w:rsid w:val="00B61613"/>
    <w:rsid w:val="00B616D0"/>
    <w:rsid w:val="00B61703"/>
    <w:rsid w:val="00B61799"/>
    <w:rsid w:val="00B6198C"/>
    <w:rsid w:val="00B61A11"/>
    <w:rsid w:val="00B61A92"/>
    <w:rsid w:val="00B61AFF"/>
    <w:rsid w:val="00B61B92"/>
    <w:rsid w:val="00B61BC7"/>
    <w:rsid w:val="00B61C02"/>
    <w:rsid w:val="00B61C2E"/>
    <w:rsid w:val="00B61CD2"/>
    <w:rsid w:val="00B61D4F"/>
    <w:rsid w:val="00B61E51"/>
    <w:rsid w:val="00B61E64"/>
    <w:rsid w:val="00B61F63"/>
    <w:rsid w:val="00B61F6A"/>
    <w:rsid w:val="00B620BB"/>
    <w:rsid w:val="00B62154"/>
    <w:rsid w:val="00B6217A"/>
    <w:rsid w:val="00B621F8"/>
    <w:rsid w:val="00B62329"/>
    <w:rsid w:val="00B6232B"/>
    <w:rsid w:val="00B6232F"/>
    <w:rsid w:val="00B62846"/>
    <w:rsid w:val="00B62855"/>
    <w:rsid w:val="00B62AB7"/>
    <w:rsid w:val="00B62AC3"/>
    <w:rsid w:val="00B62B14"/>
    <w:rsid w:val="00B62C9F"/>
    <w:rsid w:val="00B62E6F"/>
    <w:rsid w:val="00B62EC9"/>
    <w:rsid w:val="00B62FB0"/>
    <w:rsid w:val="00B6307A"/>
    <w:rsid w:val="00B63189"/>
    <w:rsid w:val="00B631C6"/>
    <w:rsid w:val="00B633E1"/>
    <w:rsid w:val="00B63746"/>
    <w:rsid w:val="00B639AE"/>
    <w:rsid w:val="00B63A49"/>
    <w:rsid w:val="00B63A87"/>
    <w:rsid w:val="00B63B29"/>
    <w:rsid w:val="00B6426E"/>
    <w:rsid w:val="00B64507"/>
    <w:rsid w:val="00B645BF"/>
    <w:rsid w:val="00B6468F"/>
    <w:rsid w:val="00B646FD"/>
    <w:rsid w:val="00B6472A"/>
    <w:rsid w:val="00B64793"/>
    <w:rsid w:val="00B647EB"/>
    <w:rsid w:val="00B6494F"/>
    <w:rsid w:val="00B64AEC"/>
    <w:rsid w:val="00B64CDF"/>
    <w:rsid w:val="00B64CE5"/>
    <w:rsid w:val="00B64E16"/>
    <w:rsid w:val="00B64E40"/>
    <w:rsid w:val="00B65471"/>
    <w:rsid w:val="00B65575"/>
    <w:rsid w:val="00B65594"/>
    <w:rsid w:val="00B655FD"/>
    <w:rsid w:val="00B655FE"/>
    <w:rsid w:val="00B65624"/>
    <w:rsid w:val="00B65654"/>
    <w:rsid w:val="00B65796"/>
    <w:rsid w:val="00B658D6"/>
    <w:rsid w:val="00B65A6B"/>
    <w:rsid w:val="00B65BDC"/>
    <w:rsid w:val="00B65BFF"/>
    <w:rsid w:val="00B65C15"/>
    <w:rsid w:val="00B65C78"/>
    <w:rsid w:val="00B65DB2"/>
    <w:rsid w:val="00B65DE0"/>
    <w:rsid w:val="00B65F25"/>
    <w:rsid w:val="00B6629E"/>
    <w:rsid w:val="00B662F7"/>
    <w:rsid w:val="00B666C2"/>
    <w:rsid w:val="00B66741"/>
    <w:rsid w:val="00B66881"/>
    <w:rsid w:val="00B668D0"/>
    <w:rsid w:val="00B6690D"/>
    <w:rsid w:val="00B669EB"/>
    <w:rsid w:val="00B66B26"/>
    <w:rsid w:val="00B66CAB"/>
    <w:rsid w:val="00B66E15"/>
    <w:rsid w:val="00B66E1D"/>
    <w:rsid w:val="00B66FA7"/>
    <w:rsid w:val="00B6709F"/>
    <w:rsid w:val="00B671D0"/>
    <w:rsid w:val="00B673F3"/>
    <w:rsid w:val="00B6741C"/>
    <w:rsid w:val="00B6754A"/>
    <w:rsid w:val="00B675B1"/>
    <w:rsid w:val="00B679A1"/>
    <w:rsid w:val="00B67A90"/>
    <w:rsid w:val="00B67A9A"/>
    <w:rsid w:val="00B67C23"/>
    <w:rsid w:val="00B67DB4"/>
    <w:rsid w:val="00B67E63"/>
    <w:rsid w:val="00B67F09"/>
    <w:rsid w:val="00B7017D"/>
    <w:rsid w:val="00B702BA"/>
    <w:rsid w:val="00B7043F"/>
    <w:rsid w:val="00B704F0"/>
    <w:rsid w:val="00B706E2"/>
    <w:rsid w:val="00B70715"/>
    <w:rsid w:val="00B70778"/>
    <w:rsid w:val="00B709E8"/>
    <w:rsid w:val="00B70A27"/>
    <w:rsid w:val="00B70B91"/>
    <w:rsid w:val="00B70C48"/>
    <w:rsid w:val="00B70C8F"/>
    <w:rsid w:val="00B70D09"/>
    <w:rsid w:val="00B70D78"/>
    <w:rsid w:val="00B70E0C"/>
    <w:rsid w:val="00B7104E"/>
    <w:rsid w:val="00B710D5"/>
    <w:rsid w:val="00B712D0"/>
    <w:rsid w:val="00B712DD"/>
    <w:rsid w:val="00B71583"/>
    <w:rsid w:val="00B7163E"/>
    <w:rsid w:val="00B71A3B"/>
    <w:rsid w:val="00B71B06"/>
    <w:rsid w:val="00B71D68"/>
    <w:rsid w:val="00B71DD6"/>
    <w:rsid w:val="00B71E7F"/>
    <w:rsid w:val="00B71ED2"/>
    <w:rsid w:val="00B72072"/>
    <w:rsid w:val="00B720E1"/>
    <w:rsid w:val="00B7213A"/>
    <w:rsid w:val="00B72231"/>
    <w:rsid w:val="00B723B8"/>
    <w:rsid w:val="00B724F0"/>
    <w:rsid w:val="00B7262C"/>
    <w:rsid w:val="00B726DA"/>
    <w:rsid w:val="00B72736"/>
    <w:rsid w:val="00B727BD"/>
    <w:rsid w:val="00B727F2"/>
    <w:rsid w:val="00B729B9"/>
    <w:rsid w:val="00B72C98"/>
    <w:rsid w:val="00B72D87"/>
    <w:rsid w:val="00B72E1B"/>
    <w:rsid w:val="00B72E35"/>
    <w:rsid w:val="00B72E3F"/>
    <w:rsid w:val="00B72E91"/>
    <w:rsid w:val="00B731D6"/>
    <w:rsid w:val="00B733F2"/>
    <w:rsid w:val="00B736A0"/>
    <w:rsid w:val="00B736DB"/>
    <w:rsid w:val="00B737E4"/>
    <w:rsid w:val="00B73833"/>
    <w:rsid w:val="00B73849"/>
    <w:rsid w:val="00B738A7"/>
    <w:rsid w:val="00B73BF0"/>
    <w:rsid w:val="00B73C2A"/>
    <w:rsid w:val="00B73CFA"/>
    <w:rsid w:val="00B73CFE"/>
    <w:rsid w:val="00B73D4E"/>
    <w:rsid w:val="00B73D7A"/>
    <w:rsid w:val="00B73E7E"/>
    <w:rsid w:val="00B73EF1"/>
    <w:rsid w:val="00B73FF4"/>
    <w:rsid w:val="00B742FE"/>
    <w:rsid w:val="00B74366"/>
    <w:rsid w:val="00B7444F"/>
    <w:rsid w:val="00B74600"/>
    <w:rsid w:val="00B74926"/>
    <w:rsid w:val="00B74B18"/>
    <w:rsid w:val="00B74B5E"/>
    <w:rsid w:val="00B74C3B"/>
    <w:rsid w:val="00B74E8F"/>
    <w:rsid w:val="00B74F11"/>
    <w:rsid w:val="00B74F9D"/>
    <w:rsid w:val="00B75024"/>
    <w:rsid w:val="00B75084"/>
    <w:rsid w:val="00B750B7"/>
    <w:rsid w:val="00B7515C"/>
    <w:rsid w:val="00B7517C"/>
    <w:rsid w:val="00B7568C"/>
    <w:rsid w:val="00B75692"/>
    <w:rsid w:val="00B756CA"/>
    <w:rsid w:val="00B7571A"/>
    <w:rsid w:val="00B7583A"/>
    <w:rsid w:val="00B75988"/>
    <w:rsid w:val="00B759B6"/>
    <w:rsid w:val="00B759E9"/>
    <w:rsid w:val="00B75CC9"/>
    <w:rsid w:val="00B75DB3"/>
    <w:rsid w:val="00B75E31"/>
    <w:rsid w:val="00B75E58"/>
    <w:rsid w:val="00B75EA5"/>
    <w:rsid w:val="00B75FA9"/>
    <w:rsid w:val="00B761F2"/>
    <w:rsid w:val="00B761FA"/>
    <w:rsid w:val="00B76328"/>
    <w:rsid w:val="00B76375"/>
    <w:rsid w:val="00B763B6"/>
    <w:rsid w:val="00B763E8"/>
    <w:rsid w:val="00B763FE"/>
    <w:rsid w:val="00B76480"/>
    <w:rsid w:val="00B764D8"/>
    <w:rsid w:val="00B76AB4"/>
    <w:rsid w:val="00B76B8A"/>
    <w:rsid w:val="00B76C02"/>
    <w:rsid w:val="00B76C08"/>
    <w:rsid w:val="00B77162"/>
    <w:rsid w:val="00B772A6"/>
    <w:rsid w:val="00B773F6"/>
    <w:rsid w:val="00B77521"/>
    <w:rsid w:val="00B77557"/>
    <w:rsid w:val="00B77607"/>
    <w:rsid w:val="00B77644"/>
    <w:rsid w:val="00B77682"/>
    <w:rsid w:val="00B77A11"/>
    <w:rsid w:val="00B77C5C"/>
    <w:rsid w:val="00B77E1B"/>
    <w:rsid w:val="00B8004A"/>
    <w:rsid w:val="00B8005F"/>
    <w:rsid w:val="00B800F9"/>
    <w:rsid w:val="00B80179"/>
    <w:rsid w:val="00B803E1"/>
    <w:rsid w:val="00B80499"/>
    <w:rsid w:val="00B8074F"/>
    <w:rsid w:val="00B8083D"/>
    <w:rsid w:val="00B80983"/>
    <w:rsid w:val="00B80BA4"/>
    <w:rsid w:val="00B80CC4"/>
    <w:rsid w:val="00B80E19"/>
    <w:rsid w:val="00B80E71"/>
    <w:rsid w:val="00B80EE7"/>
    <w:rsid w:val="00B80F80"/>
    <w:rsid w:val="00B80FB8"/>
    <w:rsid w:val="00B81088"/>
    <w:rsid w:val="00B810F4"/>
    <w:rsid w:val="00B81291"/>
    <w:rsid w:val="00B81380"/>
    <w:rsid w:val="00B8139F"/>
    <w:rsid w:val="00B81424"/>
    <w:rsid w:val="00B814FF"/>
    <w:rsid w:val="00B8164B"/>
    <w:rsid w:val="00B817CA"/>
    <w:rsid w:val="00B81900"/>
    <w:rsid w:val="00B81922"/>
    <w:rsid w:val="00B8194B"/>
    <w:rsid w:val="00B819E8"/>
    <w:rsid w:val="00B81A63"/>
    <w:rsid w:val="00B81A6C"/>
    <w:rsid w:val="00B81A94"/>
    <w:rsid w:val="00B81C10"/>
    <w:rsid w:val="00B81CC5"/>
    <w:rsid w:val="00B81D1D"/>
    <w:rsid w:val="00B81DC9"/>
    <w:rsid w:val="00B81EAC"/>
    <w:rsid w:val="00B820C1"/>
    <w:rsid w:val="00B82103"/>
    <w:rsid w:val="00B821BB"/>
    <w:rsid w:val="00B821ED"/>
    <w:rsid w:val="00B82394"/>
    <w:rsid w:val="00B82442"/>
    <w:rsid w:val="00B824D1"/>
    <w:rsid w:val="00B8253A"/>
    <w:rsid w:val="00B82612"/>
    <w:rsid w:val="00B8274F"/>
    <w:rsid w:val="00B82762"/>
    <w:rsid w:val="00B82BBC"/>
    <w:rsid w:val="00B82C37"/>
    <w:rsid w:val="00B82C93"/>
    <w:rsid w:val="00B83013"/>
    <w:rsid w:val="00B830A0"/>
    <w:rsid w:val="00B83153"/>
    <w:rsid w:val="00B83170"/>
    <w:rsid w:val="00B83439"/>
    <w:rsid w:val="00B836BE"/>
    <w:rsid w:val="00B837B2"/>
    <w:rsid w:val="00B837B5"/>
    <w:rsid w:val="00B8385F"/>
    <w:rsid w:val="00B83A30"/>
    <w:rsid w:val="00B83A4A"/>
    <w:rsid w:val="00B83A9E"/>
    <w:rsid w:val="00B83B9A"/>
    <w:rsid w:val="00B83BF4"/>
    <w:rsid w:val="00B83C34"/>
    <w:rsid w:val="00B83D0B"/>
    <w:rsid w:val="00B83DBC"/>
    <w:rsid w:val="00B84215"/>
    <w:rsid w:val="00B842D5"/>
    <w:rsid w:val="00B84341"/>
    <w:rsid w:val="00B8437B"/>
    <w:rsid w:val="00B84393"/>
    <w:rsid w:val="00B843DF"/>
    <w:rsid w:val="00B844DF"/>
    <w:rsid w:val="00B84627"/>
    <w:rsid w:val="00B84952"/>
    <w:rsid w:val="00B8498E"/>
    <w:rsid w:val="00B849A1"/>
    <w:rsid w:val="00B84A26"/>
    <w:rsid w:val="00B84AB7"/>
    <w:rsid w:val="00B84D60"/>
    <w:rsid w:val="00B84E5B"/>
    <w:rsid w:val="00B85072"/>
    <w:rsid w:val="00B850AE"/>
    <w:rsid w:val="00B85339"/>
    <w:rsid w:val="00B85596"/>
    <w:rsid w:val="00B855F8"/>
    <w:rsid w:val="00B85607"/>
    <w:rsid w:val="00B856A0"/>
    <w:rsid w:val="00B858A8"/>
    <w:rsid w:val="00B859BC"/>
    <w:rsid w:val="00B85A07"/>
    <w:rsid w:val="00B85B92"/>
    <w:rsid w:val="00B85C3D"/>
    <w:rsid w:val="00B85D3E"/>
    <w:rsid w:val="00B85F00"/>
    <w:rsid w:val="00B8602C"/>
    <w:rsid w:val="00B86061"/>
    <w:rsid w:val="00B8613F"/>
    <w:rsid w:val="00B8622B"/>
    <w:rsid w:val="00B86248"/>
    <w:rsid w:val="00B862CA"/>
    <w:rsid w:val="00B8633C"/>
    <w:rsid w:val="00B863CE"/>
    <w:rsid w:val="00B86445"/>
    <w:rsid w:val="00B8660A"/>
    <w:rsid w:val="00B8660C"/>
    <w:rsid w:val="00B86625"/>
    <w:rsid w:val="00B86689"/>
    <w:rsid w:val="00B86A1F"/>
    <w:rsid w:val="00B86A21"/>
    <w:rsid w:val="00B86A43"/>
    <w:rsid w:val="00B86DF6"/>
    <w:rsid w:val="00B87235"/>
    <w:rsid w:val="00B874E7"/>
    <w:rsid w:val="00B876D8"/>
    <w:rsid w:val="00B8776B"/>
    <w:rsid w:val="00B877E8"/>
    <w:rsid w:val="00B87866"/>
    <w:rsid w:val="00B878E0"/>
    <w:rsid w:val="00B878E8"/>
    <w:rsid w:val="00B87929"/>
    <w:rsid w:val="00B879CE"/>
    <w:rsid w:val="00B87AB4"/>
    <w:rsid w:val="00B87AEA"/>
    <w:rsid w:val="00B87C1C"/>
    <w:rsid w:val="00B87D4C"/>
    <w:rsid w:val="00B8CB57"/>
    <w:rsid w:val="00B90134"/>
    <w:rsid w:val="00B902FA"/>
    <w:rsid w:val="00B904E9"/>
    <w:rsid w:val="00B904FA"/>
    <w:rsid w:val="00B90816"/>
    <w:rsid w:val="00B90A6F"/>
    <w:rsid w:val="00B90AA3"/>
    <w:rsid w:val="00B90BB7"/>
    <w:rsid w:val="00B90C92"/>
    <w:rsid w:val="00B90EE5"/>
    <w:rsid w:val="00B91007"/>
    <w:rsid w:val="00B913CB"/>
    <w:rsid w:val="00B91450"/>
    <w:rsid w:val="00B916F4"/>
    <w:rsid w:val="00B9176B"/>
    <w:rsid w:val="00B91991"/>
    <w:rsid w:val="00B91996"/>
    <w:rsid w:val="00B919D5"/>
    <w:rsid w:val="00B91A47"/>
    <w:rsid w:val="00B91B81"/>
    <w:rsid w:val="00B91BE2"/>
    <w:rsid w:val="00B91C14"/>
    <w:rsid w:val="00B91D67"/>
    <w:rsid w:val="00B91DD8"/>
    <w:rsid w:val="00B91E6D"/>
    <w:rsid w:val="00B91F31"/>
    <w:rsid w:val="00B92162"/>
    <w:rsid w:val="00B92545"/>
    <w:rsid w:val="00B92595"/>
    <w:rsid w:val="00B92608"/>
    <w:rsid w:val="00B92677"/>
    <w:rsid w:val="00B927DF"/>
    <w:rsid w:val="00B9288C"/>
    <w:rsid w:val="00B92A85"/>
    <w:rsid w:val="00B92B7E"/>
    <w:rsid w:val="00B92CF9"/>
    <w:rsid w:val="00B92D41"/>
    <w:rsid w:val="00B92FC4"/>
    <w:rsid w:val="00B930EF"/>
    <w:rsid w:val="00B9319B"/>
    <w:rsid w:val="00B932AF"/>
    <w:rsid w:val="00B933BC"/>
    <w:rsid w:val="00B9368A"/>
    <w:rsid w:val="00B936CD"/>
    <w:rsid w:val="00B9378D"/>
    <w:rsid w:val="00B937E9"/>
    <w:rsid w:val="00B93927"/>
    <w:rsid w:val="00B93A8F"/>
    <w:rsid w:val="00B93C7B"/>
    <w:rsid w:val="00B93EF8"/>
    <w:rsid w:val="00B93F31"/>
    <w:rsid w:val="00B93F6D"/>
    <w:rsid w:val="00B93F90"/>
    <w:rsid w:val="00B94020"/>
    <w:rsid w:val="00B94086"/>
    <w:rsid w:val="00B94240"/>
    <w:rsid w:val="00B942EF"/>
    <w:rsid w:val="00B94310"/>
    <w:rsid w:val="00B943E0"/>
    <w:rsid w:val="00B9445A"/>
    <w:rsid w:val="00B94520"/>
    <w:rsid w:val="00B94616"/>
    <w:rsid w:val="00B946EC"/>
    <w:rsid w:val="00B949A5"/>
    <w:rsid w:val="00B949C2"/>
    <w:rsid w:val="00B94A36"/>
    <w:rsid w:val="00B94CB6"/>
    <w:rsid w:val="00B94D63"/>
    <w:rsid w:val="00B94E20"/>
    <w:rsid w:val="00B94E4B"/>
    <w:rsid w:val="00B95017"/>
    <w:rsid w:val="00B9511B"/>
    <w:rsid w:val="00B952A2"/>
    <w:rsid w:val="00B952ED"/>
    <w:rsid w:val="00B95388"/>
    <w:rsid w:val="00B953EA"/>
    <w:rsid w:val="00B9541F"/>
    <w:rsid w:val="00B955AB"/>
    <w:rsid w:val="00B95849"/>
    <w:rsid w:val="00B9589F"/>
    <w:rsid w:val="00B9590D"/>
    <w:rsid w:val="00B95928"/>
    <w:rsid w:val="00B95A61"/>
    <w:rsid w:val="00B95C15"/>
    <w:rsid w:val="00B95CDB"/>
    <w:rsid w:val="00B95DE1"/>
    <w:rsid w:val="00B95E0A"/>
    <w:rsid w:val="00B96046"/>
    <w:rsid w:val="00B9607A"/>
    <w:rsid w:val="00B96136"/>
    <w:rsid w:val="00B961F4"/>
    <w:rsid w:val="00B9629A"/>
    <w:rsid w:val="00B962C5"/>
    <w:rsid w:val="00B963F0"/>
    <w:rsid w:val="00B96401"/>
    <w:rsid w:val="00B96412"/>
    <w:rsid w:val="00B96462"/>
    <w:rsid w:val="00B96544"/>
    <w:rsid w:val="00B965D8"/>
    <w:rsid w:val="00B966F1"/>
    <w:rsid w:val="00B967ED"/>
    <w:rsid w:val="00B96954"/>
    <w:rsid w:val="00B96AA0"/>
    <w:rsid w:val="00B96CA3"/>
    <w:rsid w:val="00B96CB5"/>
    <w:rsid w:val="00B96DCC"/>
    <w:rsid w:val="00B972DE"/>
    <w:rsid w:val="00B974AC"/>
    <w:rsid w:val="00B97754"/>
    <w:rsid w:val="00B97762"/>
    <w:rsid w:val="00B97769"/>
    <w:rsid w:val="00B977B7"/>
    <w:rsid w:val="00B97878"/>
    <w:rsid w:val="00B97B50"/>
    <w:rsid w:val="00B97C3E"/>
    <w:rsid w:val="00B97CA0"/>
    <w:rsid w:val="00B97D2C"/>
    <w:rsid w:val="00B97E7C"/>
    <w:rsid w:val="00B97F21"/>
    <w:rsid w:val="00B97F51"/>
    <w:rsid w:val="00BA005B"/>
    <w:rsid w:val="00BA0181"/>
    <w:rsid w:val="00BA01D1"/>
    <w:rsid w:val="00BA047F"/>
    <w:rsid w:val="00BA04A2"/>
    <w:rsid w:val="00BA051E"/>
    <w:rsid w:val="00BA0588"/>
    <w:rsid w:val="00BA0697"/>
    <w:rsid w:val="00BA08F1"/>
    <w:rsid w:val="00BA0A2C"/>
    <w:rsid w:val="00BA0A44"/>
    <w:rsid w:val="00BA0A60"/>
    <w:rsid w:val="00BA0AE5"/>
    <w:rsid w:val="00BA0B83"/>
    <w:rsid w:val="00BA0CDE"/>
    <w:rsid w:val="00BA0D00"/>
    <w:rsid w:val="00BA119A"/>
    <w:rsid w:val="00BA11CA"/>
    <w:rsid w:val="00BA12EA"/>
    <w:rsid w:val="00BA132E"/>
    <w:rsid w:val="00BA1375"/>
    <w:rsid w:val="00BA1426"/>
    <w:rsid w:val="00BA1546"/>
    <w:rsid w:val="00BA1677"/>
    <w:rsid w:val="00BA17ED"/>
    <w:rsid w:val="00BA195D"/>
    <w:rsid w:val="00BA1A06"/>
    <w:rsid w:val="00BA1CBC"/>
    <w:rsid w:val="00BA1CD7"/>
    <w:rsid w:val="00BA1CE6"/>
    <w:rsid w:val="00BA1D86"/>
    <w:rsid w:val="00BA1EC7"/>
    <w:rsid w:val="00BA2244"/>
    <w:rsid w:val="00BA229B"/>
    <w:rsid w:val="00BA22BF"/>
    <w:rsid w:val="00BA2421"/>
    <w:rsid w:val="00BA2961"/>
    <w:rsid w:val="00BA2974"/>
    <w:rsid w:val="00BA298F"/>
    <w:rsid w:val="00BA2A71"/>
    <w:rsid w:val="00BA2AAF"/>
    <w:rsid w:val="00BA2B1D"/>
    <w:rsid w:val="00BA2B4B"/>
    <w:rsid w:val="00BA2B5D"/>
    <w:rsid w:val="00BA2BED"/>
    <w:rsid w:val="00BA2D3B"/>
    <w:rsid w:val="00BA2D5D"/>
    <w:rsid w:val="00BA2E68"/>
    <w:rsid w:val="00BA300D"/>
    <w:rsid w:val="00BA30C2"/>
    <w:rsid w:val="00BA30E2"/>
    <w:rsid w:val="00BA316D"/>
    <w:rsid w:val="00BA32A5"/>
    <w:rsid w:val="00BA3315"/>
    <w:rsid w:val="00BA3347"/>
    <w:rsid w:val="00BA3498"/>
    <w:rsid w:val="00BA35DF"/>
    <w:rsid w:val="00BA3A5B"/>
    <w:rsid w:val="00BA3A60"/>
    <w:rsid w:val="00BA3D56"/>
    <w:rsid w:val="00BA3D79"/>
    <w:rsid w:val="00BA3DB5"/>
    <w:rsid w:val="00BA3E0B"/>
    <w:rsid w:val="00BA3E74"/>
    <w:rsid w:val="00BA3EC5"/>
    <w:rsid w:val="00BA3EEA"/>
    <w:rsid w:val="00BA403A"/>
    <w:rsid w:val="00BA40CE"/>
    <w:rsid w:val="00BA42EA"/>
    <w:rsid w:val="00BA439B"/>
    <w:rsid w:val="00BA442C"/>
    <w:rsid w:val="00BA4516"/>
    <w:rsid w:val="00BA45E7"/>
    <w:rsid w:val="00BA4693"/>
    <w:rsid w:val="00BA4829"/>
    <w:rsid w:val="00BA4859"/>
    <w:rsid w:val="00BA4ACD"/>
    <w:rsid w:val="00BA4C51"/>
    <w:rsid w:val="00BA4C63"/>
    <w:rsid w:val="00BA4EFB"/>
    <w:rsid w:val="00BA4F04"/>
    <w:rsid w:val="00BA52C8"/>
    <w:rsid w:val="00BA532C"/>
    <w:rsid w:val="00BA568B"/>
    <w:rsid w:val="00BA59B2"/>
    <w:rsid w:val="00BA59BE"/>
    <w:rsid w:val="00BA5A65"/>
    <w:rsid w:val="00BA5A81"/>
    <w:rsid w:val="00BA5C82"/>
    <w:rsid w:val="00BA5D2B"/>
    <w:rsid w:val="00BA5D40"/>
    <w:rsid w:val="00BA5D53"/>
    <w:rsid w:val="00BA5DB5"/>
    <w:rsid w:val="00BA5DC9"/>
    <w:rsid w:val="00BA5FD7"/>
    <w:rsid w:val="00BA614D"/>
    <w:rsid w:val="00BA62F2"/>
    <w:rsid w:val="00BA63A4"/>
    <w:rsid w:val="00BA644B"/>
    <w:rsid w:val="00BA65E0"/>
    <w:rsid w:val="00BA68FB"/>
    <w:rsid w:val="00BA6A74"/>
    <w:rsid w:val="00BA6B23"/>
    <w:rsid w:val="00BA6B4C"/>
    <w:rsid w:val="00BA6BE1"/>
    <w:rsid w:val="00BA6BFA"/>
    <w:rsid w:val="00BA6D31"/>
    <w:rsid w:val="00BA6EF0"/>
    <w:rsid w:val="00BA6F01"/>
    <w:rsid w:val="00BA6FBF"/>
    <w:rsid w:val="00BA7062"/>
    <w:rsid w:val="00BA7146"/>
    <w:rsid w:val="00BA7194"/>
    <w:rsid w:val="00BA71F6"/>
    <w:rsid w:val="00BA725B"/>
    <w:rsid w:val="00BA7286"/>
    <w:rsid w:val="00BA74EF"/>
    <w:rsid w:val="00BA75EC"/>
    <w:rsid w:val="00BA7651"/>
    <w:rsid w:val="00BA76FA"/>
    <w:rsid w:val="00BA7886"/>
    <w:rsid w:val="00BA7952"/>
    <w:rsid w:val="00BA7995"/>
    <w:rsid w:val="00BA7FA1"/>
    <w:rsid w:val="00BA7FDB"/>
    <w:rsid w:val="00BB0036"/>
    <w:rsid w:val="00BB00B4"/>
    <w:rsid w:val="00BB03C2"/>
    <w:rsid w:val="00BB0880"/>
    <w:rsid w:val="00BB0ACD"/>
    <w:rsid w:val="00BB0C1C"/>
    <w:rsid w:val="00BB0C44"/>
    <w:rsid w:val="00BB0EBC"/>
    <w:rsid w:val="00BB0FDB"/>
    <w:rsid w:val="00BB107C"/>
    <w:rsid w:val="00BB11D9"/>
    <w:rsid w:val="00BB140E"/>
    <w:rsid w:val="00BB1423"/>
    <w:rsid w:val="00BB1583"/>
    <w:rsid w:val="00BB170A"/>
    <w:rsid w:val="00BB19D8"/>
    <w:rsid w:val="00BB19E7"/>
    <w:rsid w:val="00BB19FE"/>
    <w:rsid w:val="00BB1A93"/>
    <w:rsid w:val="00BB1B3A"/>
    <w:rsid w:val="00BB1C07"/>
    <w:rsid w:val="00BB1D5E"/>
    <w:rsid w:val="00BB1DCE"/>
    <w:rsid w:val="00BB1F1E"/>
    <w:rsid w:val="00BB1F38"/>
    <w:rsid w:val="00BB258B"/>
    <w:rsid w:val="00BB2848"/>
    <w:rsid w:val="00BB284E"/>
    <w:rsid w:val="00BB29B7"/>
    <w:rsid w:val="00BB2BB3"/>
    <w:rsid w:val="00BB2C31"/>
    <w:rsid w:val="00BB2EEA"/>
    <w:rsid w:val="00BB2F9A"/>
    <w:rsid w:val="00BB3003"/>
    <w:rsid w:val="00BB310B"/>
    <w:rsid w:val="00BB3110"/>
    <w:rsid w:val="00BB3120"/>
    <w:rsid w:val="00BB3193"/>
    <w:rsid w:val="00BB3207"/>
    <w:rsid w:val="00BB3424"/>
    <w:rsid w:val="00BB34A2"/>
    <w:rsid w:val="00BB34B6"/>
    <w:rsid w:val="00BB35FE"/>
    <w:rsid w:val="00BB362F"/>
    <w:rsid w:val="00BB3779"/>
    <w:rsid w:val="00BB382A"/>
    <w:rsid w:val="00BB3B64"/>
    <w:rsid w:val="00BB3BEC"/>
    <w:rsid w:val="00BB3F88"/>
    <w:rsid w:val="00BB40B4"/>
    <w:rsid w:val="00BB40D9"/>
    <w:rsid w:val="00BB414E"/>
    <w:rsid w:val="00BB4354"/>
    <w:rsid w:val="00BB4423"/>
    <w:rsid w:val="00BB4684"/>
    <w:rsid w:val="00BB47DF"/>
    <w:rsid w:val="00BB4A9F"/>
    <w:rsid w:val="00BB4B57"/>
    <w:rsid w:val="00BB4D61"/>
    <w:rsid w:val="00BB4E49"/>
    <w:rsid w:val="00BB4F07"/>
    <w:rsid w:val="00BB4FA7"/>
    <w:rsid w:val="00BB4FFA"/>
    <w:rsid w:val="00BB5193"/>
    <w:rsid w:val="00BB5273"/>
    <w:rsid w:val="00BB545A"/>
    <w:rsid w:val="00BB5475"/>
    <w:rsid w:val="00BB5525"/>
    <w:rsid w:val="00BB553D"/>
    <w:rsid w:val="00BB5BEB"/>
    <w:rsid w:val="00BB5C34"/>
    <w:rsid w:val="00BB5D77"/>
    <w:rsid w:val="00BB5E00"/>
    <w:rsid w:val="00BB5E6A"/>
    <w:rsid w:val="00BB5ED1"/>
    <w:rsid w:val="00BB6031"/>
    <w:rsid w:val="00BB60E5"/>
    <w:rsid w:val="00BB643F"/>
    <w:rsid w:val="00BB66CA"/>
    <w:rsid w:val="00BB6B41"/>
    <w:rsid w:val="00BB6C71"/>
    <w:rsid w:val="00BB6D1C"/>
    <w:rsid w:val="00BB6F6D"/>
    <w:rsid w:val="00BB6FB5"/>
    <w:rsid w:val="00BB705E"/>
    <w:rsid w:val="00BB72CB"/>
    <w:rsid w:val="00BB7341"/>
    <w:rsid w:val="00BB73EE"/>
    <w:rsid w:val="00BB7611"/>
    <w:rsid w:val="00BB766E"/>
    <w:rsid w:val="00BB7862"/>
    <w:rsid w:val="00BB7A54"/>
    <w:rsid w:val="00BB7AB9"/>
    <w:rsid w:val="00BB7ADD"/>
    <w:rsid w:val="00BB7D2F"/>
    <w:rsid w:val="00BB7D9E"/>
    <w:rsid w:val="00BB7DE9"/>
    <w:rsid w:val="00BB7E70"/>
    <w:rsid w:val="00BC0155"/>
    <w:rsid w:val="00BC01D7"/>
    <w:rsid w:val="00BC0304"/>
    <w:rsid w:val="00BC0326"/>
    <w:rsid w:val="00BC08D6"/>
    <w:rsid w:val="00BC0A0E"/>
    <w:rsid w:val="00BC0B2B"/>
    <w:rsid w:val="00BC0B48"/>
    <w:rsid w:val="00BC0B4D"/>
    <w:rsid w:val="00BC0B68"/>
    <w:rsid w:val="00BC0B89"/>
    <w:rsid w:val="00BC0BD3"/>
    <w:rsid w:val="00BC0D57"/>
    <w:rsid w:val="00BC0DB7"/>
    <w:rsid w:val="00BC0EF4"/>
    <w:rsid w:val="00BC0F06"/>
    <w:rsid w:val="00BC0F81"/>
    <w:rsid w:val="00BC1133"/>
    <w:rsid w:val="00BC1348"/>
    <w:rsid w:val="00BC13AB"/>
    <w:rsid w:val="00BC1594"/>
    <w:rsid w:val="00BC1842"/>
    <w:rsid w:val="00BC1867"/>
    <w:rsid w:val="00BC1868"/>
    <w:rsid w:val="00BC18E9"/>
    <w:rsid w:val="00BC18F2"/>
    <w:rsid w:val="00BC1BB8"/>
    <w:rsid w:val="00BC1BE1"/>
    <w:rsid w:val="00BC1BF3"/>
    <w:rsid w:val="00BC1D6F"/>
    <w:rsid w:val="00BC1EB6"/>
    <w:rsid w:val="00BC2198"/>
    <w:rsid w:val="00BC2297"/>
    <w:rsid w:val="00BC2398"/>
    <w:rsid w:val="00BC2499"/>
    <w:rsid w:val="00BC2628"/>
    <w:rsid w:val="00BC26A9"/>
    <w:rsid w:val="00BC27D1"/>
    <w:rsid w:val="00BC282D"/>
    <w:rsid w:val="00BC28C7"/>
    <w:rsid w:val="00BC2A38"/>
    <w:rsid w:val="00BC2E4F"/>
    <w:rsid w:val="00BC2F61"/>
    <w:rsid w:val="00BC311E"/>
    <w:rsid w:val="00BC3128"/>
    <w:rsid w:val="00BC316E"/>
    <w:rsid w:val="00BC3191"/>
    <w:rsid w:val="00BC3411"/>
    <w:rsid w:val="00BC349C"/>
    <w:rsid w:val="00BC364D"/>
    <w:rsid w:val="00BC3691"/>
    <w:rsid w:val="00BC387D"/>
    <w:rsid w:val="00BC3902"/>
    <w:rsid w:val="00BC3938"/>
    <w:rsid w:val="00BC39E3"/>
    <w:rsid w:val="00BC3AB4"/>
    <w:rsid w:val="00BC3BE4"/>
    <w:rsid w:val="00BC3CE8"/>
    <w:rsid w:val="00BC3D41"/>
    <w:rsid w:val="00BC3D8A"/>
    <w:rsid w:val="00BC3EE2"/>
    <w:rsid w:val="00BC3F10"/>
    <w:rsid w:val="00BC410C"/>
    <w:rsid w:val="00BC41E0"/>
    <w:rsid w:val="00BC425D"/>
    <w:rsid w:val="00BC44B6"/>
    <w:rsid w:val="00BC44C7"/>
    <w:rsid w:val="00BC4515"/>
    <w:rsid w:val="00BC458F"/>
    <w:rsid w:val="00BC465C"/>
    <w:rsid w:val="00BC4760"/>
    <w:rsid w:val="00BC4766"/>
    <w:rsid w:val="00BC4903"/>
    <w:rsid w:val="00BC49C3"/>
    <w:rsid w:val="00BC4B9A"/>
    <w:rsid w:val="00BC4D22"/>
    <w:rsid w:val="00BC4D7C"/>
    <w:rsid w:val="00BC4D96"/>
    <w:rsid w:val="00BC4DA6"/>
    <w:rsid w:val="00BC4F09"/>
    <w:rsid w:val="00BC4FEC"/>
    <w:rsid w:val="00BC5028"/>
    <w:rsid w:val="00BC50A0"/>
    <w:rsid w:val="00BC5380"/>
    <w:rsid w:val="00BC53E7"/>
    <w:rsid w:val="00BC55CA"/>
    <w:rsid w:val="00BC5704"/>
    <w:rsid w:val="00BC5792"/>
    <w:rsid w:val="00BC58B2"/>
    <w:rsid w:val="00BC599C"/>
    <w:rsid w:val="00BC59DF"/>
    <w:rsid w:val="00BC5B09"/>
    <w:rsid w:val="00BC5C43"/>
    <w:rsid w:val="00BC5CB7"/>
    <w:rsid w:val="00BC5D67"/>
    <w:rsid w:val="00BC5D74"/>
    <w:rsid w:val="00BC5F00"/>
    <w:rsid w:val="00BC615E"/>
    <w:rsid w:val="00BC635C"/>
    <w:rsid w:val="00BC6613"/>
    <w:rsid w:val="00BC6699"/>
    <w:rsid w:val="00BC6705"/>
    <w:rsid w:val="00BC673C"/>
    <w:rsid w:val="00BC679E"/>
    <w:rsid w:val="00BC6A1B"/>
    <w:rsid w:val="00BC6DF3"/>
    <w:rsid w:val="00BC74BA"/>
    <w:rsid w:val="00BC75EB"/>
    <w:rsid w:val="00BC7669"/>
    <w:rsid w:val="00BC76F4"/>
    <w:rsid w:val="00BC7798"/>
    <w:rsid w:val="00BC78B1"/>
    <w:rsid w:val="00BC78C2"/>
    <w:rsid w:val="00BC7A78"/>
    <w:rsid w:val="00BC7AC2"/>
    <w:rsid w:val="00BC7D14"/>
    <w:rsid w:val="00BC7D9A"/>
    <w:rsid w:val="00BD0013"/>
    <w:rsid w:val="00BD00B4"/>
    <w:rsid w:val="00BD0159"/>
    <w:rsid w:val="00BD0446"/>
    <w:rsid w:val="00BD04AB"/>
    <w:rsid w:val="00BD04D4"/>
    <w:rsid w:val="00BD0587"/>
    <w:rsid w:val="00BD0633"/>
    <w:rsid w:val="00BD0891"/>
    <w:rsid w:val="00BD0B87"/>
    <w:rsid w:val="00BD0C56"/>
    <w:rsid w:val="00BD0E86"/>
    <w:rsid w:val="00BD0F48"/>
    <w:rsid w:val="00BD10A9"/>
    <w:rsid w:val="00BD10FF"/>
    <w:rsid w:val="00BD116F"/>
    <w:rsid w:val="00BD1353"/>
    <w:rsid w:val="00BD1366"/>
    <w:rsid w:val="00BD15FC"/>
    <w:rsid w:val="00BD1617"/>
    <w:rsid w:val="00BD16B9"/>
    <w:rsid w:val="00BD17B1"/>
    <w:rsid w:val="00BD1A25"/>
    <w:rsid w:val="00BD1C9A"/>
    <w:rsid w:val="00BD1CC4"/>
    <w:rsid w:val="00BD1E65"/>
    <w:rsid w:val="00BD1FD5"/>
    <w:rsid w:val="00BD20E5"/>
    <w:rsid w:val="00BD2111"/>
    <w:rsid w:val="00BD218C"/>
    <w:rsid w:val="00BD2318"/>
    <w:rsid w:val="00BD235B"/>
    <w:rsid w:val="00BD23CF"/>
    <w:rsid w:val="00BD2710"/>
    <w:rsid w:val="00BD272D"/>
    <w:rsid w:val="00BD27EB"/>
    <w:rsid w:val="00BD28E8"/>
    <w:rsid w:val="00BD294B"/>
    <w:rsid w:val="00BD2A82"/>
    <w:rsid w:val="00BD2A94"/>
    <w:rsid w:val="00BD2C97"/>
    <w:rsid w:val="00BD2CDA"/>
    <w:rsid w:val="00BD2ECB"/>
    <w:rsid w:val="00BD2F2B"/>
    <w:rsid w:val="00BD31E3"/>
    <w:rsid w:val="00BD336C"/>
    <w:rsid w:val="00BD355F"/>
    <w:rsid w:val="00BD362F"/>
    <w:rsid w:val="00BD3632"/>
    <w:rsid w:val="00BD36D3"/>
    <w:rsid w:val="00BD3718"/>
    <w:rsid w:val="00BD3879"/>
    <w:rsid w:val="00BD390E"/>
    <w:rsid w:val="00BD3A1D"/>
    <w:rsid w:val="00BD3A26"/>
    <w:rsid w:val="00BD3A5A"/>
    <w:rsid w:val="00BD3BF2"/>
    <w:rsid w:val="00BD3D4B"/>
    <w:rsid w:val="00BD3D8E"/>
    <w:rsid w:val="00BD3E31"/>
    <w:rsid w:val="00BD3FC4"/>
    <w:rsid w:val="00BD4269"/>
    <w:rsid w:val="00BD4302"/>
    <w:rsid w:val="00BD4480"/>
    <w:rsid w:val="00BD45D8"/>
    <w:rsid w:val="00BD46B7"/>
    <w:rsid w:val="00BD46F5"/>
    <w:rsid w:val="00BD4712"/>
    <w:rsid w:val="00BD4ACD"/>
    <w:rsid w:val="00BD4C48"/>
    <w:rsid w:val="00BD4C4D"/>
    <w:rsid w:val="00BD4CFF"/>
    <w:rsid w:val="00BD4D48"/>
    <w:rsid w:val="00BD4E00"/>
    <w:rsid w:val="00BD4E05"/>
    <w:rsid w:val="00BD4F5A"/>
    <w:rsid w:val="00BD51D1"/>
    <w:rsid w:val="00BD5412"/>
    <w:rsid w:val="00BD5432"/>
    <w:rsid w:val="00BD56FB"/>
    <w:rsid w:val="00BD5809"/>
    <w:rsid w:val="00BD5CB2"/>
    <w:rsid w:val="00BD5CC8"/>
    <w:rsid w:val="00BD5D75"/>
    <w:rsid w:val="00BD5D7C"/>
    <w:rsid w:val="00BD5E81"/>
    <w:rsid w:val="00BD5F80"/>
    <w:rsid w:val="00BD61EE"/>
    <w:rsid w:val="00BD6279"/>
    <w:rsid w:val="00BD6499"/>
    <w:rsid w:val="00BD65BE"/>
    <w:rsid w:val="00BD693E"/>
    <w:rsid w:val="00BD6953"/>
    <w:rsid w:val="00BD699D"/>
    <w:rsid w:val="00BD6A69"/>
    <w:rsid w:val="00BD6B7C"/>
    <w:rsid w:val="00BD6BFB"/>
    <w:rsid w:val="00BD6CEB"/>
    <w:rsid w:val="00BD6EFD"/>
    <w:rsid w:val="00BD704C"/>
    <w:rsid w:val="00BD748E"/>
    <w:rsid w:val="00BD7593"/>
    <w:rsid w:val="00BD75DA"/>
    <w:rsid w:val="00BD765D"/>
    <w:rsid w:val="00BD7708"/>
    <w:rsid w:val="00BD77E3"/>
    <w:rsid w:val="00BD791A"/>
    <w:rsid w:val="00BD7989"/>
    <w:rsid w:val="00BD7B31"/>
    <w:rsid w:val="00BD7C34"/>
    <w:rsid w:val="00BD7D4F"/>
    <w:rsid w:val="00BE00F3"/>
    <w:rsid w:val="00BE0192"/>
    <w:rsid w:val="00BE03EE"/>
    <w:rsid w:val="00BE0424"/>
    <w:rsid w:val="00BE0473"/>
    <w:rsid w:val="00BE04CA"/>
    <w:rsid w:val="00BE05A2"/>
    <w:rsid w:val="00BE05ED"/>
    <w:rsid w:val="00BE0875"/>
    <w:rsid w:val="00BE087B"/>
    <w:rsid w:val="00BE0906"/>
    <w:rsid w:val="00BE0928"/>
    <w:rsid w:val="00BE09C1"/>
    <w:rsid w:val="00BE09C7"/>
    <w:rsid w:val="00BE0AEE"/>
    <w:rsid w:val="00BE0C01"/>
    <w:rsid w:val="00BE0E84"/>
    <w:rsid w:val="00BE0FBF"/>
    <w:rsid w:val="00BE117E"/>
    <w:rsid w:val="00BE126D"/>
    <w:rsid w:val="00BE12BF"/>
    <w:rsid w:val="00BE1420"/>
    <w:rsid w:val="00BE151D"/>
    <w:rsid w:val="00BE152E"/>
    <w:rsid w:val="00BE153D"/>
    <w:rsid w:val="00BE16BF"/>
    <w:rsid w:val="00BE1718"/>
    <w:rsid w:val="00BE1759"/>
    <w:rsid w:val="00BE1767"/>
    <w:rsid w:val="00BE1917"/>
    <w:rsid w:val="00BE1B50"/>
    <w:rsid w:val="00BE1D2D"/>
    <w:rsid w:val="00BE1FA4"/>
    <w:rsid w:val="00BE20F5"/>
    <w:rsid w:val="00BE211D"/>
    <w:rsid w:val="00BE21EA"/>
    <w:rsid w:val="00BE22CB"/>
    <w:rsid w:val="00BE22D6"/>
    <w:rsid w:val="00BE2304"/>
    <w:rsid w:val="00BE26F1"/>
    <w:rsid w:val="00BE2783"/>
    <w:rsid w:val="00BE280B"/>
    <w:rsid w:val="00BE29BC"/>
    <w:rsid w:val="00BE2A0B"/>
    <w:rsid w:val="00BE2A1B"/>
    <w:rsid w:val="00BE2D33"/>
    <w:rsid w:val="00BE2F4C"/>
    <w:rsid w:val="00BE308B"/>
    <w:rsid w:val="00BE30E2"/>
    <w:rsid w:val="00BE3148"/>
    <w:rsid w:val="00BE3160"/>
    <w:rsid w:val="00BE3303"/>
    <w:rsid w:val="00BE3310"/>
    <w:rsid w:val="00BE3369"/>
    <w:rsid w:val="00BE33A3"/>
    <w:rsid w:val="00BE347C"/>
    <w:rsid w:val="00BE3A9E"/>
    <w:rsid w:val="00BE3B3F"/>
    <w:rsid w:val="00BE3B7E"/>
    <w:rsid w:val="00BE3D10"/>
    <w:rsid w:val="00BE3E01"/>
    <w:rsid w:val="00BE3FEF"/>
    <w:rsid w:val="00BE40A7"/>
    <w:rsid w:val="00BE414C"/>
    <w:rsid w:val="00BE425A"/>
    <w:rsid w:val="00BE4420"/>
    <w:rsid w:val="00BE488C"/>
    <w:rsid w:val="00BE48F7"/>
    <w:rsid w:val="00BE4999"/>
    <w:rsid w:val="00BE4B57"/>
    <w:rsid w:val="00BE4B77"/>
    <w:rsid w:val="00BE4BB0"/>
    <w:rsid w:val="00BE4BC8"/>
    <w:rsid w:val="00BE4C68"/>
    <w:rsid w:val="00BE4E3A"/>
    <w:rsid w:val="00BE5197"/>
    <w:rsid w:val="00BE523C"/>
    <w:rsid w:val="00BE5317"/>
    <w:rsid w:val="00BE562C"/>
    <w:rsid w:val="00BE5982"/>
    <w:rsid w:val="00BE5B31"/>
    <w:rsid w:val="00BE5C10"/>
    <w:rsid w:val="00BE5C33"/>
    <w:rsid w:val="00BE5CF6"/>
    <w:rsid w:val="00BE5DB9"/>
    <w:rsid w:val="00BE5FEB"/>
    <w:rsid w:val="00BE6026"/>
    <w:rsid w:val="00BE60A2"/>
    <w:rsid w:val="00BE61DF"/>
    <w:rsid w:val="00BE61EE"/>
    <w:rsid w:val="00BE6276"/>
    <w:rsid w:val="00BE6282"/>
    <w:rsid w:val="00BE6353"/>
    <w:rsid w:val="00BE654E"/>
    <w:rsid w:val="00BE6C48"/>
    <w:rsid w:val="00BE6D0D"/>
    <w:rsid w:val="00BE6D30"/>
    <w:rsid w:val="00BE6F97"/>
    <w:rsid w:val="00BE705B"/>
    <w:rsid w:val="00BE713D"/>
    <w:rsid w:val="00BE71FC"/>
    <w:rsid w:val="00BE72F0"/>
    <w:rsid w:val="00BE7342"/>
    <w:rsid w:val="00BE73D7"/>
    <w:rsid w:val="00BE7409"/>
    <w:rsid w:val="00BE7414"/>
    <w:rsid w:val="00BE7488"/>
    <w:rsid w:val="00BE7512"/>
    <w:rsid w:val="00BE7677"/>
    <w:rsid w:val="00BE7897"/>
    <w:rsid w:val="00BE7990"/>
    <w:rsid w:val="00BE7DE3"/>
    <w:rsid w:val="00BE7F0A"/>
    <w:rsid w:val="00BE7F67"/>
    <w:rsid w:val="00BE7FA5"/>
    <w:rsid w:val="00BF00F9"/>
    <w:rsid w:val="00BF0122"/>
    <w:rsid w:val="00BF0222"/>
    <w:rsid w:val="00BF03DB"/>
    <w:rsid w:val="00BF06AE"/>
    <w:rsid w:val="00BF0705"/>
    <w:rsid w:val="00BF072B"/>
    <w:rsid w:val="00BF0833"/>
    <w:rsid w:val="00BF0914"/>
    <w:rsid w:val="00BF0996"/>
    <w:rsid w:val="00BF0A01"/>
    <w:rsid w:val="00BF0AEE"/>
    <w:rsid w:val="00BF0AF4"/>
    <w:rsid w:val="00BF0AF7"/>
    <w:rsid w:val="00BF0B2B"/>
    <w:rsid w:val="00BF0B7F"/>
    <w:rsid w:val="00BF0C01"/>
    <w:rsid w:val="00BF0C6F"/>
    <w:rsid w:val="00BF0D0D"/>
    <w:rsid w:val="00BF0DF0"/>
    <w:rsid w:val="00BF1062"/>
    <w:rsid w:val="00BF1381"/>
    <w:rsid w:val="00BF1532"/>
    <w:rsid w:val="00BF189C"/>
    <w:rsid w:val="00BF18E1"/>
    <w:rsid w:val="00BF1958"/>
    <w:rsid w:val="00BF195B"/>
    <w:rsid w:val="00BF1AF2"/>
    <w:rsid w:val="00BF1B07"/>
    <w:rsid w:val="00BF1CDA"/>
    <w:rsid w:val="00BF1DCF"/>
    <w:rsid w:val="00BF1E5C"/>
    <w:rsid w:val="00BF203B"/>
    <w:rsid w:val="00BF2062"/>
    <w:rsid w:val="00BF20DD"/>
    <w:rsid w:val="00BF216C"/>
    <w:rsid w:val="00BF21BB"/>
    <w:rsid w:val="00BF2365"/>
    <w:rsid w:val="00BF246F"/>
    <w:rsid w:val="00BF2509"/>
    <w:rsid w:val="00BF281B"/>
    <w:rsid w:val="00BF2856"/>
    <w:rsid w:val="00BF28FE"/>
    <w:rsid w:val="00BF2C04"/>
    <w:rsid w:val="00BF2D55"/>
    <w:rsid w:val="00BF304B"/>
    <w:rsid w:val="00BF3092"/>
    <w:rsid w:val="00BF3255"/>
    <w:rsid w:val="00BF3383"/>
    <w:rsid w:val="00BF3391"/>
    <w:rsid w:val="00BF3560"/>
    <w:rsid w:val="00BF35ED"/>
    <w:rsid w:val="00BF3642"/>
    <w:rsid w:val="00BF369A"/>
    <w:rsid w:val="00BF36C6"/>
    <w:rsid w:val="00BF36F4"/>
    <w:rsid w:val="00BF3A98"/>
    <w:rsid w:val="00BF3AF9"/>
    <w:rsid w:val="00BF3AFE"/>
    <w:rsid w:val="00BF3B93"/>
    <w:rsid w:val="00BF3C2A"/>
    <w:rsid w:val="00BF3C2E"/>
    <w:rsid w:val="00BF3C5C"/>
    <w:rsid w:val="00BF3D97"/>
    <w:rsid w:val="00BF3E78"/>
    <w:rsid w:val="00BF3F4D"/>
    <w:rsid w:val="00BF4023"/>
    <w:rsid w:val="00BF407D"/>
    <w:rsid w:val="00BF4094"/>
    <w:rsid w:val="00BF41F1"/>
    <w:rsid w:val="00BF4422"/>
    <w:rsid w:val="00BF4483"/>
    <w:rsid w:val="00BF451E"/>
    <w:rsid w:val="00BF4718"/>
    <w:rsid w:val="00BF4865"/>
    <w:rsid w:val="00BF4F40"/>
    <w:rsid w:val="00BF5009"/>
    <w:rsid w:val="00BF53CB"/>
    <w:rsid w:val="00BF53F0"/>
    <w:rsid w:val="00BF5851"/>
    <w:rsid w:val="00BF58E9"/>
    <w:rsid w:val="00BF5A0D"/>
    <w:rsid w:val="00BF5D06"/>
    <w:rsid w:val="00BF5DD0"/>
    <w:rsid w:val="00BF5EC3"/>
    <w:rsid w:val="00BF5FAA"/>
    <w:rsid w:val="00BF619B"/>
    <w:rsid w:val="00BF6212"/>
    <w:rsid w:val="00BF6296"/>
    <w:rsid w:val="00BF6401"/>
    <w:rsid w:val="00BF6507"/>
    <w:rsid w:val="00BF6858"/>
    <w:rsid w:val="00BF685F"/>
    <w:rsid w:val="00BF69B5"/>
    <w:rsid w:val="00BF6AE9"/>
    <w:rsid w:val="00BF6AFC"/>
    <w:rsid w:val="00BF6CE4"/>
    <w:rsid w:val="00BF6D04"/>
    <w:rsid w:val="00BF6DF1"/>
    <w:rsid w:val="00BF6E27"/>
    <w:rsid w:val="00BF6F5C"/>
    <w:rsid w:val="00BF6F64"/>
    <w:rsid w:val="00BF6F9F"/>
    <w:rsid w:val="00BF71C5"/>
    <w:rsid w:val="00BF72BA"/>
    <w:rsid w:val="00BF72F1"/>
    <w:rsid w:val="00BF73EE"/>
    <w:rsid w:val="00BF760D"/>
    <w:rsid w:val="00BF77E1"/>
    <w:rsid w:val="00BF7F97"/>
    <w:rsid w:val="00BF8F5D"/>
    <w:rsid w:val="00C00165"/>
    <w:rsid w:val="00C00429"/>
    <w:rsid w:val="00C004FF"/>
    <w:rsid w:val="00C0054B"/>
    <w:rsid w:val="00C008D7"/>
    <w:rsid w:val="00C00A11"/>
    <w:rsid w:val="00C00A9F"/>
    <w:rsid w:val="00C00B10"/>
    <w:rsid w:val="00C00C06"/>
    <w:rsid w:val="00C00D10"/>
    <w:rsid w:val="00C00FED"/>
    <w:rsid w:val="00C01182"/>
    <w:rsid w:val="00C01411"/>
    <w:rsid w:val="00C014C3"/>
    <w:rsid w:val="00C01526"/>
    <w:rsid w:val="00C01532"/>
    <w:rsid w:val="00C0164A"/>
    <w:rsid w:val="00C019A1"/>
    <w:rsid w:val="00C01A02"/>
    <w:rsid w:val="00C01A3C"/>
    <w:rsid w:val="00C01C43"/>
    <w:rsid w:val="00C01F4A"/>
    <w:rsid w:val="00C02151"/>
    <w:rsid w:val="00C02371"/>
    <w:rsid w:val="00C02517"/>
    <w:rsid w:val="00C02621"/>
    <w:rsid w:val="00C028E4"/>
    <w:rsid w:val="00C02911"/>
    <w:rsid w:val="00C02996"/>
    <w:rsid w:val="00C029F4"/>
    <w:rsid w:val="00C02AA4"/>
    <w:rsid w:val="00C02ABC"/>
    <w:rsid w:val="00C02BDD"/>
    <w:rsid w:val="00C02EE3"/>
    <w:rsid w:val="00C03300"/>
    <w:rsid w:val="00C0335C"/>
    <w:rsid w:val="00C033BE"/>
    <w:rsid w:val="00C034A2"/>
    <w:rsid w:val="00C03648"/>
    <w:rsid w:val="00C036EB"/>
    <w:rsid w:val="00C03722"/>
    <w:rsid w:val="00C03760"/>
    <w:rsid w:val="00C038AC"/>
    <w:rsid w:val="00C038EC"/>
    <w:rsid w:val="00C0392C"/>
    <w:rsid w:val="00C0399C"/>
    <w:rsid w:val="00C03A18"/>
    <w:rsid w:val="00C03A31"/>
    <w:rsid w:val="00C03AE6"/>
    <w:rsid w:val="00C03BA3"/>
    <w:rsid w:val="00C03C76"/>
    <w:rsid w:val="00C03D40"/>
    <w:rsid w:val="00C03D77"/>
    <w:rsid w:val="00C03D8F"/>
    <w:rsid w:val="00C03DA0"/>
    <w:rsid w:val="00C03E64"/>
    <w:rsid w:val="00C040A8"/>
    <w:rsid w:val="00C040CE"/>
    <w:rsid w:val="00C040DD"/>
    <w:rsid w:val="00C044B8"/>
    <w:rsid w:val="00C04552"/>
    <w:rsid w:val="00C046AB"/>
    <w:rsid w:val="00C04837"/>
    <w:rsid w:val="00C049DB"/>
    <w:rsid w:val="00C04AAF"/>
    <w:rsid w:val="00C04B00"/>
    <w:rsid w:val="00C04C07"/>
    <w:rsid w:val="00C04C6B"/>
    <w:rsid w:val="00C04C89"/>
    <w:rsid w:val="00C04DD7"/>
    <w:rsid w:val="00C04E48"/>
    <w:rsid w:val="00C04E7E"/>
    <w:rsid w:val="00C04E82"/>
    <w:rsid w:val="00C04F34"/>
    <w:rsid w:val="00C05064"/>
    <w:rsid w:val="00C05124"/>
    <w:rsid w:val="00C05143"/>
    <w:rsid w:val="00C052A5"/>
    <w:rsid w:val="00C05348"/>
    <w:rsid w:val="00C053BF"/>
    <w:rsid w:val="00C054A8"/>
    <w:rsid w:val="00C055BF"/>
    <w:rsid w:val="00C05721"/>
    <w:rsid w:val="00C058F6"/>
    <w:rsid w:val="00C0599F"/>
    <w:rsid w:val="00C05A1D"/>
    <w:rsid w:val="00C05B5E"/>
    <w:rsid w:val="00C05C91"/>
    <w:rsid w:val="00C05D5C"/>
    <w:rsid w:val="00C05D84"/>
    <w:rsid w:val="00C05DE9"/>
    <w:rsid w:val="00C05E80"/>
    <w:rsid w:val="00C06026"/>
    <w:rsid w:val="00C060C7"/>
    <w:rsid w:val="00C06290"/>
    <w:rsid w:val="00C0631F"/>
    <w:rsid w:val="00C066E7"/>
    <w:rsid w:val="00C0689A"/>
    <w:rsid w:val="00C06975"/>
    <w:rsid w:val="00C069EB"/>
    <w:rsid w:val="00C06ACE"/>
    <w:rsid w:val="00C06B11"/>
    <w:rsid w:val="00C06E80"/>
    <w:rsid w:val="00C06F36"/>
    <w:rsid w:val="00C070CC"/>
    <w:rsid w:val="00C071B0"/>
    <w:rsid w:val="00C07260"/>
    <w:rsid w:val="00C072F0"/>
    <w:rsid w:val="00C073D9"/>
    <w:rsid w:val="00C0740F"/>
    <w:rsid w:val="00C074CC"/>
    <w:rsid w:val="00C0753E"/>
    <w:rsid w:val="00C075FB"/>
    <w:rsid w:val="00C078B0"/>
    <w:rsid w:val="00C0794C"/>
    <w:rsid w:val="00C0797D"/>
    <w:rsid w:val="00C0799E"/>
    <w:rsid w:val="00C07A63"/>
    <w:rsid w:val="00C07A9D"/>
    <w:rsid w:val="00C07B7E"/>
    <w:rsid w:val="00C07D51"/>
    <w:rsid w:val="00C07E2B"/>
    <w:rsid w:val="00C07F4B"/>
    <w:rsid w:val="00C100B0"/>
    <w:rsid w:val="00C10291"/>
    <w:rsid w:val="00C10497"/>
    <w:rsid w:val="00C104C6"/>
    <w:rsid w:val="00C105EB"/>
    <w:rsid w:val="00C10991"/>
    <w:rsid w:val="00C10A22"/>
    <w:rsid w:val="00C10A5D"/>
    <w:rsid w:val="00C10AAE"/>
    <w:rsid w:val="00C10C17"/>
    <w:rsid w:val="00C10D99"/>
    <w:rsid w:val="00C10E1B"/>
    <w:rsid w:val="00C10F24"/>
    <w:rsid w:val="00C10F68"/>
    <w:rsid w:val="00C11009"/>
    <w:rsid w:val="00C110FF"/>
    <w:rsid w:val="00C111E5"/>
    <w:rsid w:val="00C11427"/>
    <w:rsid w:val="00C11453"/>
    <w:rsid w:val="00C115D3"/>
    <w:rsid w:val="00C116C3"/>
    <w:rsid w:val="00C116DD"/>
    <w:rsid w:val="00C11861"/>
    <w:rsid w:val="00C11B2B"/>
    <w:rsid w:val="00C11BF8"/>
    <w:rsid w:val="00C11C33"/>
    <w:rsid w:val="00C11C6D"/>
    <w:rsid w:val="00C11D7D"/>
    <w:rsid w:val="00C11E0D"/>
    <w:rsid w:val="00C12019"/>
    <w:rsid w:val="00C121EB"/>
    <w:rsid w:val="00C122E8"/>
    <w:rsid w:val="00C12352"/>
    <w:rsid w:val="00C12376"/>
    <w:rsid w:val="00C123FC"/>
    <w:rsid w:val="00C12946"/>
    <w:rsid w:val="00C12B73"/>
    <w:rsid w:val="00C12C3B"/>
    <w:rsid w:val="00C12CB2"/>
    <w:rsid w:val="00C12CDB"/>
    <w:rsid w:val="00C12D02"/>
    <w:rsid w:val="00C13211"/>
    <w:rsid w:val="00C1338B"/>
    <w:rsid w:val="00C13564"/>
    <w:rsid w:val="00C1356F"/>
    <w:rsid w:val="00C13681"/>
    <w:rsid w:val="00C136EE"/>
    <w:rsid w:val="00C136F9"/>
    <w:rsid w:val="00C137B0"/>
    <w:rsid w:val="00C138DE"/>
    <w:rsid w:val="00C13930"/>
    <w:rsid w:val="00C13A06"/>
    <w:rsid w:val="00C13ABD"/>
    <w:rsid w:val="00C13CD4"/>
    <w:rsid w:val="00C13D0F"/>
    <w:rsid w:val="00C13D35"/>
    <w:rsid w:val="00C13E7D"/>
    <w:rsid w:val="00C13F6D"/>
    <w:rsid w:val="00C14080"/>
    <w:rsid w:val="00C140DA"/>
    <w:rsid w:val="00C14138"/>
    <w:rsid w:val="00C14283"/>
    <w:rsid w:val="00C14368"/>
    <w:rsid w:val="00C14391"/>
    <w:rsid w:val="00C14426"/>
    <w:rsid w:val="00C146EF"/>
    <w:rsid w:val="00C148B5"/>
    <w:rsid w:val="00C14AD2"/>
    <w:rsid w:val="00C14E31"/>
    <w:rsid w:val="00C14E99"/>
    <w:rsid w:val="00C150B8"/>
    <w:rsid w:val="00C1510C"/>
    <w:rsid w:val="00C1513E"/>
    <w:rsid w:val="00C151AD"/>
    <w:rsid w:val="00C15273"/>
    <w:rsid w:val="00C152FC"/>
    <w:rsid w:val="00C15558"/>
    <w:rsid w:val="00C157D4"/>
    <w:rsid w:val="00C15851"/>
    <w:rsid w:val="00C15A52"/>
    <w:rsid w:val="00C15A99"/>
    <w:rsid w:val="00C15AAB"/>
    <w:rsid w:val="00C15CCF"/>
    <w:rsid w:val="00C15CE7"/>
    <w:rsid w:val="00C15E1B"/>
    <w:rsid w:val="00C15E37"/>
    <w:rsid w:val="00C15EC9"/>
    <w:rsid w:val="00C1626D"/>
    <w:rsid w:val="00C1629A"/>
    <w:rsid w:val="00C16564"/>
    <w:rsid w:val="00C1682D"/>
    <w:rsid w:val="00C16C54"/>
    <w:rsid w:val="00C16CC7"/>
    <w:rsid w:val="00C170A9"/>
    <w:rsid w:val="00C171C2"/>
    <w:rsid w:val="00C171CC"/>
    <w:rsid w:val="00C1724C"/>
    <w:rsid w:val="00C172B9"/>
    <w:rsid w:val="00C1734C"/>
    <w:rsid w:val="00C17482"/>
    <w:rsid w:val="00C17536"/>
    <w:rsid w:val="00C175C7"/>
    <w:rsid w:val="00C176D3"/>
    <w:rsid w:val="00C1777F"/>
    <w:rsid w:val="00C17960"/>
    <w:rsid w:val="00C17B39"/>
    <w:rsid w:val="00C17D0B"/>
    <w:rsid w:val="00C17DF5"/>
    <w:rsid w:val="00C17EDC"/>
    <w:rsid w:val="00C17F04"/>
    <w:rsid w:val="00C17F22"/>
    <w:rsid w:val="00C17F8B"/>
    <w:rsid w:val="00C17FCD"/>
    <w:rsid w:val="00C20014"/>
    <w:rsid w:val="00C2040F"/>
    <w:rsid w:val="00C205B3"/>
    <w:rsid w:val="00C20649"/>
    <w:rsid w:val="00C2064E"/>
    <w:rsid w:val="00C20884"/>
    <w:rsid w:val="00C209B4"/>
    <w:rsid w:val="00C209C7"/>
    <w:rsid w:val="00C20B43"/>
    <w:rsid w:val="00C20D6D"/>
    <w:rsid w:val="00C20EBE"/>
    <w:rsid w:val="00C20FA3"/>
    <w:rsid w:val="00C21014"/>
    <w:rsid w:val="00C21181"/>
    <w:rsid w:val="00C21329"/>
    <w:rsid w:val="00C21374"/>
    <w:rsid w:val="00C2139C"/>
    <w:rsid w:val="00C21617"/>
    <w:rsid w:val="00C2166C"/>
    <w:rsid w:val="00C2177E"/>
    <w:rsid w:val="00C218D7"/>
    <w:rsid w:val="00C21B31"/>
    <w:rsid w:val="00C21BB0"/>
    <w:rsid w:val="00C21EE4"/>
    <w:rsid w:val="00C21F3C"/>
    <w:rsid w:val="00C2213D"/>
    <w:rsid w:val="00C2239F"/>
    <w:rsid w:val="00C223FB"/>
    <w:rsid w:val="00C22406"/>
    <w:rsid w:val="00C225E6"/>
    <w:rsid w:val="00C22617"/>
    <w:rsid w:val="00C22685"/>
    <w:rsid w:val="00C227EF"/>
    <w:rsid w:val="00C22887"/>
    <w:rsid w:val="00C229C1"/>
    <w:rsid w:val="00C22A0F"/>
    <w:rsid w:val="00C22AB4"/>
    <w:rsid w:val="00C22E31"/>
    <w:rsid w:val="00C22EDD"/>
    <w:rsid w:val="00C2300D"/>
    <w:rsid w:val="00C23104"/>
    <w:rsid w:val="00C233ED"/>
    <w:rsid w:val="00C23439"/>
    <w:rsid w:val="00C23481"/>
    <w:rsid w:val="00C23497"/>
    <w:rsid w:val="00C234E4"/>
    <w:rsid w:val="00C23564"/>
    <w:rsid w:val="00C2358C"/>
    <w:rsid w:val="00C236F8"/>
    <w:rsid w:val="00C2384E"/>
    <w:rsid w:val="00C23866"/>
    <w:rsid w:val="00C2399F"/>
    <w:rsid w:val="00C23A8E"/>
    <w:rsid w:val="00C23BB9"/>
    <w:rsid w:val="00C23C72"/>
    <w:rsid w:val="00C23DF3"/>
    <w:rsid w:val="00C23E0F"/>
    <w:rsid w:val="00C23EC3"/>
    <w:rsid w:val="00C23F52"/>
    <w:rsid w:val="00C24339"/>
    <w:rsid w:val="00C243F4"/>
    <w:rsid w:val="00C2441A"/>
    <w:rsid w:val="00C2445D"/>
    <w:rsid w:val="00C244A9"/>
    <w:rsid w:val="00C24514"/>
    <w:rsid w:val="00C24642"/>
    <w:rsid w:val="00C248EE"/>
    <w:rsid w:val="00C24AD2"/>
    <w:rsid w:val="00C24D89"/>
    <w:rsid w:val="00C24DFA"/>
    <w:rsid w:val="00C24EF9"/>
    <w:rsid w:val="00C25020"/>
    <w:rsid w:val="00C2549E"/>
    <w:rsid w:val="00C255D1"/>
    <w:rsid w:val="00C255DD"/>
    <w:rsid w:val="00C25690"/>
    <w:rsid w:val="00C257CD"/>
    <w:rsid w:val="00C25D87"/>
    <w:rsid w:val="00C25D94"/>
    <w:rsid w:val="00C25EE9"/>
    <w:rsid w:val="00C25F47"/>
    <w:rsid w:val="00C25FB8"/>
    <w:rsid w:val="00C25FD4"/>
    <w:rsid w:val="00C263D4"/>
    <w:rsid w:val="00C263EC"/>
    <w:rsid w:val="00C26412"/>
    <w:rsid w:val="00C26525"/>
    <w:rsid w:val="00C26563"/>
    <w:rsid w:val="00C26578"/>
    <w:rsid w:val="00C265A8"/>
    <w:rsid w:val="00C26711"/>
    <w:rsid w:val="00C267EF"/>
    <w:rsid w:val="00C2682F"/>
    <w:rsid w:val="00C26A68"/>
    <w:rsid w:val="00C26A9F"/>
    <w:rsid w:val="00C26BD7"/>
    <w:rsid w:val="00C26D9B"/>
    <w:rsid w:val="00C26D9F"/>
    <w:rsid w:val="00C26DC5"/>
    <w:rsid w:val="00C26E6B"/>
    <w:rsid w:val="00C26E94"/>
    <w:rsid w:val="00C26F75"/>
    <w:rsid w:val="00C2721A"/>
    <w:rsid w:val="00C27242"/>
    <w:rsid w:val="00C27357"/>
    <w:rsid w:val="00C27466"/>
    <w:rsid w:val="00C27647"/>
    <w:rsid w:val="00C27650"/>
    <w:rsid w:val="00C27822"/>
    <w:rsid w:val="00C2799B"/>
    <w:rsid w:val="00C279A5"/>
    <w:rsid w:val="00C279B3"/>
    <w:rsid w:val="00C27AE5"/>
    <w:rsid w:val="00C27C5B"/>
    <w:rsid w:val="00C27C8D"/>
    <w:rsid w:val="00C27D99"/>
    <w:rsid w:val="00C27DC9"/>
    <w:rsid w:val="00C27E58"/>
    <w:rsid w:val="00C27FD6"/>
    <w:rsid w:val="00C2FF60"/>
    <w:rsid w:val="00C300D2"/>
    <w:rsid w:val="00C30304"/>
    <w:rsid w:val="00C303A6"/>
    <w:rsid w:val="00C3042C"/>
    <w:rsid w:val="00C30644"/>
    <w:rsid w:val="00C307E8"/>
    <w:rsid w:val="00C30804"/>
    <w:rsid w:val="00C30911"/>
    <w:rsid w:val="00C30979"/>
    <w:rsid w:val="00C30B3E"/>
    <w:rsid w:val="00C30BE2"/>
    <w:rsid w:val="00C30C02"/>
    <w:rsid w:val="00C30D36"/>
    <w:rsid w:val="00C30E3C"/>
    <w:rsid w:val="00C30F65"/>
    <w:rsid w:val="00C30F7C"/>
    <w:rsid w:val="00C30FC7"/>
    <w:rsid w:val="00C313F4"/>
    <w:rsid w:val="00C314F9"/>
    <w:rsid w:val="00C317A0"/>
    <w:rsid w:val="00C3186C"/>
    <w:rsid w:val="00C318C7"/>
    <w:rsid w:val="00C31943"/>
    <w:rsid w:val="00C319CA"/>
    <w:rsid w:val="00C31ACF"/>
    <w:rsid w:val="00C31B2D"/>
    <w:rsid w:val="00C31BBA"/>
    <w:rsid w:val="00C31DEC"/>
    <w:rsid w:val="00C31ECA"/>
    <w:rsid w:val="00C31EE6"/>
    <w:rsid w:val="00C31F58"/>
    <w:rsid w:val="00C3209E"/>
    <w:rsid w:val="00C321C7"/>
    <w:rsid w:val="00C32353"/>
    <w:rsid w:val="00C32575"/>
    <w:rsid w:val="00C32797"/>
    <w:rsid w:val="00C32855"/>
    <w:rsid w:val="00C3286F"/>
    <w:rsid w:val="00C329A6"/>
    <w:rsid w:val="00C32A7F"/>
    <w:rsid w:val="00C32C33"/>
    <w:rsid w:val="00C32D9C"/>
    <w:rsid w:val="00C33237"/>
    <w:rsid w:val="00C3352A"/>
    <w:rsid w:val="00C33549"/>
    <w:rsid w:val="00C336D9"/>
    <w:rsid w:val="00C33931"/>
    <w:rsid w:val="00C33B62"/>
    <w:rsid w:val="00C33BF6"/>
    <w:rsid w:val="00C33CDD"/>
    <w:rsid w:val="00C33D8B"/>
    <w:rsid w:val="00C33F1F"/>
    <w:rsid w:val="00C34078"/>
    <w:rsid w:val="00C3422A"/>
    <w:rsid w:val="00C34242"/>
    <w:rsid w:val="00C3428D"/>
    <w:rsid w:val="00C344BD"/>
    <w:rsid w:val="00C34738"/>
    <w:rsid w:val="00C347B1"/>
    <w:rsid w:val="00C34976"/>
    <w:rsid w:val="00C34A6D"/>
    <w:rsid w:val="00C34B2F"/>
    <w:rsid w:val="00C34C87"/>
    <w:rsid w:val="00C34E3C"/>
    <w:rsid w:val="00C35036"/>
    <w:rsid w:val="00C35078"/>
    <w:rsid w:val="00C35373"/>
    <w:rsid w:val="00C3541E"/>
    <w:rsid w:val="00C354D0"/>
    <w:rsid w:val="00C35573"/>
    <w:rsid w:val="00C35811"/>
    <w:rsid w:val="00C35816"/>
    <w:rsid w:val="00C35858"/>
    <w:rsid w:val="00C358B5"/>
    <w:rsid w:val="00C35932"/>
    <w:rsid w:val="00C35AF3"/>
    <w:rsid w:val="00C35B91"/>
    <w:rsid w:val="00C35C3F"/>
    <w:rsid w:val="00C35D29"/>
    <w:rsid w:val="00C35D83"/>
    <w:rsid w:val="00C35E36"/>
    <w:rsid w:val="00C35E5E"/>
    <w:rsid w:val="00C35E93"/>
    <w:rsid w:val="00C369EB"/>
    <w:rsid w:val="00C36A2F"/>
    <w:rsid w:val="00C36AB6"/>
    <w:rsid w:val="00C36B95"/>
    <w:rsid w:val="00C36CAC"/>
    <w:rsid w:val="00C36CD8"/>
    <w:rsid w:val="00C36D01"/>
    <w:rsid w:val="00C36D2C"/>
    <w:rsid w:val="00C36D50"/>
    <w:rsid w:val="00C36DBC"/>
    <w:rsid w:val="00C36EF2"/>
    <w:rsid w:val="00C3715C"/>
    <w:rsid w:val="00C371D0"/>
    <w:rsid w:val="00C37367"/>
    <w:rsid w:val="00C373A2"/>
    <w:rsid w:val="00C373EC"/>
    <w:rsid w:val="00C3751C"/>
    <w:rsid w:val="00C37610"/>
    <w:rsid w:val="00C3767D"/>
    <w:rsid w:val="00C3774D"/>
    <w:rsid w:val="00C377C0"/>
    <w:rsid w:val="00C377DA"/>
    <w:rsid w:val="00C3782C"/>
    <w:rsid w:val="00C37AC4"/>
    <w:rsid w:val="00C37C93"/>
    <w:rsid w:val="00C37D53"/>
    <w:rsid w:val="00C37F20"/>
    <w:rsid w:val="00C4006F"/>
    <w:rsid w:val="00C4013F"/>
    <w:rsid w:val="00C40414"/>
    <w:rsid w:val="00C40449"/>
    <w:rsid w:val="00C404AC"/>
    <w:rsid w:val="00C404B6"/>
    <w:rsid w:val="00C40511"/>
    <w:rsid w:val="00C405BD"/>
    <w:rsid w:val="00C4064E"/>
    <w:rsid w:val="00C4082E"/>
    <w:rsid w:val="00C4094F"/>
    <w:rsid w:val="00C4098B"/>
    <w:rsid w:val="00C40A52"/>
    <w:rsid w:val="00C40ACB"/>
    <w:rsid w:val="00C40D02"/>
    <w:rsid w:val="00C40EFF"/>
    <w:rsid w:val="00C40F4F"/>
    <w:rsid w:val="00C40F6D"/>
    <w:rsid w:val="00C40FD7"/>
    <w:rsid w:val="00C4111E"/>
    <w:rsid w:val="00C4121C"/>
    <w:rsid w:val="00C41657"/>
    <w:rsid w:val="00C416CD"/>
    <w:rsid w:val="00C41760"/>
    <w:rsid w:val="00C4177A"/>
    <w:rsid w:val="00C418C2"/>
    <w:rsid w:val="00C41AA9"/>
    <w:rsid w:val="00C41B6A"/>
    <w:rsid w:val="00C41C14"/>
    <w:rsid w:val="00C41C2E"/>
    <w:rsid w:val="00C41D62"/>
    <w:rsid w:val="00C41E43"/>
    <w:rsid w:val="00C41E90"/>
    <w:rsid w:val="00C4202E"/>
    <w:rsid w:val="00C42097"/>
    <w:rsid w:val="00C42118"/>
    <w:rsid w:val="00C42166"/>
    <w:rsid w:val="00C4217A"/>
    <w:rsid w:val="00C42192"/>
    <w:rsid w:val="00C421BC"/>
    <w:rsid w:val="00C4245D"/>
    <w:rsid w:val="00C42665"/>
    <w:rsid w:val="00C427A4"/>
    <w:rsid w:val="00C427BD"/>
    <w:rsid w:val="00C4285F"/>
    <w:rsid w:val="00C4288F"/>
    <w:rsid w:val="00C428B7"/>
    <w:rsid w:val="00C429F0"/>
    <w:rsid w:val="00C42AFB"/>
    <w:rsid w:val="00C42CA2"/>
    <w:rsid w:val="00C42DB3"/>
    <w:rsid w:val="00C4330B"/>
    <w:rsid w:val="00C4335D"/>
    <w:rsid w:val="00C433B3"/>
    <w:rsid w:val="00C43456"/>
    <w:rsid w:val="00C435EF"/>
    <w:rsid w:val="00C436BB"/>
    <w:rsid w:val="00C437CB"/>
    <w:rsid w:val="00C43B2F"/>
    <w:rsid w:val="00C43BDD"/>
    <w:rsid w:val="00C43C3B"/>
    <w:rsid w:val="00C43CCD"/>
    <w:rsid w:val="00C43CE8"/>
    <w:rsid w:val="00C43D34"/>
    <w:rsid w:val="00C43DEA"/>
    <w:rsid w:val="00C43F05"/>
    <w:rsid w:val="00C440D1"/>
    <w:rsid w:val="00C44137"/>
    <w:rsid w:val="00C44190"/>
    <w:rsid w:val="00C4426C"/>
    <w:rsid w:val="00C44272"/>
    <w:rsid w:val="00C44704"/>
    <w:rsid w:val="00C44722"/>
    <w:rsid w:val="00C44750"/>
    <w:rsid w:val="00C4477E"/>
    <w:rsid w:val="00C448DD"/>
    <w:rsid w:val="00C44D41"/>
    <w:rsid w:val="00C44D8E"/>
    <w:rsid w:val="00C450A3"/>
    <w:rsid w:val="00C451E9"/>
    <w:rsid w:val="00C45234"/>
    <w:rsid w:val="00C4524D"/>
    <w:rsid w:val="00C4527A"/>
    <w:rsid w:val="00C455B6"/>
    <w:rsid w:val="00C457DC"/>
    <w:rsid w:val="00C4587E"/>
    <w:rsid w:val="00C458EA"/>
    <w:rsid w:val="00C4596A"/>
    <w:rsid w:val="00C459C5"/>
    <w:rsid w:val="00C459CB"/>
    <w:rsid w:val="00C45ACF"/>
    <w:rsid w:val="00C45AF1"/>
    <w:rsid w:val="00C45FA8"/>
    <w:rsid w:val="00C460DC"/>
    <w:rsid w:val="00C461DA"/>
    <w:rsid w:val="00C4656D"/>
    <w:rsid w:val="00C46656"/>
    <w:rsid w:val="00C46677"/>
    <w:rsid w:val="00C467D4"/>
    <w:rsid w:val="00C46B6B"/>
    <w:rsid w:val="00C46D31"/>
    <w:rsid w:val="00C46F3F"/>
    <w:rsid w:val="00C470AD"/>
    <w:rsid w:val="00C470B3"/>
    <w:rsid w:val="00C47206"/>
    <w:rsid w:val="00C4745D"/>
    <w:rsid w:val="00C4746E"/>
    <w:rsid w:val="00C4757C"/>
    <w:rsid w:val="00C476A9"/>
    <w:rsid w:val="00C4771C"/>
    <w:rsid w:val="00C4777A"/>
    <w:rsid w:val="00C47876"/>
    <w:rsid w:val="00C47916"/>
    <w:rsid w:val="00C47917"/>
    <w:rsid w:val="00C479F0"/>
    <w:rsid w:val="00C47A2B"/>
    <w:rsid w:val="00C47BB4"/>
    <w:rsid w:val="00C47CCA"/>
    <w:rsid w:val="00C47F2A"/>
    <w:rsid w:val="00C47FD1"/>
    <w:rsid w:val="00C47FEE"/>
    <w:rsid w:val="00C50198"/>
    <w:rsid w:val="00C50218"/>
    <w:rsid w:val="00C5060E"/>
    <w:rsid w:val="00C508D9"/>
    <w:rsid w:val="00C50935"/>
    <w:rsid w:val="00C50983"/>
    <w:rsid w:val="00C50AF3"/>
    <w:rsid w:val="00C50CA5"/>
    <w:rsid w:val="00C50D5C"/>
    <w:rsid w:val="00C50D6B"/>
    <w:rsid w:val="00C50DFC"/>
    <w:rsid w:val="00C50F4D"/>
    <w:rsid w:val="00C510A0"/>
    <w:rsid w:val="00C51232"/>
    <w:rsid w:val="00C512D4"/>
    <w:rsid w:val="00C51347"/>
    <w:rsid w:val="00C51409"/>
    <w:rsid w:val="00C5150B"/>
    <w:rsid w:val="00C516B5"/>
    <w:rsid w:val="00C5188D"/>
    <w:rsid w:val="00C518D2"/>
    <w:rsid w:val="00C51AD6"/>
    <w:rsid w:val="00C51B26"/>
    <w:rsid w:val="00C51B78"/>
    <w:rsid w:val="00C51BB0"/>
    <w:rsid w:val="00C51DA1"/>
    <w:rsid w:val="00C5205E"/>
    <w:rsid w:val="00C520A8"/>
    <w:rsid w:val="00C52125"/>
    <w:rsid w:val="00C522C4"/>
    <w:rsid w:val="00C52306"/>
    <w:rsid w:val="00C52483"/>
    <w:rsid w:val="00C52BBB"/>
    <w:rsid w:val="00C52C38"/>
    <w:rsid w:val="00C52D9D"/>
    <w:rsid w:val="00C52DB3"/>
    <w:rsid w:val="00C52EA5"/>
    <w:rsid w:val="00C52FBB"/>
    <w:rsid w:val="00C5302B"/>
    <w:rsid w:val="00C53236"/>
    <w:rsid w:val="00C5354A"/>
    <w:rsid w:val="00C537A8"/>
    <w:rsid w:val="00C53833"/>
    <w:rsid w:val="00C53885"/>
    <w:rsid w:val="00C538CE"/>
    <w:rsid w:val="00C53BFB"/>
    <w:rsid w:val="00C53CB8"/>
    <w:rsid w:val="00C53E41"/>
    <w:rsid w:val="00C53F16"/>
    <w:rsid w:val="00C54142"/>
    <w:rsid w:val="00C541B9"/>
    <w:rsid w:val="00C541DD"/>
    <w:rsid w:val="00C54431"/>
    <w:rsid w:val="00C54607"/>
    <w:rsid w:val="00C5470B"/>
    <w:rsid w:val="00C54755"/>
    <w:rsid w:val="00C54810"/>
    <w:rsid w:val="00C549A7"/>
    <w:rsid w:val="00C54A3B"/>
    <w:rsid w:val="00C54B67"/>
    <w:rsid w:val="00C54BB2"/>
    <w:rsid w:val="00C54D17"/>
    <w:rsid w:val="00C54D52"/>
    <w:rsid w:val="00C54E7E"/>
    <w:rsid w:val="00C54EB9"/>
    <w:rsid w:val="00C5534F"/>
    <w:rsid w:val="00C554CF"/>
    <w:rsid w:val="00C5551D"/>
    <w:rsid w:val="00C555C4"/>
    <w:rsid w:val="00C55A1C"/>
    <w:rsid w:val="00C55AC2"/>
    <w:rsid w:val="00C55B28"/>
    <w:rsid w:val="00C55C76"/>
    <w:rsid w:val="00C55DF1"/>
    <w:rsid w:val="00C55E75"/>
    <w:rsid w:val="00C55EC7"/>
    <w:rsid w:val="00C55FF2"/>
    <w:rsid w:val="00C560B6"/>
    <w:rsid w:val="00C5613D"/>
    <w:rsid w:val="00C563B7"/>
    <w:rsid w:val="00C56454"/>
    <w:rsid w:val="00C56494"/>
    <w:rsid w:val="00C56707"/>
    <w:rsid w:val="00C5673B"/>
    <w:rsid w:val="00C567F2"/>
    <w:rsid w:val="00C56883"/>
    <w:rsid w:val="00C568CE"/>
    <w:rsid w:val="00C568DA"/>
    <w:rsid w:val="00C56988"/>
    <w:rsid w:val="00C56A4A"/>
    <w:rsid w:val="00C56C2D"/>
    <w:rsid w:val="00C56C2E"/>
    <w:rsid w:val="00C56DAB"/>
    <w:rsid w:val="00C56FC8"/>
    <w:rsid w:val="00C57008"/>
    <w:rsid w:val="00C57066"/>
    <w:rsid w:val="00C5710C"/>
    <w:rsid w:val="00C5730A"/>
    <w:rsid w:val="00C57353"/>
    <w:rsid w:val="00C573E2"/>
    <w:rsid w:val="00C57533"/>
    <w:rsid w:val="00C57563"/>
    <w:rsid w:val="00C5771F"/>
    <w:rsid w:val="00C57811"/>
    <w:rsid w:val="00C579A0"/>
    <w:rsid w:val="00C579E9"/>
    <w:rsid w:val="00C57AD4"/>
    <w:rsid w:val="00C57B04"/>
    <w:rsid w:val="00C57B30"/>
    <w:rsid w:val="00C57B6C"/>
    <w:rsid w:val="00C57BE3"/>
    <w:rsid w:val="00C57BEF"/>
    <w:rsid w:val="00C57CE6"/>
    <w:rsid w:val="00C57E1E"/>
    <w:rsid w:val="00C57E64"/>
    <w:rsid w:val="00C60239"/>
    <w:rsid w:val="00C60290"/>
    <w:rsid w:val="00C6030D"/>
    <w:rsid w:val="00C60472"/>
    <w:rsid w:val="00C60482"/>
    <w:rsid w:val="00C6049B"/>
    <w:rsid w:val="00C6052B"/>
    <w:rsid w:val="00C60544"/>
    <w:rsid w:val="00C60664"/>
    <w:rsid w:val="00C609C5"/>
    <w:rsid w:val="00C60C02"/>
    <w:rsid w:val="00C60CF7"/>
    <w:rsid w:val="00C60E31"/>
    <w:rsid w:val="00C60E3B"/>
    <w:rsid w:val="00C60E5A"/>
    <w:rsid w:val="00C610B4"/>
    <w:rsid w:val="00C610E1"/>
    <w:rsid w:val="00C61191"/>
    <w:rsid w:val="00C61273"/>
    <w:rsid w:val="00C6147D"/>
    <w:rsid w:val="00C615D6"/>
    <w:rsid w:val="00C615E6"/>
    <w:rsid w:val="00C615ED"/>
    <w:rsid w:val="00C61723"/>
    <w:rsid w:val="00C6176D"/>
    <w:rsid w:val="00C618E9"/>
    <w:rsid w:val="00C618FB"/>
    <w:rsid w:val="00C619CD"/>
    <w:rsid w:val="00C61A77"/>
    <w:rsid w:val="00C61AEF"/>
    <w:rsid w:val="00C61BFF"/>
    <w:rsid w:val="00C61CCE"/>
    <w:rsid w:val="00C61CF0"/>
    <w:rsid w:val="00C61D3C"/>
    <w:rsid w:val="00C61DD0"/>
    <w:rsid w:val="00C61ECD"/>
    <w:rsid w:val="00C61EF4"/>
    <w:rsid w:val="00C61F3D"/>
    <w:rsid w:val="00C62162"/>
    <w:rsid w:val="00C621C1"/>
    <w:rsid w:val="00C62332"/>
    <w:rsid w:val="00C623B4"/>
    <w:rsid w:val="00C62588"/>
    <w:rsid w:val="00C62768"/>
    <w:rsid w:val="00C628BB"/>
    <w:rsid w:val="00C629BC"/>
    <w:rsid w:val="00C62B27"/>
    <w:rsid w:val="00C62B8C"/>
    <w:rsid w:val="00C62BC5"/>
    <w:rsid w:val="00C62E5A"/>
    <w:rsid w:val="00C62F51"/>
    <w:rsid w:val="00C63032"/>
    <w:rsid w:val="00C63200"/>
    <w:rsid w:val="00C6327B"/>
    <w:rsid w:val="00C632F3"/>
    <w:rsid w:val="00C63357"/>
    <w:rsid w:val="00C63474"/>
    <w:rsid w:val="00C6351D"/>
    <w:rsid w:val="00C63586"/>
    <w:rsid w:val="00C635F7"/>
    <w:rsid w:val="00C6394A"/>
    <w:rsid w:val="00C63AC2"/>
    <w:rsid w:val="00C63D04"/>
    <w:rsid w:val="00C63EAC"/>
    <w:rsid w:val="00C64010"/>
    <w:rsid w:val="00C640C2"/>
    <w:rsid w:val="00C640CF"/>
    <w:rsid w:val="00C6413A"/>
    <w:rsid w:val="00C6473B"/>
    <w:rsid w:val="00C647F1"/>
    <w:rsid w:val="00C64B70"/>
    <w:rsid w:val="00C64C46"/>
    <w:rsid w:val="00C64CD0"/>
    <w:rsid w:val="00C64DA2"/>
    <w:rsid w:val="00C64DDF"/>
    <w:rsid w:val="00C64E81"/>
    <w:rsid w:val="00C64FA7"/>
    <w:rsid w:val="00C6518A"/>
    <w:rsid w:val="00C651D4"/>
    <w:rsid w:val="00C65282"/>
    <w:rsid w:val="00C6529F"/>
    <w:rsid w:val="00C6535C"/>
    <w:rsid w:val="00C654C1"/>
    <w:rsid w:val="00C654EA"/>
    <w:rsid w:val="00C656CC"/>
    <w:rsid w:val="00C6572C"/>
    <w:rsid w:val="00C657B1"/>
    <w:rsid w:val="00C6587E"/>
    <w:rsid w:val="00C658FF"/>
    <w:rsid w:val="00C659F2"/>
    <w:rsid w:val="00C65A0A"/>
    <w:rsid w:val="00C65CA6"/>
    <w:rsid w:val="00C65CDD"/>
    <w:rsid w:val="00C65DE8"/>
    <w:rsid w:val="00C66198"/>
    <w:rsid w:val="00C662A5"/>
    <w:rsid w:val="00C66300"/>
    <w:rsid w:val="00C663E9"/>
    <w:rsid w:val="00C66449"/>
    <w:rsid w:val="00C665C2"/>
    <w:rsid w:val="00C667B0"/>
    <w:rsid w:val="00C66867"/>
    <w:rsid w:val="00C6696F"/>
    <w:rsid w:val="00C669DF"/>
    <w:rsid w:val="00C669FE"/>
    <w:rsid w:val="00C66A0A"/>
    <w:rsid w:val="00C66B00"/>
    <w:rsid w:val="00C66B97"/>
    <w:rsid w:val="00C66BC6"/>
    <w:rsid w:val="00C66CB5"/>
    <w:rsid w:val="00C66D56"/>
    <w:rsid w:val="00C66E34"/>
    <w:rsid w:val="00C66F01"/>
    <w:rsid w:val="00C6711E"/>
    <w:rsid w:val="00C671E0"/>
    <w:rsid w:val="00C6742C"/>
    <w:rsid w:val="00C678F2"/>
    <w:rsid w:val="00C6793D"/>
    <w:rsid w:val="00C67C97"/>
    <w:rsid w:val="00C67F40"/>
    <w:rsid w:val="00C70006"/>
    <w:rsid w:val="00C70068"/>
    <w:rsid w:val="00C70158"/>
    <w:rsid w:val="00C70499"/>
    <w:rsid w:val="00C709FB"/>
    <w:rsid w:val="00C71254"/>
    <w:rsid w:val="00C71294"/>
    <w:rsid w:val="00C712FF"/>
    <w:rsid w:val="00C7140F"/>
    <w:rsid w:val="00C71429"/>
    <w:rsid w:val="00C71480"/>
    <w:rsid w:val="00C7156D"/>
    <w:rsid w:val="00C71651"/>
    <w:rsid w:val="00C71907"/>
    <w:rsid w:val="00C719D0"/>
    <w:rsid w:val="00C71AA9"/>
    <w:rsid w:val="00C71C91"/>
    <w:rsid w:val="00C71D0E"/>
    <w:rsid w:val="00C71D31"/>
    <w:rsid w:val="00C71D36"/>
    <w:rsid w:val="00C72137"/>
    <w:rsid w:val="00C721C8"/>
    <w:rsid w:val="00C72257"/>
    <w:rsid w:val="00C722FF"/>
    <w:rsid w:val="00C72326"/>
    <w:rsid w:val="00C72435"/>
    <w:rsid w:val="00C724B5"/>
    <w:rsid w:val="00C724DB"/>
    <w:rsid w:val="00C7251E"/>
    <w:rsid w:val="00C72762"/>
    <w:rsid w:val="00C72769"/>
    <w:rsid w:val="00C72778"/>
    <w:rsid w:val="00C72822"/>
    <w:rsid w:val="00C729A7"/>
    <w:rsid w:val="00C729AA"/>
    <w:rsid w:val="00C729BB"/>
    <w:rsid w:val="00C72C06"/>
    <w:rsid w:val="00C72C6D"/>
    <w:rsid w:val="00C72F66"/>
    <w:rsid w:val="00C730A0"/>
    <w:rsid w:val="00C730E1"/>
    <w:rsid w:val="00C730FD"/>
    <w:rsid w:val="00C731A2"/>
    <w:rsid w:val="00C731B7"/>
    <w:rsid w:val="00C73413"/>
    <w:rsid w:val="00C73431"/>
    <w:rsid w:val="00C7344F"/>
    <w:rsid w:val="00C73691"/>
    <w:rsid w:val="00C737BB"/>
    <w:rsid w:val="00C73884"/>
    <w:rsid w:val="00C73949"/>
    <w:rsid w:val="00C739B5"/>
    <w:rsid w:val="00C739BE"/>
    <w:rsid w:val="00C73A22"/>
    <w:rsid w:val="00C73A3F"/>
    <w:rsid w:val="00C73B18"/>
    <w:rsid w:val="00C73B90"/>
    <w:rsid w:val="00C73CFB"/>
    <w:rsid w:val="00C73DDC"/>
    <w:rsid w:val="00C73E3F"/>
    <w:rsid w:val="00C73F11"/>
    <w:rsid w:val="00C73F36"/>
    <w:rsid w:val="00C73FB8"/>
    <w:rsid w:val="00C741DE"/>
    <w:rsid w:val="00C7449C"/>
    <w:rsid w:val="00C744AE"/>
    <w:rsid w:val="00C7459B"/>
    <w:rsid w:val="00C745EC"/>
    <w:rsid w:val="00C74624"/>
    <w:rsid w:val="00C746C8"/>
    <w:rsid w:val="00C7471E"/>
    <w:rsid w:val="00C74981"/>
    <w:rsid w:val="00C7499C"/>
    <w:rsid w:val="00C749D6"/>
    <w:rsid w:val="00C74AC9"/>
    <w:rsid w:val="00C74BA8"/>
    <w:rsid w:val="00C74C1A"/>
    <w:rsid w:val="00C74C22"/>
    <w:rsid w:val="00C74E88"/>
    <w:rsid w:val="00C74FE5"/>
    <w:rsid w:val="00C75077"/>
    <w:rsid w:val="00C750A2"/>
    <w:rsid w:val="00C751A1"/>
    <w:rsid w:val="00C754AF"/>
    <w:rsid w:val="00C754C1"/>
    <w:rsid w:val="00C754D3"/>
    <w:rsid w:val="00C7551A"/>
    <w:rsid w:val="00C755A7"/>
    <w:rsid w:val="00C755E8"/>
    <w:rsid w:val="00C75801"/>
    <w:rsid w:val="00C7590B"/>
    <w:rsid w:val="00C75945"/>
    <w:rsid w:val="00C75949"/>
    <w:rsid w:val="00C75988"/>
    <w:rsid w:val="00C759A7"/>
    <w:rsid w:val="00C759F7"/>
    <w:rsid w:val="00C75DE1"/>
    <w:rsid w:val="00C75F4C"/>
    <w:rsid w:val="00C75F93"/>
    <w:rsid w:val="00C7612A"/>
    <w:rsid w:val="00C76190"/>
    <w:rsid w:val="00C762F9"/>
    <w:rsid w:val="00C762FF"/>
    <w:rsid w:val="00C76408"/>
    <w:rsid w:val="00C76475"/>
    <w:rsid w:val="00C76494"/>
    <w:rsid w:val="00C76785"/>
    <w:rsid w:val="00C767E0"/>
    <w:rsid w:val="00C7680C"/>
    <w:rsid w:val="00C7685A"/>
    <w:rsid w:val="00C768A7"/>
    <w:rsid w:val="00C768E7"/>
    <w:rsid w:val="00C7692E"/>
    <w:rsid w:val="00C769BB"/>
    <w:rsid w:val="00C769D1"/>
    <w:rsid w:val="00C76D4B"/>
    <w:rsid w:val="00C76E14"/>
    <w:rsid w:val="00C76F1F"/>
    <w:rsid w:val="00C7707E"/>
    <w:rsid w:val="00C7717A"/>
    <w:rsid w:val="00C772DE"/>
    <w:rsid w:val="00C7748C"/>
    <w:rsid w:val="00C77603"/>
    <w:rsid w:val="00C77645"/>
    <w:rsid w:val="00C77664"/>
    <w:rsid w:val="00C77960"/>
    <w:rsid w:val="00C77997"/>
    <w:rsid w:val="00C77AD6"/>
    <w:rsid w:val="00C77B09"/>
    <w:rsid w:val="00C77B3C"/>
    <w:rsid w:val="00C77BCD"/>
    <w:rsid w:val="00C77C1E"/>
    <w:rsid w:val="00C77D38"/>
    <w:rsid w:val="00C77D7F"/>
    <w:rsid w:val="00C77D9E"/>
    <w:rsid w:val="00C77EEF"/>
    <w:rsid w:val="00C80004"/>
    <w:rsid w:val="00C8007E"/>
    <w:rsid w:val="00C801F4"/>
    <w:rsid w:val="00C803BF"/>
    <w:rsid w:val="00C80501"/>
    <w:rsid w:val="00C805F6"/>
    <w:rsid w:val="00C80614"/>
    <w:rsid w:val="00C80879"/>
    <w:rsid w:val="00C8090A"/>
    <w:rsid w:val="00C8094B"/>
    <w:rsid w:val="00C809D5"/>
    <w:rsid w:val="00C80A43"/>
    <w:rsid w:val="00C80A72"/>
    <w:rsid w:val="00C80AE8"/>
    <w:rsid w:val="00C80AF6"/>
    <w:rsid w:val="00C80CEC"/>
    <w:rsid w:val="00C80F41"/>
    <w:rsid w:val="00C81044"/>
    <w:rsid w:val="00C810A3"/>
    <w:rsid w:val="00C81121"/>
    <w:rsid w:val="00C81168"/>
    <w:rsid w:val="00C8123F"/>
    <w:rsid w:val="00C81327"/>
    <w:rsid w:val="00C819BD"/>
    <w:rsid w:val="00C81A9A"/>
    <w:rsid w:val="00C81AA4"/>
    <w:rsid w:val="00C81B89"/>
    <w:rsid w:val="00C81C62"/>
    <w:rsid w:val="00C81D16"/>
    <w:rsid w:val="00C81E25"/>
    <w:rsid w:val="00C81FB7"/>
    <w:rsid w:val="00C823A0"/>
    <w:rsid w:val="00C823B4"/>
    <w:rsid w:val="00C82710"/>
    <w:rsid w:val="00C8292A"/>
    <w:rsid w:val="00C8293C"/>
    <w:rsid w:val="00C82B68"/>
    <w:rsid w:val="00C82B8B"/>
    <w:rsid w:val="00C82C8F"/>
    <w:rsid w:val="00C82DCE"/>
    <w:rsid w:val="00C82E98"/>
    <w:rsid w:val="00C830FB"/>
    <w:rsid w:val="00C83206"/>
    <w:rsid w:val="00C833A9"/>
    <w:rsid w:val="00C833B5"/>
    <w:rsid w:val="00C8344F"/>
    <w:rsid w:val="00C834DC"/>
    <w:rsid w:val="00C8362B"/>
    <w:rsid w:val="00C83700"/>
    <w:rsid w:val="00C837D9"/>
    <w:rsid w:val="00C837F4"/>
    <w:rsid w:val="00C839E0"/>
    <w:rsid w:val="00C83A9A"/>
    <w:rsid w:val="00C83AC0"/>
    <w:rsid w:val="00C83BC9"/>
    <w:rsid w:val="00C83D0A"/>
    <w:rsid w:val="00C83D7E"/>
    <w:rsid w:val="00C840FB"/>
    <w:rsid w:val="00C8429A"/>
    <w:rsid w:val="00C843D0"/>
    <w:rsid w:val="00C844E1"/>
    <w:rsid w:val="00C8462A"/>
    <w:rsid w:val="00C8473D"/>
    <w:rsid w:val="00C84772"/>
    <w:rsid w:val="00C848FB"/>
    <w:rsid w:val="00C84955"/>
    <w:rsid w:val="00C84A10"/>
    <w:rsid w:val="00C84B85"/>
    <w:rsid w:val="00C84BB4"/>
    <w:rsid w:val="00C84DB7"/>
    <w:rsid w:val="00C84DBA"/>
    <w:rsid w:val="00C84F5B"/>
    <w:rsid w:val="00C84F8A"/>
    <w:rsid w:val="00C8500D"/>
    <w:rsid w:val="00C85023"/>
    <w:rsid w:val="00C8503D"/>
    <w:rsid w:val="00C85047"/>
    <w:rsid w:val="00C85226"/>
    <w:rsid w:val="00C8526F"/>
    <w:rsid w:val="00C852B5"/>
    <w:rsid w:val="00C854CE"/>
    <w:rsid w:val="00C8568C"/>
    <w:rsid w:val="00C856C7"/>
    <w:rsid w:val="00C85745"/>
    <w:rsid w:val="00C85A1B"/>
    <w:rsid w:val="00C85A1D"/>
    <w:rsid w:val="00C85A85"/>
    <w:rsid w:val="00C85BD6"/>
    <w:rsid w:val="00C85BF4"/>
    <w:rsid w:val="00C85DFF"/>
    <w:rsid w:val="00C85E8F"/>
    <w:rsid w:val="00C85EB6"/>
    <w:rsid w:val="00C8625F"/>
    <w:rsid w:val="00C86333"/>
    <w:rsid w:val="00C863C2"/>
    <w:rsid w:val="00C864C8"/>
    <w:rsid w:val="00C86530"/>
    <w:rsid w:val="00C8653A"/>
    <w:rsid w:val="00C867FC"/>
    <w:rsid w:val="00C8687F"/>
    <w:rsid w:val="00C869A9"/>
    <w:rsid w:val="00C869D4"/>
    <w:rsid w:val="00C86B3A"/>
    <w:rsid w:val="00C86BAF"/>
    <w:rsid w:val="00C86FC3"/>
    <w:rsid w:val="00C870C8"/>
    <w:rsid w:val="00C87152"/>
    <w:rsid w:val="00C87337"/>
    <w:rsid w:val="00C873A9"/>
    <w:rsid w:val="00C874A4"/>
    <w:rsid w:val="00C8799F"/>
    <w:rsid w:val="00C87A30"/>
    <w:rsid w:val="00C87AB1"/>
    <w:rsid w:val="00C87B1D"/>
    <w:rsid w:val="00C90076"/>
    <w:rsid w:val="00C9020D"/>
    <w:rsid w:val="00C90398"/>
    <w:rsid w:val="00C90706"/>
    <w:rsid w:val="00C909EA"/>
    <w:rsid w:val="00C90B1C"/>
    <w:rsid w:val="00C90CD2"/>
    <w:rsid w:val="00C90D0C"/>
    <w:rsid w:val="00C90D90"/>
    <w:rsid w:val="00C90E54"/>
    <w:rsid w:val="00C90F34"/>
    <w:rsid w:val="00C912CF"/>
    <w:rsid w:val="00C912FA"/>
    <w:rsid w:val="00C91356"/>
    <w:rsid w:val="00C913A7"/>
    <w:rsid w:val="00C9142B"/>
    <w:rsid w:val="00C9161D"/>
    <w:rsid w:val="00C916D1"/>
    <w:rsid w:val="00C91851"/>
    <w:rsid w:val="00C91957"/>
    <w:rsid w:val="00C91961"/>
    <w:rsid w:val="00C91C12"/>
    <w:rsid w:val="00C91C7B"/>
    <w:rsid w:val="00C91E7B"/>
    <w:rsid w:val="00C91F85"/>
    <w:rsid w:val="00C92015"/>
    <w:rsid w:val="00C92060"/>
    <w:rsid w:val="00C92126"/>
    <w:rsid w:val="00C921A6"/>
    <w:rsid w:val="00C921AA"/>
    <w:rsid w:val="00C921B9"/>
    <w:rsid w:val="00C9227B"/>
    <w:rsid w:val="00C9229C"/>
    <w:rsid w:val="00C922AF"/>
    <w:rsid w:val="00C922E0"/>
    <w:rsid w:val="00C92687"/>
    <w:rsid w:val="00C9294D"/>
    <w:rsid w:val="00C9297C"/>
    <w:rsid w:val="00C92C88"/>
    <w:rsid w:val="00C92C96"/>
    <w:rsid w:val="00C92CC3"/>
    <w:rsid w:val="00C92D46"/>
    <w:rsid w:val="00C92DAC"/>
    <w:rsid w:val="00C92FA8"/>
    <w:rsid w:val="00C93342"/>
    <w:rsid w:val="00C93552"/>
    <w:rsid w:val="00C93614"/>
    <w:rsid w:val="00C936F4"/>
    <w:rsid w:val="00C93724"/>
    <w:rsid w:val="00C93A63"/>
    <w:rsid w:val="00C93AC4"/>
    <w:rsid w:val="00C93B02"/>
    <w:rsid w:val="00C93C17"/>
    <w:rsid w:val="00C93F78"/>
    <w:rsid w:val="00C94037"/>
    <w:rsid w:val="00C9410B"/>
    <w:rsid w:val="00C94140"/>
    <w:rsid w:val="00C94165"/>
    <w:rsid w:val="00C941B1"/>
    <w:rsid w:val="00C94526"/>
    <w:rsid w:val="00C94799"/>
    <w:rsid w:val="00C94914"/>
    <w:rsid w:val="00C949BD"/>
    <w:rsid w:val="00C94B36"/>
    <w:rsid w:val="00C94BCC"/>
    <w:rsid w:val="00C94E0B"/>
    <w:rsid w:val="00C94E26"/>
    <w:rsid w:val="00C9505D"/>
    <w:rsid w:val="00C95376"/>
    <w:rsid w:val="00C95703"/>
    <w:rsid w:val="00C95775"/>
    <w:rsid w:val="00C9581C"/>
    <w:rsid w:val="00C95992"/>
    <w:rsid w:val="00C95DFE"/>
    <w:rsid w:val="00C96071"/>
    <w:rsid w:val="00C9609D"/>
    <w:rsid w:val="00C9641F"/>
    <w:rsid w:val="00C96432"/>
    <w:rsid w:val="00C96633"/>
    <w:rsid w:val="00C966B7"/>
    <w:rsid w:val="00C9687C"/>
    <w:rsid w:val="00C9692C"/>
    <w:rsid w:val="00C96A46"/>
    <w:rsid w:val="00C96B8C"/>
    <w:rsid w:val="00C96CA2"/>
    <w:rsid w:val="00C96E56"/>
    <w:rsid w:val="00C96EF2"/>
    <w:rsid w:val="00C96FDF"/>
    <w:rsid w:val="00C971AF"/>
    <w:rsid w:val="00C9720F"/>
    <w:rsid w:val="00C972E6"/>
    <w:rsid w:val="00C97433"/>
    <w:rsid w:val="00C97460"/>
    <w:rsid w:val="00C974AD"/>
    <w:rsid w:val="00C974C5"/>
    <w:rsid w:val="00C9766A"/>
    <w:rsid w:val="00C976BE"/>
    <w:rsid w:val="00C97702"/>
    <w:rsid w:val="00C97733"/>
    <w:rsid w:val="00C978D8"/>
    <w:rsid w:val="00C97AAD"/>
    <w:rsid w:val="00C97B60"/>
    <w:rsid w:val="00C97C18"/>
    <w:rsid w:val="00C97D54"/>
    <w:rsid w:val="00C97D59"/>
    <w:rsid w:val="00C97DD6"/>
    <w:rsid w:val="00C97E48"/>
    <w:rsid w:val="00C97E90"/>
    <w:rsid w:val="00CA0078"/>
    <w:rsid w:val="00CA00F7"/>
    <w:rsid w:val="00CA0122"/>
    <w:rsid w:val="00CA01B6"/>
    <w:rsid w:val="00CA0387"/>
    <w:rsid w:val="00CA04C4"/>
    <w:rsid w:val="00CA078B"/>
    <w:rsid w:val="00CA085D"/>
    <w:rsid w:val="00CA0968"/>
    <w:rsid w:val="00CA099E"/>
    <w:rsid w:val="00CA0C8B"/>
    <w:rsid w:val="00CA0CEF"/>
    <w:rsid w:val="00CA0D5C"/>
    <w:rsid w:val="00CA0D5F"/>
    <w:rsid w:val="00CA0E17"/>
    <w:rsid w:val="00CA0ED1"/>
    <w:rsid w:val="00CA14D8"/>
    <w:rsid w:val="00CA15BA"/>
    <w:rsid w:val="00CA1603"/>
    <w:rsid w:val="00CA181D"/>
    <w:rsid w:val="00CA1890"/>
    <w:rsid w:val="00CA1902"/>
    <w:rsid w:val="00CA19AC"/>
    <w:rsid w:val="00CA1A5C"/>
    <w:rsid w:val="00CA1B4A"/>
    <w:rsid w:val="00CA1BE3"/>
    <w:rsid w:val="00CA1C75"/>
    <w:rsid w:val="00CA1D91"/>
    <w:rsid w:val="00CA1E6F"/>
    <w:rsid w:val="00CA1FAC"/>
    <w:rsid w:val="00CA2021"/>
    <w:rsid w:val="00CA2136"/>
    <w:rsid w:val="00CA21F4"/>
    <w:rsid w:val="00CA259C"/>
    <w:rsid w:val="00CA25B2"/>
    <w:rsid w:val="00CA2767"/>
    <w:rsid w:val="00CA281D"/>
    <w:rsid w:val="00CA282E"/>
    <w:rsid w:val="00CA287F"/>
    <w:rsid w:val="00CA28B3"/>
    <w:rsid w:val="00CA293A"/>
    <w:rsid w:val="00CA2C04"/>
    <w:rsid w:val="00CA2C14"/>
    <w:rsid w:val="00CA2C23"/>
    <w:rsid w:val="00CA2E30"/>
    <w:rsid w:val="00CA2FB2"/>
    <w:rsid w:val="00CA3360"/>
    <w:rsid w:val="00CA3416"/>
    <w:rsid w:val="00CA356F"/>
    <w:rsid w:val="00CA3628"/>
    <w:rsid w:val="00CA36D3"/>
    <w:rsid w:val="00CA37A6"/>
    <w:rsid w:val="00CA384E"/>
    <w:rsid w:val="00CA3A63"/>
    <w:rsid w:val="00CA3AD7"/>
    <w:rsid w:val="00CA3DD9"/>
    <w:rsid w:val="00CA3ED5"/>
    <w:rsid w:val="00CA4003"/>
    <w:rsid w:val="00CA4089"/>
    <w:rsid w:val="00CA42D9"/>
    <w:rsid w:val="00CA46AE"/>
    <w:rsid w:val="00CA477F"/>
    <w:rsid w:val="00CA47AF"/>
    <w:rsid w:val="00CA47FD"/>
    <w:rsid w:val="00CA4C3B"/>
    <w:rsid w:val="00CA4C60"/>
    <w:rsid w:val="00CA4D2B"/>
    <w:rsid w:val="00CA4E22"/>
    <w:rsid w:val="00CA506C"/>
    <w:rsid w:val="00CA508D"/>
    <w:rsid w:val="00CA5136"/>
    <w:rsid w:val="00CA51EA"/>
    <w:rsid w:val="00CA526D"/>
    <w:rsid w:val="00CA52BC"/>
    <w:rsid w:val="00CA540D"/>
    <w:rsid w:val="00CA5574"/>
    <w:rsid w:val="00CA573E"/>
    <w:rsid w:val="00CA5799"/>
    <w:rsid w:val="00CA57C6"/>
    <w:rsid w:val="00CA580D"/>
    <w:rsid w:val="00CA5823"/>
    <w:rsid w:val="00CA5857"/>
    <w:rsid w:val="00CA598F"/>
    <w:rsid w:val="00CA59CB"/>
    <w:rsid w:val="00CA5C28"/>
    <w:rsid w:val="00CA5C88"/>
    <w:rsid w:val="00CA60A6"/>
    <w:rsid w:val="00CA60D1"/>
    <w:rsid w:val="00CA6140"/>
    <w:rsid w:val="00CA61D4"/>
    <w:rsid w:val="00CA6515"/>
    <w:rsid w:val="00CA65AF"/>
    <w:rsid w:val="00CA661D"/>
    <w:rsid w:val="00CA666F"/>
    <w:rsid w:val="00CA69C0"/>
    <w:rsid w:val="00CA6A96"/>
    <w:rsid w:val="00CA6C99"/>
    <w:rsid w:val="00CA6DE9"/>
    <w:rsid w:val="00CA6F88"/>
    <w:rsid w:val="00CA701F"/>
    <w:rsid w:val="00CA7053"/>
    <w:rsid w:val="00CA716F"/>
    <w:rsid w:val="00CA71B8"/>
    <w:rsid w:val="00CA7214"/>
    <w:rsid w:val="00CA7642"/>
    <w:rsid w:val="00CA7653"/>
    <w:rsid w:val="00CA7695"/>
    <w:rsid w:val="00CA769D"/>
    <w:rsid w:val="00CA7758"/>
    <w:rsid w:val="00CA7921"/>
    <w:rsid w:val="00CA7978"/>
    <w:rsid w:val="00CA7B49"/>
    <w:rsid w:val="00CA7B98"/>
    <w:rsid w:val="00CA7C97"/>
    <w:rsid w:val="00CA7D51"/>
    <w:rsid w:val="00CA7D67"/>
    <w:rsid w:val="00CA7DEF"/>
    <w:rsid w:val="00CB008E"/>
    <w:rsid w:val="00CB0203"/>
    <w:rsid w:val="00CB02CE"/>
    <w:rsid w:val="00CB0430"/>
    <w:rsid w:val="00CB0463"/>
    <w:rsid w:val="00CB04AA"/>
    <w:rsid w:val="00CB06EF"/>
    <w:rsid w:val="00CB0932"/>
    <w:rsid w:val="00CB0A69"/>
    <w:rsid w:val="00CB0B16"/>
    <w:rsid w:val="00CB0B24"/>
    <w:rsid w:val="00CB0BAA"/>
    <w:rsid w:val="00CB0C3D"/>
    <w:rsid w:val="00CB0D65"/>
    <w:rsid w:val="00CB0DE3"/>
    <w:rsid w:val="00CB0EC7"/>
    <w:rsid w:val="00CB0FA3"/>
    <w:rsid w:val="00CB102F"/>
    <w:rsid w:val="00CB114E"/>
    <w:rsid w:val="00CB1336"/>
    <w:rsid w:val="00CB14B2"/>
    <w:rsid w:val="00CB1786"/>
    <w:rsid w:val="00CB187A"/>
    <w:rsid w:val="00CB18D6"/>
    <w:rsid w:val="00CB19F8"/>
    <w:rsid w:val="00CB1A65"/>
    <w:rsid w:val="00CB1CA9"/>
    <w:rsid w:val="00CB1CF5"/>
    <w:rsid w:val="00CB1D70"/>
    <w:rsid w:val="00CB1E85"/>
    <w:rsid w:val="00CB1F52"/>
    <w:rsid w:val="00CB23CA"/>
    <w:rsid w:val="00CB24BB"/>
    <w:rsid w:val="00CB2515"/>
    <w:rsid w:val="00CB266A"/>
    <w:rsid w:val="00CB26B3"/>
    <w:rsid w:val="00CB27CC"/>
    <w:rsid w:val="00CB2987"/>
    <w:rsid w:val="00CB299A"/>
    <w:rsid w:val="00CB2BAC"/>
    <w:rsid w:val="00CB2C40"/>
    <w:rsid w:val="00CB2C4C"/>
    <w:rsid w:val="00CB2DB0"/>
    <w:rsid w:val="00CB2FF1"/>
    <w:rsid w:val="00CB3049"/>
    <w:rsid w:val="00CB30AD"/>
    <w:rsid w:val="00CB30F1"/>
    <w:rsid w:val="00CB3181"/>
    <w:rsid w:val="00CB327E"/>
    <w:rsid w:val="00CB32A4"/>
    <w:rsid w:val="00CB335E"/>
    <w:rsid w:val="00CB35C4"/>
    <w:rsid w:val="00CB360F"/>
    <w:rsid w:val="00CB363C"/>
    <w:rsid w:val="00CB37A5"/>
    <w:rsid w:val="00CB3895"/>
    <w:rsid w:val="00CB3A60"/>
    <w:rsid w:val="00CB3C99"/>
    <w:rsid w:val="00CB3EF9"/>
    <w:rsid w:val="00CB3F0F"/>
    <w:rsid w:val="00CB41E1"/>
    <w:rsid w:val="00CB437C"/>
    <w:rsid w:val="00CB45DA"/>
    <w:rsid w:val="00CB45FC"/>
    <w:rsid w:val="00CB4770"/>
    <w:rsid w:val="00CB491A"/>
    <w:rsid w:val="00CB4956"/>
    <w:rsid w:val="00CB49EC"/>
    <w:rsid w:val="00CB4A30"/>
    <w:rsid w:val="00CB4A7C"/>
    <w:rsid w:val="00CB4AD6"/>
    <w:rsid w:val="00CB4C4A"/>
    <w:rsid w:val="00CB4C80"/>
    <w:rsid w:val="00CB4ECE"/>
    <w:rsid w:val="00CB548D"/>
    <w:rsid w:val="00CB5512"/>
    <w:rsid w:val="00CB5548"/>
    <w:rsid w:val="00CB55AA"/>
    <w:rsid w:val="00CB5952"/>
    <w:rsid w:val="00CB59D6"/>
    <w:rsid w:val="00CB5A5A"/>
    <w:rsid w:val="00CB5B4E"/>
    <w:rsid w:val="00CB5C24"/>
    <w:rsid w:val="00CB5D95"/>
    <w:rsid w:val="00CB5EBC"/>
    <w:rsid w:val="00CB5EC4"/>
    <w:rsid w:val="00CB6223"/>
    <w:rsid w:val="00CB64D0"/>
    <w:rsid w:val="00CB66D2"/>
    <w:rsid w:val="00CB6848"/>
    <w:rsid w:val="00CB69FB"/>
    <w:rsid w:val="00CB6B8F"/>
    <w:rsid w:val="00CB6DE5"/>
    <w:rsid w:val="00CB6E7E"/>
    <w:rsid w:val="00CB7001"/>
    <w:rsid w:val="00CB7297"/>
    <w:rsid w:val="00CB72DE"/>
    <w:rsid w:val="00CB748E"/>
    <w:rsid w:val="00CB74E9"/>
    <w:rsid w:val="00CB76CD"/>
    <w:rsid w:val="00CB7700"/>
    <w:rsid w:val="00CB7816"/>
    <w:rsid w:val="00CB79CD"/>
    <w:rsid w:val="00CB79DC"/>
    <w:rsid w:val="00CB7B24"/>
    <w:rsid w:val="00CB7DC4"/>
    <w:rsid w:val="00CB7E16"/>
    <w:rsid w:val="00CB7E73"/>
    <w:rsid w:val="00CB7EC8"/>
    <w:rsid w:val="00CB7F43"/>
    <w:rsid w:val="00CB7FD4"/>
    <w:rsid w:val="00CC0532"/>
    <w:rsid w:val="00CC0866"/>
    <w:rsid w:val="00CC0921"/>
    <w:rsid w:val="00CC095B"/>
    <w:rsid w:val="00CC09FF"/>
    <w:rsid w:val="00CC0BF3"/>
    <w:rsid w:val="00CC0C60"/>
    <w:rsid w:val="00CC0D10"/>
    <w:rsid w:val="00CC0DA4"/>
    <w:rsid w:val="00CC0E06"/>
    <w:rsid w:val="00CC0E30"/>
    <w:rsid w:val="00CC0F11"/>
    <w:rsid w:val="00CC0FEB"/>
    <w:rsid w:val="00CC1142"/>
    <w:rsid w:val="00CC1187"/>
    <w:rsid w:val="00CC11C1"/>
    <w:rsid w:val="00CC125F"/>
    <w:rsid w:val="00CC17A7"/>
    <w:rsid w:val="00CC188C"/>
    <w:rsid w:val="00CC18C1"/>
    <w:rsid w:val="00CC1B2E"/>
    <w:rsid w:val="00CC1FC5"/>
    <w:rsid w:val="00CC21BA"/>
    <w:rsid w:val="00CC24F8"/>
    <w:rsid w:val="00CC29B8"/>
    <w:rsid w:val="00CC2A03"/>
    <w:rsid w:val="00CC2A63"/>
    <w:rsid w:val="00CC2CD0"/>
    <w:rsid w:val="00CC2D23"/>
    <w:rsid w:val="00CC2EBE"/>
    <w:rsid w:val="00CC306D"/>
    <w:rsid w:val="00CC309D"/>
    <w:rsid w:val="00CC30AF"/>
    <w:rsid w:val="00CC3195"/>
    <w:rsid w:val="00CC32DE"/>
    <w:rsid w:val="00CC3392"/>
    <w:rsid w:val="00CC33EC"/>
    <w:rsid w:val="00CC340E"/>
    <w:rsid w:val="00CC3546"/>
    <w:rsid w:val="00CC36B7"/>
    <w:rsid w:val="00CC3891"/>
    <w:rsid w:val="00CC395F"/>
    <w:rsid w:val="00CC3A88"/>
    <w:rsid w:val="00CC3AAC"/>
    <w:rsid w:val="00CC3B52"/>
    <w:rsid w:val="00CC3EF5"/>
    <w:rsid w:val="00CC3F45"/>
    <w:rsid w:val="00CC3F7D"/>
    <w:rsid w:val="00CC401F"/>
    <w:rsid w:val="00CC419E"/>
    <w:rsid w:val="00CC423B"/>
    <w:rsid w:val="00CC4407"/>
    <w:rsid w:val="00CC4517"/>
    <w:rsid w:val="00CC4574"/>
    <w:rsid w:val="00CC45DD"/>
    <w:rsid w:val="00CC4879"/>
    <w:rsid w:val="00CC4924"/>
    <w:rsid w:val="00CC4A02"/>
    <w:rsid w:val="00CC4BD1"/>
    <w:rsid w:val="00CC4DE0"/>
    <w:rsid w:val="00CC4EC6"/>
    <w:rsid w:val="00CC4F9B"/>
    <w:rsid w:val="00CC5048"/>
    <w:rsid w:val="00CC50A9"/>
    <w:rsid w:val="00CC5257"/>
    <w:rsid w:val="00CC52FD"/>
    <w:rsid w:val="00CC5348"/>
    <w:rsid w:val="00CC5362"/>
    <w:rsid w:val="00CC5427"/>
    <w:rsid w:val="00CC545C"/>
    <w:rsid w:val="00CC5546"/>
    <w:rsid w:val="00CC5594"/>
    <w:rsid w:val="00CC5681"/>
    <w:rsid w:val="00CC56CF"/>
    <w:rsid w:val="00CC58A8"/>
    <w:rsid w:val="00CC5998"/>
    <w:rsid w:val="00CC5A4A"/>
    <w:rsid w:val="00CC5AE2"/>
    <w:rsid w:val="00CC5C42"/>
    <w:rsid w:val="00CC5CBE"/>
    <w:rsid w:val="00CC5EA2"/>
    <w:rsid w:val="00CC5EB2"/>
    <w:rsid w:val="00CC5FB9"/>
    <w:rsid w:val="00CC5FF1"/>
    <w:rsid w:val="00CC60A7"/>
    <w:rsid w:val="00CC60E9"/>
    <w:rsid w:val="00CC6385"/>
    <w:rsid w:val="00CC6394"/>
    <w:rsid w:val="00CC64E0"/>
    <w:rsid w:val="00CC653B"/>
    <w:rsid w:val="00CC662F"/>
    <w:rsid w:val="00CC66A2"/>
    <w:rsid w:val="00CC678A"/>
    <w:rsid w:val="00CC6A66"/>
    <w:rsid w:val="00CC6A84"/>
    <w:rsid w:val="00CC6AF5"/>
    <w:rsid w:val="00CC6DE2"/>
    <w:rsid w:val="00CC6F51"/>
    <w:rsid w:val="00CC7008"/>
    <w:rsid w:val="00CC700B"/>
    <w:rsid w:val="00CC7187"/>
    <w:rsid w:val="00CC719B"/>
    <w:rsid w:val="00CC729C"/>
    <w:rsid w:val="00CC742B"/>
    <w:rsid w:val="00CC7582"/>
    <w:rsid w:val="00CC763C"/>
    <w:rsid w:val="00CC768E"/>
    <w:rsid w:val="00CC76BA"/>
    <w:rsid w:val="00CC76CD"/>
    <w:rsid w:val="00CC7818"/>
    <w:rsid w:val="00CC7A7D"/>
    <w:rsid w:val="00CC7B0B"/>
    <w:rsid w:val="00CC7D25"/>
    <w:rsid w:val="00CC7D42"/>
    <w:rsid w:val="00CC7E7B"/>
    <w:rsid w:val="00CC7E9A"/>
    <w:rsid w:val="00CD0112"/>
    <w:rsid w:val="00CD03C8"/>
    <w:rsid w:val="00CD04AE"/>
    <w:rsid w:val="00CD04C1"/>
    <w:rsid w:val="00CD05EA"/>
    <w:rsid w:val="00CD0717"/>
    <w:rsid w:val="00CD0912"/>
    <w:rsid w:val="00CD0CD5"/>
    <w:rsid w:val="00CD0CF0"/>
    <w:rsid w:val="00CD0D98"/>
    <w:rsid w:val="00CD0F31"/>
    <w:rsid w:val="00CD0FF8"/>
    <w:rsid w:val="00CD1095"/>
    <w:rsid w:val="00CD10FD"/>
    <w:rsid w:val="00CD1161"/>
    <w:rsid w:val="00CD122B"/>
    <w:rsid w:val="00CD127C"/>
    <w:rsid w:val="00CD1621"/>
    <w:rsid w:val="00CD1670"/>
    <w:rsid w:val="00CD1676"/>
    <w:rsid w:val="00CD16EA"/>
    <w:rsid w:val="00CD19AD"/>
    <w:rsid w:val="00CD1A6E"/>
    <w:rsid w:val="00CD1B9E"/>
    <w:rsid w:val="00CD1D31"/>
    <w:rsid w:val="00CD2133"/>
    <w:rsid w:val="00CD21F6"/>
    <w:rsid w:val="00CD2217"/>
    <w:rsid w:val="00CD238E"/>
    <w:rsid w:val="00CD23B2"/>
    <w:rsid w:val="00CD2406"/>
    <w:rsid w:val="00CD2731"/>
    <w:rsid w:val="00CD2ACB"/>
    <w:rsid w:val="00CD2C39"/>
    <w:rsid w:val="00CD2C5C"/>
    <w:rsid w:val="00CD2CE1"/>
    <w:rsid w:val="00CD2DD1"/>
    <w:rsid w:val="00CD2E06"/>
    <w:rsid w:val="00CD2EF5"/>
    <w:rsid w:val="00CD2FB0"/>
    <w:rsid w:val="00CD31BC"/>
    <w:rsid w:val="00CD3433"/>
    <w:rsid w:val="00CD346E"/>
    <w:rsid w:val="00CD373E"/>
    <w:rsid w:val="00CD38C4"/>
    <w:rsid w:val="00CD3AB7"/>
    <w:rsid w:val="00CD3BAA"/>
    <w:rsid w:val="00CD3E57"/>
    <w:rsid w:val="00CD3EAE"/>
    <w:rsid w:val="00CD3F1E"/>
    <w:rsid w:val="00CD3F52"/>
    <w:rsid w:val="00CD3F8E"/>
    <w:rsid w:val="00CD3FB6"/>
    <w:rsid w:val="00CD40B0"/>
    <w:rsid w:val="00CD42AE"/>
    <w:rsid w:val="00CD460B"/>
    <w:rsid w:val="00CD4618"/>
    <w:rsid w:val="00CD496E"/>
    <w:rsid w:val="00CD49D5"/>
    <w:rsid w:val="00CD4B31"/>
    <w:rsid w:val="00CD4B7B"/>
    <w:rsid w:val="00CD4D0E"/>
    <w:rsid w:val="00CD4E94"/>
    <w:rsid w:val="00CD4F37"/>
    <w:rsid w:val="00CD5173"/>
    <w:rsid w:val="00CD5337"/>
    <w:rsid w:val="00CD53A5"/>
    <w:rsid w:val="00CD5440"/>
    <w:rsid w:val="00CD54FD"/>
    <w:rsid w:val="00CD550C"/>
    <w:rsid w:val="00CD55E2"/>
    <w:rsid w:val="00CD5754"/>
    <w:rsid w:val="00CD58E3"/>
    <w:rsid w:val="00CD58FF"/>
    <w:rsid w:val="00CD59B9"/>
    <w:rsid w:val="00CD5DE5"/>
    <w:rsid w:val="00CD5DF7"/>
    <w:rsid w:val="00CD5E19"/>
    <w:rsid w:val="00CD5EFE"/>
    <w:rsid w:val="00CD5FF4"/>
    <w:rsid w:val="00CD6002"/>
    <w:rsid w:val="00CD610F"/>
    <w:rsid w:val="00CD61A5"/>
    <w:rsid w:val="00CD6285"/>
    <w:rsid w:val="00CD6292"/>
    <w:rsid w:val="00CD63E0"/>
    <w:rsid w:val="00CD6536"/>
    <w:rsid w:val="00CD6653"/>
    <w:rsid w:val="00CD6675"/>
    <w:rsid w:val="00CD6721"/>
    <w:rsid w:val="00CD67EB"/>
    <w:rsid w:val="00CD68CE"/>
    <w:rsid w:val="00CD6B37"/>
    <w:rsid w:val="00CD6B4D"/>
    <w:rsid w:val="00CD6BB7"/>
    <w:rsid w:val="00CD6D96"/>
    <w:rsid w:val="00CD70C2"/>
    <w:rsid w:val="00CD7625"/>
    <w:rsid w:val="00CD7962"/>
    <w:rsid w:val="00CD79C5"/>
    <w:rsid w:val="00CD79CE"/>
    <w:rsid w:val="00CD79EE"/>
    <w:rsid w:val="00CD7B9B"/>
    <w:rsid w:val="00CD7C33"/>
    <w:rsid w:val="00CD7DA3"/>
    <w:rsid w:val="00CD7DB1"/>
    <w:rsid w:val="00CD7EA1"/>
    <w:rsid w:val="00CD7F64"/>
    <w:rsid w:val="00CE0583"/>
    <w:rsid w:val="00CE0628"/>
    <w:rsid w:val="00CE0738"/>
    <w:rsid w:val="00CE0859"/>
    <w:rsid w:val="00CE0A0F"/>
    <w:rsid w:val="00CE0AAB"/>
    <w:rsid w:val="00CE0AB0"/>
    <w:rsid w:val="00CE0B55"/>
    <w:rsid w:val="00CE0BC7"/>
    <w:rsid w:val="00CE0CE1"/>
    <w:rsid w:val="00CE0D1A"/>
    <w:rsid w:val="00CE0DE9"/>
    <w:rsid w:val="00CE0DF8"/>
    <w:rsid w:val="00CE1095"/>
    <w:rsid w:val="00CE112F"/>
    <w:rsid w:val="00CE1310"/>
    <w:rsid w:val="00CE13FA"/>
    <w:rsid w:val="00CE142E"/>
    <w:rsid w:val="00CE14E4"/>
    <w:rsid w:val="00CE181C"/>
    <w:rsid w:val="00CE1B50"/>
    <w:rsid w:val="00CE1BAE"/>
    <w:rsid w:val="00CE1D5C"/>
    <w:rsid w:val="00CE1D7F"/>
    <w:rsid w:val="00CE2049"/>
    <w:rsid w:val="00CE21A9"/>
    <w:rsid w:val="00CE22CE"/>
    <w:rsid w:val="00CE241C"/>
    <w:rsid w:val="00CE2536"/>
    <w:rsid w:val="00CE273A"/>
    <w:rsid w:val="00CE27AC"/>
    <w:rsid w:val="00CE27EA"/>
    <w:rsid w:val="00CE28F9"/>
    <w:rsid w:val="00CE28FA"/>
    <w:rsid w:val="00CE2924"/>
    <w:rsid w:val="00CE29B8"/>
    <w:rsid w:val="00CE29D9"/>
    <w:rsid w:val="00CE2CED"/>
    <w:rsid w:val="00CE2CFD"/>
    <w:rsid w:val="00CE2E5A"/>
    <w:rsid w:val="00CE2F4D"/>
    <w:rsid w:val="00CE306D"/>
    <w:rsid w:val="00CE31C1"/>
    <w:rsid w:val="00CE3216"/>
    <w:rsid w:val="00CE32C8"/>
    <w:rsid w:val="00CE336D"/>
    <w:rsid w:val="00CE3462"/>
    <w:rsid w:val="00CE34F5"/>
    <w:rsid w:val="00CE388F"/>
    <w:rsid w:val="00CE3A07"/>
    <w:rsid w:val="00CE3A47"/>
    <w:rsid w:val="00CE3A91"/>
    <w:rsid w:val="00CE3B6D"/>
    <w:rsid w:val="00CE3C4B"/>
    <w:rsid w:val="00CE4163"/>
    <w:rsid w:val="00CE4315"/>
    <w:rsid w:val="00CE4319"/>
    <w:rsid w:val="00CE4492"/>
    <w:rsid w:val="00CE4596"/>
    <w:rsid w:val="00CE45B2"/>
    <w:rsid w:val="00CE45B5"/>
    <w:rsid w:val="00CE45B9"/>
    <w:rsid w:val="00CE4634"/>
    <w:rsid w:val="00CE4863"/>
    <w:rsid w:val="00CE494A"/>
    <w:rsid w:val="00CE4995"/>
    <w:rsid w:val="00CE49A5"/>
    <w:rsid w:val="00CE4A10"/>
    <w:rsid w:val="00CE4A68"/>
    <w:rsid w:val="00CE4AAB"/>
    <w:rsid w:val="00CE4E2E"/>
    <w:rsid w:val="00CE4E4E"/>
    <w:rsid w:val="00CE4EA9"/>
    <w:rsid w:val="00CE4F44"/>
    <w:rsid w:val="00CE5079"/>
    <w:rsid w:val="00CE5217"/>
    <w:rsid w:val="00CE5233"/>
    <w:rsid w:val="00CE5355"/>
    <w:rsid w:val="00CE5589"/>
    <w:rsid w:val="00CE56FD"/>
    <w:rsid w:val="00CE573F"/>
    <w:rsid w:val="00CE5971"/>
    <w:rsid w:val="00CE6111"/>
    <w:rsid w:val="00CE6142"/>
    <w:rsid w:val="00CE620C"/>
    <w:rsid w:val="00CE6260"/>
    <w:rsid w:val="00CE63DB"/>
    <w:rsid w:val="00CE64D0"/>
    <w:rsid w:val="00CE65CB"/>
    <w:rsid w:val="00CE65F1"/>
    <w:rsid w:val="00CE6752"/>
    <w:rsid w:val="00CE6781"/>
    <w:rsid w:val="00CE6857"/>
    <w:rsid w:val="00CE6865"/>
    <w:rsid w:val="00CE6A1E"/>
    <w:rsid w:val="00CE6A57"/>
    <w:rsid w:val="00CE6AC2"/>
    <w:rsid w:val="00CE6B43"/>
    <w:rsid w:val="00CE6BC2"/>
    <w:rsid w:val="00CE6C2F"/>
    <w:rsid w:val="00CE6C58"/>
    <w:rsid w:val="00CE713B"/>
    <w:rsid w:val="00CE73DC"/>
    <w:rsid w:val="00CE73DD"/>
    <w:rsid w:val="00CE765C"/>
    <w:rsid w:val="00CE7782"/>
    <w:rsid w:val="00CE7910"/>
    <w:rsid w:val="00CE7942"/>
    <w:rsid w:val="00CE7DCC"/>
    <w:rsid w:val="00CE7E2D"/>
    <w:rsid w:val="00CE7E4B"/>
    <w:rsid w:val="00CE7EDB"/>
    <w:rsid w:val="00CE7EE6"/>
    <w:rsid w:val="00CE7F5E"/>
    <w:rsid w:val="00CF01AC"/>
    <w:rsid w:val="00CF02B3"/>
    <w:rsid w:val="00CF03AB"/>
    <w:rsid w:val="00CF0492"/>
    <w:rsid w:val="00CF0504"/>
    <w:rsid w:val="00CF05CB"/>
    <w:rsid w:val="00CF05E4"/>
    <w:rsid w:val="00CF0C28"/>
    <w:rsid w:val="00CF0C2E"/>
    <w:rsid w:val="00CF0CA3"/>
    <w:rsid w:val="00CF0D38"/>
    <w:rsid w:val="00CF10AB"/>
    <w:rsid w:val="00CF1152"/>
    <w:rsid w:val="00CF1154"/>
    <w:rsid w:val="00CF131F"/>
    <w:rsid w:val="00CF1330"/>
    <w:rsid w:val="00CF1384"/>
    <w:rsid w:val="00CF13CE"/>
    <w:rsid w:val="00CF13E5"/>
    <w:rsid w:val="00CF13F0"/>
    <w:rsid w:val="00CF1420"/>
    <w:rsid w:val="00CF155A"/>
    <w:rsid w:val="00CF1586"/>
    <w:rsid w:val="00CF1785"/>
    <w:rsid w:val="00CF1B5C"/>
    <w:rsid w:val="00CF1C14"/>
    <w:rsid w:val="00CF1CD0"/>
    <w:rsid w:val="00CF1DDA"/>
    <w:rsid w:val="00CF1E32"/>
    <w:rsid w:val="00CF1F61"/>
    <w:rsid w:val="00CF215E"/>
    <w:rsid w:val="00CF21D3"/>
    <w:rsid w:val="00CF21E4"/>
    <w:rsid w:val="00CF220D"/>
    <w:rsid w:val="00CF252C"/>
    <w:rsid w:val="00CF2625"/>
    <w:rsid w:val="00CF2673"/>
    <w:rsid w:val="00CF28A2"/>
    <w:rsid w:val="00CF2A21"/>
    <w:rsid w:val="00CF2B48"/>
    <w:rsid w:val="00CF2BE6"/>
    <w:rsid w:val="00CF2C7D"/>
    <w:rsid w:val="00CF3055"/>
    <w:rsid w:val="00CF324F"/>
    <w:rsid w:val="00CF33AB"/>
    <w:rsid w:val="00CF36DA"/>
    <w:rsid w:val="00CF3771"/>
    <w:rsid w:val="00CF3781"/>
    <w:rsid w:val="00CF37E8"/>
    <w:rsid w:val="00CF3957"/>
    <w:rsid w:val="00CF39BC"/>
    <w:rsid w:val="00CF3B80"/>
    <w:rsid w:val="00CF3BA2"/>
    <w:rsid w:val="00CF3C49"/>
    <w:rsid w:val="00CF3F10"/>
    <w:rsid w:val="00CF3F1B"/>
    <w:rsid w:val="00CF3F25"/>
    <w:rsid w:val="00CF3F6C"/>
    <w:rsid w:val="00CF3F72"/>
    <w:rsid w:val="00CF403C"/>
    <w:rsid w:val="00CF443D"/>
    <w:rsid w:val="00CF45E0"/>
    <w:rsid w:val="00CF46E2"/>
    <w:rsid w:val="00CF46E6"/>
    <w:rsid w:val="00CF477F"/>
    <w:rsid w:val="00CF47BA"/>
    <w:rsid w:val="00CF4920"/>
    <w:rsid w:val="00CF49E4"/>
    <w:rsid w:val="00CF4A4C"/>
    <w:rsid w:val="00CF4A5C"/>
    <w:rsid w:val="00CF4B71"/>
    <w:rsid w:val="00CF4B9C"/>
    <w:rsid w:val="00CF4E7D"/>
    <w:rsid w:val="00CF4EF2"/>
    <w:rsid w:val="00CF4F2A"/>
    <w:rsid w:val="00CF4F2C"/>
    <w:rsid w:val="00CF51A9"/>
    <w:rsid w:val="00CF51C7"/>
    <w:rsid w:val="00CF526B"/>
    <w:rsid w:val="00CF5403"/>
    <w:rsid w:val="00CF5576"/>
    <w:rsid w:val="00CF57AB"/>
    <w:rsid w:val="00CF5841"/>
    <w:rsid w:val="00CF595E"/>
    <w:rsid w:val="00CF5AC6"/>
    <w:rsid w:val="00CF5C52"/>
    <w:rsid w:val="00CF5D50"/>
    <w:rsid w:val="00CF61E2"/>
    <w:rsid w:val="00CF6340"/>
    <w:rsid w:val="00CF636F"/>
    <w:rsid w:val="00CF63AD"/>
    <w:rsid w:val="00CF64DE"/>
    <w:rsid w:val="00CF66D9"/>
    <w:rsid w:val="00CF67C2"/>
    <w:rsid w:val="00CF6862"/>
    <w:rsid w:val="00CF68AB"/>
    <w:rsid w:val="00CF6935"/>
    <w:rsid w:val="00CF6A68"/>
    <w:rsid w:val="00CF6B46"/>
    <w:rsid w:val="00CF6B67"/>
    <w:rsid w:val="00CF6D39"/>
    <w:rsid w:val="00CF6EA8"/>
    <w:rsid w:val="00CF6FA5"/>
    <w:rsid w:val="00CF7073"/>
    <w:rsid w:val="00CF70B7"/>
    <w:rsid w:val="00CF71E8"/>
    <w:rsid w:val="00CF73D0"/>
    <w:rsid w:val="00CF74F6"/>
    <w:rsid w:val="00CF7627"/>
    <w:rsid w:val="00CF763B"/>
    <w:rsid w:val="00CF7771"/>
    <w:rsid w:val="00CF78D9"/>
    <w:rsid w:val="00CF7A05"/>
    <w:rsid w:val="00CF7B32"/>
    <w:rsid w:val="00CF7D16"/>
    <w:rsid w:val="00CF7D3D"/>
    <w:rsid w:val="00CF7E29"/>
    <w:rsid w:val="00CF7FB1"/>
    <w:rsid w:val="00D000B8"/>
    <w:rsid w:val="00D00122"/>
    <w:rsid w:val="00D00205"/>
    <w:rsid w:val="00D00261"/>
    <w:rsid w:val="00D00295"/>
    <w:rsid w:val="00D00297"/>
    <w:rsid w:val="00D0034E"/>
    <w:rsid w:val="00D0039E"/>
    <w:rsid w:val="00D003CC"/>
    <w:rsid w:val="00D00745"/>
    <w:rsid w:val="00D00752"/>
    <w:rsid w:val="00D00937"/>
    <w:rsid w:val="00D00AE3"/>
    <w:rsid w:val="00D00B71"/>
    <w:rsid w:val="00D00C18"/>
    <w:rsid w:val="00D00C9E"/>
    <w:rsid w:val="00D00F05"/>
    <w:rsid w:val="00D00F5D"/>
    <w:rsid w:val="00D00FE8"/>
    <w:rsid w:val="00D01011"/>
    <w:rsid w:val="00D01149"/>
    <w:rsid w:val="00D01174"/>
    <w:rsid w:val="00D011B8"/>
    <w:rsid w:val="00D011E2"/>
    <w:rsid w:val="00D01235"/>
    <w:rsid w:val="00D012FA"/>
    <w:rsid w:val="00D0131E"/>
    <w:rsid w:val="00D013E7"/>
    <w:rsid w:val="00D01544"/>
    <w:rsid w:val="00D0162C"/>
    <w:rsid w:val="00D0174D"/>
    <w:rsid w:val="00D018C8"/>
    <w:rsid w:val="00D018D6"/>
    <w:rsid w:val="00D01914"/>
    <w:rsid w:val="00D019D9"/>
    <w:rsid w:val="00D01A77"/>
    <w:rsid w:val="00D01CB2"/>
    <w:rsid w:val="00D01CEB"/>
    <w:rsid w:val="00D01D97"/>
    <w:rsid w:val="00D01DB9"/>
    <w:rsid w:val="00D01F62"/>
    <w:rsid w:val="00D02059"/>
    <w:rsid w:val="00D02141"/>
    <w:rsid w:val="00D021AB"/>
    <w:rsid w:val="00D02235"/>
    <w:rsid w:val="00D022C8"/>
    <w:rsid w:val="00D02565"/>
    <w:rsid w:val="00D025AD"/>
    <w:rsid w:val="00D026E2"/>
    <w:rsid w:val="00D02777"/>
    <w:rsid w:val="00D02A9F"/>
    <w:rsid w:val="00D02CC5"/>
    <w:rsid w:val="00D02DE9"/>
    <w:rsid w:val="00D02E25"/>
    <w:rsid w:val="00D02ED7"/>
    <w:rsid w:val="00D02F1A"/>
    <w:rsid w:val="00D02FF7"/>
    <w:rsid w:val="00D030AE"/>
    <w:rsid w:val="00D0315A"/>
    <w:rsid w:val="00D032C9"/>
    <w:rsid w:val="00D03512"/>
    <w:rsid w:val="00D0354B"/>
    <w:rsid w:val="00D03552"/>
    <w:rsid w:val="00D035C2"/>
    <w:rsid w:val="00D035F4"/>
    <w:rsid w:val="00D03717"/>
    <w:rsid w:val="00D0375D"/>
    <w:rsid w:val="00D03791"/>
    <w:rsid w:val="00D0387C"/>
    <w:rsid w:val="00D03901"/>
    <w:rsid w:val="00D0390D"/>
    <w:rsid w:val="00D03940"/>
    <w:rsid w:val="00D03A86"/>
    <w:rsid w:val="00D03CFE"/>
    <w:rsid w:val="00D03E59"/>
    <w:rsid w:val="00D03F3C"/>
    <w:rsid w:val="00D03F60"/>
    <w:rsid w:val="00D041B9"/>
    <w:rsid w:val="00D04484"/>
    <w:rsid w:val="00D0455D"/>
    <w:rsid w:val="00D045AA"/>
    <w:rsid w:val="00D0467E"/>
    <w:rsid w:val="00D04C9D"/>
    <w:rsid w:val="00D04D35"/>
    <w:rsid w:val="00D04DD0"/>
    <w:rsid w:val="00D04E19"/>
    <w:rsid w:val="00D04E83"/>
    <w:rsid w:val="00D04F84"/>
    <w:rsid w:val="00D05022"/>
    <w:rsid w:val="00D05094"/>
    <w:rsid w:val="00D05138"/>
    <w:rsid w:val="00D05273"/>
    <w:rsid w:val="00D053C8"/>
    <w:rsid w:val="00D0555E"/>
    <w:rsid w:val="00D055F1"/>
    <w:rsid w:val="00D0577B"/>
    <w:rsid w:val="00D05856"/>
    <w:rsid w:val="00D058ED"/>
    <w:rsid w:val="00D05ADD"/>
    <w:rsid w:val="00D05E0A"/>
    <w:rsid w:val="00D05EFA"/>
    <w:rsid w:val="00D0653D"/>
    <w:rsid w:val="00D06552"/>
    <w:rsid w:val="00D066E4"/>
    <w:rsid w:val="00D0672E"/>
    <w:rsid w:val="00D06F2F"/>
    <w:rsid w:val="00D0710E"/>
    <w:rsid w:val="00D07149"/>
    <w:rsid w:val="00D071BA"/>
    <w:rsid w:val="00D071C7"/>
    <w:rsid w:val="00D07263"/>
    <w:rsid w:val="00D0742D"/>
    <w:rsid w:val="00D074B7"/>
    <w:rsid w:val="00D0784C"/>
    <w:rsid w:val="00D07995"/>
    <w:rsid w:val="00D07CB2"/>
    <w:rsid w:val="00D07EDB"/>
    <w:rsid w:val="00D101EA"/>
    <w:rsid w:val="00D102C4"/>
    <w:rsid w:val="00D1033E"/>
    <w:rsid w:val="00D103D0"/>
    <w:rsid w:val="00D10430"/>
    <w:rsid w:val="00D104A2"/>
    <w:rsid w:val="00D104E5"/>
    <w:rsid w:val="00D10511"/>
    <w:rsid w:val="00D10790"/>
    <w:rsid w:val="00D107BD"/>
    <w:rsid w:val="00D10961"/>
    <w:rsid w:val="00D1098B"/>
    <w:rsid w:val="00D109BB"/>
    <w:rsid w:val="00D10A1C"/>
    <w:rsid w:val="00D10C3A"/>
    <w:rsid w:val="00D10DCB"/>
    <w:rsid w:val="00D10E75"/>
    <w:rsid w:val="00D10EB2"/>
    <w:rsid w:val="00D11031"/>
    <w:rsid w:val="00D11367"/>
    <w:rsid w:val="00D11440"/>
    <w:rsid w:val="00D11448"/>
    <w:rsid w:val="00D1178D"/>
    <w:rsid w:val="00D119A7"/>
    <w:rsid w:val="00D11C15"/>
    <w:rsid w:val="00D11C48"/>
    <w:rsid w:val="00D11D51"/>
    <w:rsid w:val="00D11F2D"/>
    <w:rsid w:val="00D1203D"/>
    <w:rsid w:val="00D12046"/>
    <w:rsid w:val="00D1215F"/>
    <w:rsid w:val="00D12198"/>
    <w:rsid w:val="00D12349"/>
    <w:rsid w:val="00D1242A"/>
    <w:rsid w:val="00D12456"/>
    <w:rsid w:val="00D12496"/>
    <w:rsid w:val="00D125BA"/>
    <w:rsid w:val="00D12662"/>
    <w:rsid w:val="00D12751"/>
    <w:rsid w:val="00D1281C"/>
    <w:rsid w:val="00D1284A"/>
    <w:rsid w:val="00D12891"/>
    <w:rsid w:val="00D128A3"/>
    <w:rsid w:val="00D129D3"/>
    <w:rsid w:val="00D12A14"/>
    <w:rsid w:val="00D12CEE"/>
    <w:rsid w:val="00D12D24"/>
    <w:rsid w:val="00D12D2D"/>
    <w:rsid w:val="00D12EA4"/>
    <w:rsid w:val="00D1313B"/>
    <w:rsid w:val="00D1319B"/>
    <w:rsid w:val="00D1339B"/>
    <w:rsid w:val="00D135E5"/>
    <w:rsid w:val="00D1365C"/>
    <w:rsid w:val="00D1380D"/>
    <w:rsid w:val="00D13C31"/>
    <w:rsid w:val="00D13E63"/>
    <w:rsid w:val="00D13F42"/>
    <w:rsid w:val="00D13F53"/>
    <w:rsid w:val="00D13FDC"/>
    <w:rsid w:val="00D1434B"/>
    <w:rsid w:val="00D1438E"/>
    <w:rsid w:val="00D14558"/>
    <w:rsid w:val="00D14663"/>
    <w:rsid w:val="00D14683"/>
    <w:rsid w:val="00D14726"/>
    <w:rsid w:val="00D147EB"/>
    <w:rsid w:val="00D1487A"/>
    <w:rsid w:val="00D14885"/>
    <w:rsid w:val="00D14906"/>
    <w:rsid w:val="00D14A45"/>
    <w:rsid w:val="00D14BC8"/>
    <w:rsid w:val="00D14DCE"/>
    <w:rsid w:val="00D14EB1"/>
    <w:rsid w:val="00D14EC4"/>
    <w:rsid w:val="00D15217"/>
    <w:rsid w:val="00D15271"/>
    <w:rsid w:val="00D15487"/>
    <w:rsid w:val="00D158B8"/>
    <w:rsid w:val="00D158DF"/>
    <w:rsid w:val="00D15900"/>
    <w:rsid w:val="00D15BC9"/>
    <w:rsid w:val="00D15C17"/>
    <w:rsid w:val="00D15C27"/>
    <w:rsid w:val="00D15F1C"/>
    <w:rsid w:val="00D15F21"/>
    <w:rsid w:val="00D15F74"/>
    <w:rsid w:val="00D160D2"/>
    <w:rsid w:val="00D161AD"/>
    <w:rsid w:val="00D16315"/>
    <w:rsid w:val="00D16423"/>
    <w:rsid w:val="00D16466"/>
    <w:rsid w:val="00D164F2"/>
    <w:rsid w:val="00D165ED"/>
    <w:rsid w:val="00D16708"/>
    <w:rsid w:val="00D16726"/>
    <w:rsid w:val="00D1673F"/>
    <w:rsid w:val="00D1683E"/>
    <w:rsid w:val="00D168B6"/>
    <w:rsid w:val="00D16A76"/>
    <w:rsid w:val="00D16A77"/>
    <w:rsid w:val="00D16BEB"/>
    <w:rsid w:val="00D16D18"/>
    <w:rsid w:val="00D16DE0"/>
    <w:rsid w:val="00D16FE2"/>
    <w:rsid w:val="00D17028"/>
    <w:rsid w:val="00D1724B"/>
    <w:rsid w:val="00D17315"/>
    <w:rsid w:val="00D17331"/>
    <w:rsid w:val="00D17402"/>
    <w:rsid w:val="00D17648"/>
    <w:rsid w:val="00D1771E"/>
    <w:rsid w:val="00D179FB"/>
    <w:rsid w:val="00D17A0D"/>
    <w:rsid w:val="00D17A10"/>
    <w:rsid w:val="00D17B7E"/>
    <w:rsid w:val="00D17CFF"/>
    <w:rsid w:val="00D17EAE"/>
    <w:rsid w:val="00D17FEE"/>
    <w:rsid w:val="00D200D8"/>
    <w:rsid w:val="00D20149"/>
    <w:rsid w:val="00D201EC"/>
    <w:rsid w:val="00D2051B"/>
    <w:rsid w:val="00D2059F"/>
    <w:rsid w:val="00D20664"/>
    <w:rsid w:val="00D2070F"/>
    <w:rsid w:val="00D20B4F"/>
    <w:rsid w:val="00D20BD2"/>
    <w:rsid w:val="00D20C6E"/>
    <w:rsid w:val="00D20DE5"/>
    <w:rsid w:val="00D20F5B"/>
    <w:rsid w:val="00D20FD1"/>
    <w:rsid w:val="00D2102F"/>
    <w:rsid w:val="00D210BE"/>
    <w:rsid w:val="00D215BD"/>
    <w:rsid w:val="00D2160E"/>
    <w:rsid w:val="00D218CE"/>
    <w:rsid w:val="00D219A8"/>
    <w:rsid w:val="00D219ED"/>
    <w:rsid w:val="00D219F6"/>
    <w:rsid w:val="00D21C80"/>
    <w:rsid w:val="00D21C9A"/>
    <w:rsid w:val="00D21DD8"/>
    <w:rsid w:val="00D2222A"/>
    <w:rsid w:val="00D22264"/>
    <w:rsid w:val="00D22278"/>
    <w:rsid w:val="00D222B8"/>
    <w:rsid w:val="00D22341"/>
    <w:rsid w:val="00D22410"/>
    <w:rsid w:val="00D22452"/>
    <w:rsid w:val="00D22457"/>
    <w:rsid w:val="00D224AF"/>
    <w:rsid w:val="00D224E4"/>
    <w:rsid w:val="00D22568"/>
    <w:rsid w:val="00D22622"/>
    <w:rsid w:val="00D22665"/>
    <w:rsid w:val="00D22804"/>
    <w:rsid w:val="00D22984"/>
    <w:rsid w:val="00D22C01"/>
    <w:rsid w:val="00D22E2D"/>
    <w:rsid w:val="00D23082"/>
    <w:rsid w:val="00D230C7"/>
    <w:rsid w:val="00D23162"/>
    <w:rsid w:val="00D2317F"/>
    <w:rsid w:val="00D231E7"/>
    <w:rsid w:val="00D23381"/>
    <w:rsid w:val="00D234FA"/>
    <w:rsid w:val="00D23555"/>
    <w:rsid w:val="00D236B4"/>
    <w:rsid w:val="00D236E3"/>
    <w:rsid w:val="00D23737"/>
    <w:rsid w:val="00D2381B"/>
    <w:rsid w:val="00D238B0"/>
    <w:rsid w:val="00D239EB"/>
    <w:rsid w:val="00D23C17"/>
    <w:rsid w:val="00D23D66"/>
    <w:rsid w:val="00D23D76"/>
    <w:rsid w:val="00D23EE9"/>
    <w:rsid w:val="00D23F57"/>
    <w:rsid w:val="00D2406E"/>
    <w:rsid w:val="00D240CE"/>
    <w:rsid w:val="00D2422A"/>
    <w:rsid w:val="00D245D9"/>
    <w:rsid w:val="00D2465B"/>
    <w:rsid w:val="00D24676"/>
    <w:rsid w:val="00D2470F"/>
    <w:rsid w:val="00D247E7"/>
    <w:rsid w:val="00D24898"/>
    <w:rsid w:val="00D24C81"/>
    <w:rsid w:val="00D24D19"/>
    <w:rsid w:val="00D24DA5"/>
    <w:rsid w:val="00D24F11"/>
    <w:rsid w:val="00D25029"/>
    <w:rsid w:val="00D25069"/>
    <w:rsid w:val="00D25095"/>
    <w:rsid w:val="00D252ED"/>
    <w:rsid w:val="00D25363"/>
    <w:rsid w:val="00D2536D"/>
    <w:rsid w:val="00D2551A"/>
    <w:rsid w:val="00D2557A"/>
    <w:rsid w:val="00D25601"/>
    <w:rsid w:val="00D25771"/>
    <w:rsid w:val="00D257CE"/>
    <w:rsid w:val="00D2584D"/>
    <w:rsid w:val="00D258DD"/>
    <w:rsid w:val="00D25909"/>
    <w:rsid w:val="00D25953"/>
    <w:rsid w:val="00D25A08"/>
    <w:rsid w:val="00D25D22"/>
    <w:rsid w:val="00D25DD3"/>
    <w:rsid w:val="00D25ED0"/>
    <w:rsid w:val="00D260FE"/>
    <w:rsid w:val="00D2618F"/>
    <w:rsid w:val="00D2640F"/>
    <w:rsid w:val="00D2643B"/>
    <w:rsid w:val="00D264B2"/>
    <w:rsid w:val="00D26515"/>
    <w:rsid w:val="00D26864"/>
    <w:rsid w:val="00D268DE"/>
    <w:rsid w:val="00D26979"/>
    <w:rsid w:val="00D26984"/>
    <w:rsid w:val="00D26C3E"/>
    <w:rsid w:val="00D26C79"/>
    <w:rsid w:val="00D26DD0"/>
    <w:rsid w:val="00D26ED6"/>
    <w:rsid w:val="00D26ED8"/>
    <w:rsid w:val="00D26F1A"/>
    <w:rsid w:val="00D26F27"/>
    <w:rsid w:val="00D26F89"/>
    <w:rsid w:val="00D272E4"/>
    <w:rsid w:val="00D27598"/>
    <w:rsid w:val="00D27704"/>
    <w:rsid w:val="00D27887"/>
    <w:rsid w:val="00D278E2"/>
    <w:rsid w:val="00D278EF"/>
    <w:rsid w:val="00D27A23"/>
    <w:rsid w:val="00D27A75"/>
    <w:rsid w:val="00D27B06"/>
    <w:rsid w:val="00D27C75"/>
    <w:rsid w:val="00D27CDB"/>
    <w:rsid w:val="00D27F08"/>
    <w:rsid w:val="00D301AF"/>
    <w:rsid w:val="00D3032A"/>
    <w:rsid w:val="00D30347"/>
    <w:rsid w:val="00D303CB"/>
    <w:rsid w:val="00D30412"/>
    <w:rsid w:val="00D304BF"/>
    <w:rsid w:val="00D304DA"/>
    <w:rsid w:val="00D306A8"/>
    <w:rsid w:val="00D306BD"/>
    <w:rsid w:val="00D307F0"/>
    <w:rsid w:val="00D30941"/>
    <w:rsid w:val="00D30A2C"/>
    <w:rsid w:val="00D30A6E"/>
    <w:rsid w:val="00D30A8B"/>
    <w:rsid w:val="00D30AD1"/>
    <w:rsid w:val="00D30AD4"/>
    <w:rsid w:val="00D30D5F"/>
    <w:rsid w:val="00D30F66"/>
    <w:rsid w:val="00D31108"/>
    <w:rsid w:val="00D3116E"/>
    <w:rsid w:val="00D311B0"/>
    <w:rsid w:val="00D31375"/>
    <w:rsid w:val="00D31452"/>
    <w:rsid w:val="00D3173E"/>
    <w:rsid w:val="00D317D3"/>
    <w:rsid w:val="00D31B79"/>
    <w:rsid w:val="00D31E11"/>
    <w:rsid w:val="00D31EF3"/>
    <w:rsid w:val="00D31F1E"/>
    <w:rsid w:val="00D31F2C"/>
    <w:rsid w:val="00D32110"/>
    <w:rsid w:val="00D32353"/>
    <w:rsid w:val="00D323A4"/>
    <w:rsid w:val="00D32458"/>
    <w:rsid w:val="00D32683"/>
    <w:rsid w:val="00D32696"/>
    <w:rsid w:val="00D329D7"/>
    <w:rsid w:val="00D32CA0"/>
    <w:rsid w:val="00D32DDB"/>
    <w:rsid w:val="00D32E66"/>
    <w:rsid w:val="00D32E6C"/>
    <w:rsid w:val="00D3302B"/>
    <w:rsid w:val="00D330B8"/>
    <w:rsid w:val="00D3322A"/>
    <w:rsid w:val="00D332D2"/>
    <w:rsid w:val="00D33388"/>
    <w:rsid w:val="00D33474"/>
    <w:rsid w:val="00D335DA"/>
    <w:rsid w:val="00D33783"/>
    <w:rsid w:val="00D33785"/>
    <w:rsid w:val="00D33786"/>
    <w:rsid w:val="00D33792"/>
    <w:rsid w:val="00D337A9"/>
    <w:rsid w:val="00D3387C"/>
    <w:rsid w:val="00D3399C"/>
    <w:rsid w:val="00D33B1F"/>
    <w:rsid w:val="00D33CB2"/>
    <w:rsid w:val="00D33CC8"/>
    <w:rsid w:val="00D33D76"/>
    <w:rsid w:val="00D33E7C"/>
    <w:rsid w:val="00D34014"/>
    <w:rsid w:val="00D340BA"/>
    <w:rsid w:val="00D340C5"/>
    <w:rsid w:val="00D34214"/>
    <w:rsid w:val="00D342F2"/>
    <w:rsid w:val="00D34305"/>
    <w:rsid w:val="00D3441F"/>
    <w:rsid w:val="00D348C7"/>
    <w:rsid w:val="00D349BA"/>
    <w:rsid w:val="00D34A8D"/>
    <w:rsid w:val="00D34C2F"/>
    <w:rsid w:val="00D34D17"/>
    <w:rsid w:val="00D34E2B"/>
    <w:rsid w:val="00D34E3E"/>
    <w:rsid w:val="00D34ECC"/>
    <w:rsid w:val="00D34F9E"/>
    <w:rsid w:val="00D35455"/>
    <w:rsid w:val="00D355B2"/>
    <w:rsid w:val="00D35840"/>
    <w:rsid w:val="00D35B6C"/>
    <w:rsid w:val="00D35DD5"/>
    <w:rsid w:val="00D35E16"/>
    <w:rsid w:val="00D3613D"/>
    <w:rsid w:val="00D36142"/>
    <w:rsid w:val="00D3634F"/>
    <w:rsid w:val="00D365F5"/>
    <w:rsid w:val="00D366D4"/>
    <w:rsid w:val="00D3685A"/>
    <w:rsid w:val="00D368D1"/>
    <w:rsid w:val="00D36941"/>
    <w:rsid w:val="00D36A31"/>
    <w:rsid w:val="00D36A55"/>
    <w:rsid w:val="00D36B1D"/>
    <w:rsid w:val="00D36B4A"/>
    <w:rsid w:val="00D36D49"/>
    <w:rsid w:val="00D36E2B"/>
    <w:rsid w:val="00D36EB3"/>
    <w:rsid w:val="00D36F20"/>
    <w:rsid w:val="00D370F1"/>
    <w:rsid w:val="00D3710A"/>
    <w:rsid w:val="00D371BE"/>
    <w:rsid w:val="00D37397"/>
    <w:rsid w:val="00D375C8"/>
    <w:rsid w:val="00D3767F"/>
    <w:rsid w:val="00D376E3"/>
    <w:rsid w:val="00D37750"/>
    <w:rsid w:val="00D37930"/>
    <w:rsid w:val="00D3796B"/>
    <w:rsid w:val="00D37A10"/>
    <w:rsid w:val="00D37A52"/>
    <w:rsid w:val="00D37A95"/>
    <w:rsid w:val="00D37ADE"/>
    <w:rsid w:val="00D37C46"/>
    <w:rsid w:val="00D37CB7"/>
    <w:rsid w:val="00D37F2F"/>
    <w:rsid w:val="00D40052"/>
    <w:rsid w:val="00D40106"/>
    <w:rsid w:val="00D40308"/>
    <w:rsid w:val="00D403AF"/>
    <w:rsid w:val="00D40408"/>
    <w:rsid w:val="00D40577"/>
    <w:rsid w:val="00D40590"/>
    <w:rsid w:val="00D40784"/>
    <w:rsid w:val="00D409BB"/>
    <w:rsid w:val="00D40AC2"/>
    <w:rsid w:val="00D40D38"/>
    <w:rsid w:val="00D40D53"/>
    <w:rsid w:val="00D40D98"/>
    <w:rsid w:val="00D40E38"/>
    <w:rsid w:val="00D40F82"/>
    <w:rsid w:val="00D4103D"/>
    <w:rsid w:val="00D41132"/>
    <w:rsid w:val="00D411B5"/>
    <w:rsid w:val="00D41262"/>
    <w:rsid w:val="00D41292"/>
    <w:rsid w:val="00D41385"/>
    <w:rsid w:val="00D415C2"/>
    <w:rsid w:val="00D416B6"/>
    <w:rsid w:val="00D416C1"/>
    <w:rsid w:val="00D417FE"/>
    <w:rsid w:val="00D41805"/>
    <w:rsid w:val="00D41A1D"/>
    <w:rsid w:val="00D41A63"/>
    <w:rsid w:val="00D41A92"/>
    <w:rsid w:val="00D41A98"/>
    <w:rsid w:val="00D41B67"/>
    <w:rsid w:val="00D41BE6"/>
    <w:rsid w:val="00D41FA6"/>
    <w:rsid w:val="00D41FCE"/>
    <w:rsid w:val="00D4206F"/>
    <w:rsid w:val="00D42491"/>
    <w:rsid w:val="00D4256A"/>
    <w:rsid w:val="00D4289F"/>
    <w:rsid w:val="00D42955"/>
    <w:rsid w:val="00D42995"/>
    <w:rsid w:val="00D42A3F"/>
    <w:rsid w:val="00D42AA1"/>
    <w:rsid w:val="00D42C49"/>
    <w:rsid w:val="00D43092"/>
    <w:rsid w:val="00D4313C"/>
    <w:rsid w:val="00D43265"/>
    <w:rsid w:val="00D434A0"/>
    <w:rsid w:val="00D434EE"/>
    <w:rsid w:val="00D4387F"/>
    <w:rsid w:val="00D438A4"/>
    <w:rsid w:val="00D438F2"/>
    <w:rsid w:val="00D4396B"/>
    <w:rsid w:val="00D43A94"/>
    <w:rsid w:val="00D43AD4"/>
    <w:rsid w:val="00D43BD8"/>
    <w:rsid w:val="00D43E5A"/>
    <w:rsid w:val="00D43F0A"/>
    <w:rsid w:val="00D43FA5"/>
    <w:rsid w:val="00D44081"/>
    <w:rsid w:val="00D4413B"/>
    <w:rsid w:val="00D4427D"/>
    <w:rsid w:val="00D442FD"/>
    <w:rsid w:val="00D44426"/>
    <w:rsid w:val="00D445EC"/>
    <w:rsid w:val="00D44690"/>
    <w:rsid w:val="00D44787"/>
    <w:rsid w:val="00D449B7"/>
    <w:rsid w:val="00D44BA5"/>
    <w:rsid w:val="00D44BF3"/>
    <w:rsid w:val="00D44D86"/>
    <w:rsid w:val="00D44DF9"/>
    <w:rsid w:val="00D44E86"/>
    <w:rsid w:val="00D44F87"/>
    <w:rsid w:val="00D45226"/>
    <w:rsid w:val="00D452ED"/>
    <w:rsid w:val="00D45329"/>
    <w:rsid w:val="00D453FE"/>
    <w:rsid w:val="00D45408"/>
    <w:rsid w:val="00D45541"/>
    <w:rsid w:val="00D456F5"/>
    <w:rsid w:val="00D457BF"/>
    <w:rsid w:val="00D4597E"/>
    <w:rsid w:val="00D45983"/>
    <w:rsid w:val="00D45A45"/>
    <w:rsid w:val="00D45A65"/>
    <w:rsid w:val="00D45A98"/>
    <w:rsid w:val="00D45AED"/>
    <w:rsid w:val="00D45AF1"/>
    <w:rsid w:val="00D45B3E"/>
    <w:rsid w:val="00D45BCD"/>
    <w:rsid w:val="00D45BE8"/>
    <w:rsid w:val="00D45C94"/>
    <w:rsid w:val="00D45D22"/>
    <w:rsid w:val="00D45E65"/>
    <w:rsid w:val="00D45E88"/>
    <w:rsid w:val="00D46085"/>
    <w:rsid w:val="00D461EA"/>
    <w:rsid w:val="00D46281"/>
    <w:rsid w:val="00D46324"/>
    <w:rsid w:val="00D4636B"/>
    <w:rsid w:val="00D46440"/>
    <w:rsid w:val="00D4648D"/>
    <w:rsid w:val="00D466E3"/>
    <w:rsid w:val="00D467DB"/>
    <w:rsid w:val="00D46852"/>
    <w:rsid w:val="00D46951"/>
    <w:rsid w:val="00D46CC9"/>
    <w:rsid w:val="00D46DC8"/>
    <w:rsid w:val="00D46E9E"/>
    <w:rsid w:val="00D46EEA"/>
    <w:rsid w:val="00D46F7E"/>
    <w:rsid w:val="00D47093"/>
    <w:rsid w:val="00D47194"/>
    <w:rsid w:val="00D4719A"/>
    <w:rsid w:val="00D4727A"/>
    <w:rsid w:val="00D47309"/>
    <w:rsid w:val="00D473BC"/>
    <w:rsid w:val="00D474EE"/>
    <w:rsid w:val="00D4750E"/>
    <w:rsid w:val="00D47518"/>
    <w:rsid w:val="00D478E2"/>
    <w:rsid w:val="00D47EB2"/>
    <w:rsid w:val="00D47EED"/>
    <w:rsid w:val="00D50390"/>
    <w:rsid w:val="00D504D3"/>
    <w:rsid w:val="00D5053A"/>
    <w:rsid w:val="00D50670"/>
    <w:rsid w:val="00D506A5"/>
    <w:rsid w:val="00D506F3"/>
    <w:rsid w:val="00D50802"/>
    <w:rsid w:val="00D5085B"/>
    <w:rsid w:val="00D509FD"/>
    <w:rsid w:val="00D50A36"/>
    <w:rsid w:val="00D50D71"/>
    <w:rsid w:val="00D50DB4"/>
    <w:rsid w:val="00D50E36"/>
    <w:rsid w:val="00D50ED4"/>
    <w:rsid w:val="00D51285"/>
    <w:rsid w:val="00D515B6"/>
    <w:rsid w:val="00D51607"/>
    <w:rsid w:val="00D51642"/>
    <w:rsid w:val="00D517F9"/>
    <w:rsid w:val="00D51881"/>
    <w:rsid w:val="00D51898"/>
    <w:rsid w:val="00D51977"/>
    <w:rsid w:val="00D520AF"/>
    <w:rsid w:val="00D5215C"/>
    <w:rsid w:val="00D52296"/>
    <w:rsid w:val="00D522FE"/>
    <w:rsid w:val="00D523BA"/>
    <w:rsid w:val="00D52457"/>
    <w:rsid w:val="00D526A9"/>
    <w:rsid w:val="00D52916"/>
    <w:rsid w:val="00D52A19"/>
    <w:rsid w:val="00D52B1A"/>
    <w:rsid w:val="00D52B9E"/>
    <w:rsid w:val="00D52D30"/>
    <w:rsid w:val="00D52FA4"/>
    <w:rsid w:val="00D52FC4"/>
    <w:rsid w:val="00D53104"/>
    <w:rsid w:val="00D5313D"/>
    <w:rsid w:val="00D53189"/>
    <w:rsid w:val="00D531B1"/>
    <w:rsid w:val="00D532B9"/>
    <w:rsid w:val="00D53311"/>
    <w:rsid w:val="00D534AD"/>
    <w:rsid w:val="00D5350E"/>
    <w:rsid w:val="00D536A6"/>
    <w:rsid w:val="00D53887"/>
    <w:rsid w:val="00D538DB"/>
    <w:rsid w:val="00D539E8"/>
    <w:rsid w:val="00D53DA5"/>
    <w:rsid w:val="00D53DCF"/>
    <w:rsid w:val="00D53E8C"/>
    <w:rsid w:val="00D53EE1"/>
    <w:rsid w:val="00D53F70"/>
    <w:rsid w:val="00D53FCF"/>
    <w:rsid w:val="00D5402F"/>
    <w:rsid w:val="00D541A6"/>
    <w:rsid w:val="00D54207"/>
    <w:rsid w:val="00D54230"/>
    <w:rsid w:val="00D54517"/>
    <w:rsid w:val="00D5494E"/>
    <w:rsid w:val="00D54A57"/>
    <w:rsid w:val="00D54AB2"/>
    <w:rsid w:val="00D54ACB"/>
    <w:rsid w:val="00D54B73"/>
    <w:rsid w:val="00D54CC2"/>
    <w:rsid w:val="00D54D50"/>
    <w:rsid w:val="00D54DBA"/>
    <w:rsid w:val="00D54F66"/>
    <w:rsid w:val="00D54F9C"/>
    <w:rsid w:val="00D55360"/>
    <w:rsid w:val="00D5546B"/>
    <w:rsid w:val="00D554D5"/>
    <w:rsid w:val="00D554FF"/>
    <w:rsid w:val="00D55584"/>
    <w:rsid w:val="00D55669"/>
    <w:rsid w:val="00D5566C"/>
    <w:rsid w:val="00D5575C"/>
    <w:rsid w:val="00D557E6"/>
    <w:rsid w:val="00D5587D"/>
    <w:rsid w:val="00D55B04"/>
    <w:rsid w:val="00D55B7F"/>
    <w:rsid w:val="00D55D13"/>
    <w:rsid w:val="00D55E78"/>
    <w:rsid w:val="00D55FA4"/>
    <w:rsid w:val="00D55FB1"/>
    <w:rsid w:val="00D55FBE"/>
    <w:rsid w:val="00D560BE"/>
    <w:rsid w:val="00D56115"/>
    <w:rsid w:val="00D5678E"/>
    <w:rsid w:val="00D567A0"/>
    <w:rsid w:val="00D56883"/>
    <w:rsid w:val="00D568FD"/>
    <w:rsid w:val="00D569CC"/>
    <w:rsid w:val="00D56A02"/>
    <w:rsid w:val="00D56A41"/>
    <w:rsid w:val="00D56B00"/>
    <w:rsid w:val="00D56FB3"/>
    <w:rsid w:val="00D57061"/>
    <w:rsid w:val="00D5712A"/>
    <w:rsid w:val="00D57140"/>
    <w:rsid w:val="00D57284"/>
    <w:rsid w:val="00D57402"/>
    <w:rsid w:val="00D5745A"/>
    <w:rsid w:val="00D57487"/>
    <w:rsid w:val="00D57531"/>
    <w:rsid w:val="00D5753F"/>
    <w:rsid w:val="00D57879"/>
    <w:rsid w:val="00D5790D"/>
    <w:rsid w:val="00D57942"/>
    <w:rsid w:val="00D57AC3"/>
    <w:rsid w:val="00D57BF7"/>
    <w:rsid w:val="00D57C09"/>
    <w:rsid w:val="00D57C0D"/>
    <w:rsid w:val="00D57E0E"/>
    <w:rsid w:val="00D57E77"/>
    <w:rsid w:val="00D57ECF"/>
    <w:rsid w:val="00D60007"/>
    <w:rsid w:val="00D6001C"/>
    <w:rsid w:val="00D600B4"/>
    <w:rsid w:val="00D600D0"/>
    <w:rsid w:val="00D600E0"/>
    <w:rsid w:val="00D60133"/>
    <w:rsid w:val="00D601AD"/>
    <w:rsid w:val="00D6022E"/>
    <w:rsid w:val="00D602E5"/>
    <w:rsid w:val="00D60349"/>
    <w:rsid w:val="00D603F2"/>
    <w:rsid w:val="00D60576"/>
    <w:rsid w:val="00D605D4"/>
    <w:rsid w:val="00D605F9"/>
    <w:rsid w:val="00D60702"/>
    <w:rsid w:val="00D607C4"/>
    <w:rsid w:val="00D607E4"/>
    <w:rsid w:val="00D60917"/>
    <w:rsid w:val="00D60C52"/>
    <w:rsid w:val="00D60D1A"/>
    <w:rsid w:val="00D60D39"/>
    <w:rsid w:val="00D60E9C"/>
    <w:rsid w:val="00D61012"/>
    <w:rsid w:val="00D610C1"/>
    <w:rsid w:val="00D611D3"/>
    <w:rsid w:val="00D611EF"/>
    <w:rsid w:val="00D612BC"/>
    <w:rsid w:val="00D6132A"/>
    <w:rsid w:val="00D61952"/>
    <w:rsid w:val="00D61984"/>
    <w:rsid w:val="00D619F7"/>
    <w:rsid w:val="00D61A35"/>
    <w:rsid w:val="00D61A6F"/>
    <w:rsid w:val="00D61C55"/>
    <w:rsid w:val="00D61CCD"/>
    <w:rsid w:val="00D61E19"/>
    <w:rsid w:val="00D61E82"/>
    <w:rsid w:val="00D620A9"/>
    <w:rsid w:val="00D620B6"/>
    <w:rsid w:val="00D62122"/>
    <w:rsid w:val="00D622AA"/>
    <w:rsid w:val="00D62476"/>
    <w:rsid w:val="00D62521"/>
    <w:rsid w:val="00D62533"/>
    <w:rsid w:val="00D627A8"/>
    <w:rsid w:val="00D627C2"/>
    <w:rsid w:val="00D627F1"/>
    <w:rsid w:val="00D627F9"/>
    <w:rsid w:val="00D6284E"/>
    <w:rsid w:val="00D629DD"/>
    <w:rsid w:val="00D62B7A"/>
    <w:rsid w:val="00D62BEA"/>
    <w:rsid w:val="00D62D7C"/>
    <w:rsid w:val="00D62D86"/>
    <w:rsid w:val="00D62F41"/>
    <w:rsid w:val="00D62FB3"/>
    <w:rsid w:val="00D63136"/>
    <w:rsid w:val="00D6321C"/>
    <w:rsid w:val="00D6331F"/>
    <w:rsid w:val="00D6354A"/>
    <w:rsid w:val="00D63685"/>
    <w:rsid w:val="00D63693"/>
    <w:rsid w:val="00D636C2"/>
    <w:rsid w:val="00D637A2"/>
    <w:rsid w:val="00D637C5"/>
    <w:rsid w:val="00D63801"/>
    <w:rsid w:val="00D638B2"/>
    <w:rsid w:val="00D6397D"/>
    <w:rsid w:val="00D63A62"/>
    <w:rsid w:val="00D63AC2"/>
    <w:rsid w:val="00D63C0E"/>
    <w:rsid w:val="00D63C4C"/>
    <w:rsid w:val="00D63CC5"/>
    <w:rsid w:val="00D63D47"/>
    <w:rsid w:val="00D63FAB"/>
    <w:rsid w:val="00D63FC7"/>
    <w:rsid w:val="00D640BF"/>
    <w:rsid w:val="00D641AE"/>
    <w:rsid w:val="00D643DF"/>
    <w:rsid w:val="00D643F6"/>
    <w:rsid w:val="00D644F4"/>
    <w:rsid w:val="00D647E4"/>
    <w:rsid w:val="00D6483A"/>
    <w:rsid w:val="00D648E7"/>
    <w:rsid w:val="00D64BE1"/>
    <w:rsid w:val="00D651ED"/>
    <w:rsid w:val="00D6544D"/>
    <w:rsid w:val="00D6559E"/>
    <w:rsid w:val="00D65723"/>
    <w:rsid w:val="00D65731"/>
    <w:rsid w:val="00D657B9"/>
    <w:rsid w:val="00D65D3C"/>
    <w:rsid w:val="00D65D84"/>
    <w:rsid w:val="00D65E57"/>
    <w:rsid w:val="00D65E66"/>
    <w:rsid w:val="00D66052"/>
    <w:rsid w:val="00D661BD"/>
    <w:rsid w:val="00D6626C"/>
    <w:rsid w:val="00D662F7"/>
    <w:rsid w:val="00D6641E"/>
    <w:rsid w:val="00D66497"/>
    <w:rsid w:val="00D6650E"/>
    <w:rsid w:val="00D6651B"/>
    <w:rsid w:val="00D66618"/>
    <w:rsid w:val="00D66687"/>
    <w:rsid w:val="00D6676A"/>
    <w:rsid w:val="00D667FF"/>
    <w:rsid w:val="00D668A4"/>
    <w:rsid w:val="00D66941"/>
    <w:rsid w:val="00D6698C"/>
    <w:rsid w:val="00D669AD"/>
    <w:rsid w:val="00D669D6"/>
    <w:rsid w:val="00D669FF"/>
    <w:rsid w:val="00D66B44"/>
    <w:rsid w:val="00D66C36"/>
    <w:rsid w:val="00D66D98"/>
    <w:rsid w:val="00D66F17"/>
    <w:rsid w:val="00D671FC"/>
    <w:rsid w:val="00D67276"/>
    <w:rsid w:val="00D67416"/>
    <w:rsid w:val="00D674EB"/>
    <w:rsid w:val="00D674EF"/>
    <w:rsid w:val="00D67620"/>
    <w:rsid w:val="00D6766D"/>
    <w:rsid w:val="00D67748"/>
    <w:rsid w:val="00D67789"/>
    <w:rsid w:val="00D678B6"/>
    <w:rsid w:val="00D67974"/>
    <w:rsid w:val="00D67A4E"/>
    <w:rsid w:val="00D67BB3"/>
    <w:rsid w:val="00D67DF6"/>
    <w:rsid w:val="00D67E49"/>
    <w:rsid w:val="00D67F2E"/>
    <w:rsid w:val="00D67FAC"/>
    <w:rsid w:val="00D702EF"/>
    <w:rsid w:val="00D7048D"/>
    <w:rsid w:val="00D70497"/>
    <w:rsid w:val="00D705EA"/>
    <w:rsid w:val="00D707AB"/>
    <w:rsid w:val="00D70911"/>
    <w:rsid w:val="00D70A40"/>
    <w:rsid w:val="00D70ADA"/>
    <w:rsid w:val="00D70AFB"/>
    <w:rsid w:val="00D70B08"/>
    <w:rsid w:val="00D70B32"/>
    <w:rsid w:val="00D70C18"/>
    <w:rsid w:val="00D70D02"/>
    <w:rsid w:val="00D70DC5"/>
    <w:rsid w:val="00D70E6E"/>
    <w:rsid w:val="00D70EEC"/>
    <w:rsid w:val="00D70F9D"/>
    <w:rsid w:val="00D71079"/>
    <w:rsid w:val="00D71400"/>
    <w:rsid w:val="00D71607"/>
    <w:rsid w:val="00D719EA"/>
    <w:rsid w:val="00D71C72"/>
    <w:rsid w:val="00D71EA4"/>
    <w:rsid w:val="00D7213B"/>
    <w:rsid w:val="00D7215E"/>
    <w:rsid w:val="00D72196"/>
    <w:rsid w:val="00D72348"/>
    <w:rsid w:val="00D72435"/>
    <w:rsid w:val="00D7246B"/>
    <w:rsid w:val="00D725D9"/>
    <w:rsid w:val="00D7266F"/>
    <w:rsid w:val="00D72A0D"/>
    <w:rsid w:val="00D72A95"/>
    <w:rsid w:val="00D72C86"/>
    <w:rsid w:val="00D72FB5"/>
    <w:rsid w:val="00D7306C"/>
    <w:rsid w:val="00D73091"/>
    <w:rsid w:val="00D73299"/>
    <w:rsid w:val="00D734BF"/>
    <w:rsid w:val="00D73540"/>
    <w:rsid w:val="00D735DC"/>
    <w:rsid w:val="00D736A4"/>
    <w:rsid w:val="00D73875"/>
    <w:rsid w:val="00D739FC"/>
    <w:rsid w:val="00D73A5E"/>
    <w:rsid w:val="00D73A64"/>
    <w:rsid w:val="00D73A8C"/>
    <w:rsid w:val="00D73E1F"/>
    <w:rsid w:val="00D73F31"/>
    <w:rsid w:val="00D73FE6"/>
    <w:rsid w:val="00D7402A"/>
    <w:rsid w:val="00D740E7"/>
    <w:rsid w:val="00D742EE"/>
    <w:rsid w:val="00D74361"/>
    <w:rsid w:val="00D743F7"/>
    <w:rsid w:val="00D74645"/>
    <w:rsid w:val="00D749F2"/>
    <w:rsid w:val="00D74B87"/>
    <w:rsid w:val="00D74BD6"/>
    <w:rsid w:val="00D74C56"/>
    <w:rsid w:val="00D74D49"/>
    <w:rsid w:val="00D74D70"/>
    <w:rsid w:val="00D74E17"/>
    <w:rsid w:val="00D74E48"/>
    <w:rsid w:val="00D74EFE"/>
    <w:rsid w:val="00D74FDB"/>
    <w:rsid w:val="00D7502E"/>
    <w:rsid w:val="00D7536B"/>
    <w:rsid w:val="00D754BC"/>
    <w:rsid w:val="00D75554"/>
    <w:rsid w:val="00D75589"/>
    <w:rsid w:val="00D755AB"/>
    <w:rsid w:val="00D75673"/>
    <w:rsid w:val="00D756BD"/>
    <w:rsid w:val="00D75700"/>
    <w:rsid w:val="00D7570F"/>
    <w:rsid w:val="00D75DB3"/>
    <w:rsid w:val="00D75F45"/>
    <w:rsid w:val="00D75FB5"/>
    <w:rsid w:val="00D763A3"/>
    <w:rsid w:val="00D763C3"/>
    <w:rsid w:val="00D76411"/>
    <w:rsid w:val="00D7644D"/>
    <w:rsid w:val="00D7655C"/>
    <w:rsid w:val="00D7657D"/>
    <w:rsid w:val="00D766C1"/>
    <w:rsid w:val="00D7680D"/>
    <w:rsid w:val="00D76833"/>
    <w:rsid w:val="00D768CB"/>
    <w:rsid w:val="00D76A9E"/>
    <w:rsid w:val="00D76B0B"/>
    <w:rsid w:val="00D76B87"/>
    <w:rsid w:val="00D76CF0"/>
    <w:rsid w:val="00D76D4F"/>
    <w:rsid w:val="00D76D97"/>
    <w:rsid w:val="00D76E06"/>
    <w:rsid w:val="00D76E36"/>
    <w:rsid w:val="00D76EA8"/>
    <w:rsid w:val="00D76F08"/>
    <w:rsid w:val="00D77210"/>
    <w:rsid w:val="00D772B1"/>
    <w:rsid w:val="00D7731F"/>
    <w:rsid w:val="00D77530"/>
    <w:rsid w:val="00D7779D"/>
    <w:rsid w:val="00D77809"/>
    <w:rsid w:val="00D779BF"/>
    <w:rsid w:val="00D779EA"/>
    <w:rsid w:val="00D77A48"/>
    <w:rsid w:val="00D77BB9"/>
    <w:rsid w:val="00D77BBF"/>
    <w:rsid w:val="00D77C52"/>
    <w:rsid w:val="00D77EBF"/>
    <w:rsid w:val="00D77FFE"/>
    <w:rsid w:val="00D803A6"/>
    <w:rsid w:val="00D804C8"/>
    <w:rsid w:val="00D805B6"/>
    <w:rsid w:val="00D806C2"/>
    <w:rsid w:val="00D807FC"/>
    <w:rsid w:val="00D80898"/>
    <w:rsid w:val="00D80928"/>
    <w:rsid w:val="00D8098E"/>
    <w:rsid w:val="00D809F2"/>
    <w:rsid w:val="00D80A10"/>
    <w:rsid w:val="00D80D72"/>
    <w:rsid w:val="00D80DC7"/>
    <w:rsid w:val="00D80E09"/>
    <w:rsid w:val="00D810A9"/>
    <w:rsid w:val="00D8111C"/>
    <w:rsid w:val="00D81179"/>
    <w:rsid w:val="00D8119D"/>
    <w:rsid w:val="00D812DC"/>
    <w:rsid w:val="00D81455"/>
    <w:rsid w:val="00D81477"/>
    <w:rsid w:val="00D814EA"/>
    <w:rsid w:val="00D81546"/>
    <w:rsid w:val="00D81577"/>
    <w:rsid w:val="00D81581"/>
    <w:rsid w:val="00D815F0"/>
    <w:rsid w:val="00D817E2"/>
    <w:rsid w:val="00D818FD"/>
    <w:rsid w:val="00D8196F"/>
    <w:rsid w:val="00D819D6"/>
    <w:rsid w:val="00D81B98"/>
    <w:rsid w:val="00D81EE4"/>
    <w:rsid w:val="00D81EE8"/>
    <w:rsid w:val="00D81F06"/>
    <w:rsid w:val="00D81F20"/>
    <w:rsid w:val="00D81F5A"/>
    <w:rsid w:val="00D82008"/>
    <w:rsid w:val="00D826D4"/>
    <w:rsid w:val="00D826F7"/>
    <w:rsid w:val="00D8274A"/>
    <w:rsid w:val="00D82A99"/>
    <w:rsid w:val="00D82BA7"/>
    <w:rsid w:val="00D82BDA"/>
    <w:rsid w:val="00D82C29"/>
    <w:rsid w:val="00D82CE9"/>
    <w:rsid w:val="00D82E38"/>
    <w:rsid w:val="00D82ED8"/>
    <w:rsid w:val="00D82EE2"/>
    <w:rsid w:val="00D82FDF"/>
    <w:rsid w:val="00D8301D"/>
    <w:rsid w:val="00D83035"/>
    <w:rsid w:val="00D83127"/>
    <w:rsid w:val="00D83140"/>
    <w:rsid w:val="00D831F6"/>
    <w:rsid w:val="00D83311"/>
    <w:rsid w:val="00D83545"/>
    <w:rsid w:val="00D83847"/>
    <w:rsid w:val="00D83878"/>
    <w:rsid w:val="00D839B3"/>
    <w:rsid w:val="00D83A98"/>
    <w:rsid w:val="00D83B9C"/>
    <w:rsid w:val="00D83D13"/>
    <w:rsid w:val="00D83EB9"/>
    <w:rsid w:val="00D83FAB"/>
    <w:rsid w:val="00D8415D"/>
    <w:rsid w:val="00D8425D"/>
    <w:rsid w:val="00D842A3"/>
    <w:rsid w:val="00D8431A"/>
    <w:rsid w:val="00D843D6"/>
    <w:rsid w:val="00D84420"/>
    <w:rsid w:val="00D844BD"/>
    <w:rsid w:val="00D84547"/>
    <w:rsid w:val="00D847DA"/>
    <w:rsid w:val="00D848E3"/>
    <w:rsid w:val="00D84901"/>
    <w:rsid w:val="00D84947"/>
    <w:rsid w:val="00D84ABE"/>
    <w:rsid w:val="00D84C50"/>
    <w:rsid w:val="00D84C69"/>
    <w:rsid w:val="00D84C7C"/>
    <w:rsid w:val="00D84D0C"/>
    <w:rsid w:val="00D84DCF"/>
    <w:rsid w:val="00D8504E"/>
    <w:rsid w:val="00D85197"/>
    <w:rsid w:val="00D8519E"/>
    <w:rsid w:val="00D851A4"/>
    <w:rsid w:val="00D85221"/>
    <w:rsid w:val="00D8529F"/>
    <w:rsid w:val="00D852BD"/>
    <w:rsid w:val="00D85658"/>
    <w:rsid w:val="00D857F7"/>
    <w:rsid w:val="00D85CC0"/>
    <w:rsid w:val="00D85EA7"/>
    <w:rsid w:val="00D8616A"/>
    <w:rsid w:val="00D8624D"/>
    <w:rsid w:val="00D863BA"/>
    <w:rsid w:val="00D863FF"/>
    <w:rsid w:val="00D8656C"/>
    <w:rsid w:val="00D8659A"/>
    <w:rsid w:val="00D866FE"/>
    <w:rsid w:val="00D86A15"/>
    <w:rsid w:val="00D86B32"/>
    <w:rsid w:val="00D86DF9"/>
    <w:rsid w:val="00D86E9C"/>
    <w:rsid w:val="00D86F70"/>
    <w:rsid w:val="00D86F90"/>
    <w:rsid w:val="00D87102"/>
    <w:rsid w:val="00D87427"/>
    <w:rsid w:val="00D876A4"/>
    <w:rsid w:val="00D877B3"/>
    <w:rsid w:val="00D87826"/>
    <w:rsid w:val="00D878F2"/>
    <w:rsid w:val="00D8798C"/>
    <w:rsid w:val="00D87A74"/>
    <w:rsid w:val="00D87A95"/>
    <w:rsid w:val="00D87B2A"/>
    <w:rsid w:val="00D87CDE"/>
    <w:rsid w:val="00D87D5D"/>
    <w:rsid w:val="00D87F15"/>
    <w:rsid w:val="00D900AB"/>
    <w:rsid w:val="00D900D3"/>
    <w:rsid w:val="00D90130"/>
    <w:rsid w:val="00D90385"/>
    <w:rsid w:val="00D9059B"/>
    <w:rsid w:val="00D905BE"/>
    <w:rsid w:val="00D90703"/>
    <w:rsid w:val="00D90A27"/>
    <w:rsid w:val="00D90CCD"/>
    <w:rsid w:val="00D90FF1"/>
    <w:rsid w:val="00D9116E"/>
    <w:rsid w:val="00D91376"/>
    <w:rsid w:val="00D913BA"/>
    <w:rsid w:val="00D9148D"/>
    <w:rsid w:val="00D91980"/>
    <w:rsid w:val="00D91B2C"/>
    <w:rsid w:val="00D91D60"/>
    <w:rsid w:val="00D91DB4"/>
    <w:rsid w:val="00D91DC5"/>
    <w:rsid w:val="00D91DE2"/>
    <w:rsid w:val="00D91F6B"/>
    <w:rsid w:val="00D91FD7"/>
    <w:rsid w:val="00D920F1"/>
    <w:rsid w:val="00D92103"/>
    <w:rsid w:val="00D92117"/>
    <w:rsid w:val="00D922A2"/>
    <w:rsid w:val="00D92450"/>
    <w:rsid w:val="00D924C3"/>
    <w:rsid w:val="00D924DB"/>
    <w:rsid w:val="00D92742"/>
    <w:rsid w:val="00D92A41"/>
    <w:rsid w:val="00D92C0C"/>
    <w:rsid w:val="00D92C16"/>
    <w:rsid w:val="00D92EE7"/>
    <w:rsid w:val="00D92F3F"/>
    <w:rsid w:val="00D93361"/>
    <w:rsid w:val="00D935D8"/>
    <w:rsid w:val="00D9372B"/>
    <w:rsid w:val="00D93792"/>
    <w:rsid w:val="00D93998"/>
    <w:rsid w:val="00D93A09"/>
    <w:rsid w:val="00D93B41"/>
    <w:rsid w:val="00D93B66"/>
    <w:rsid w:val="00D93C40"/>
    <w:rsid w:val="00D93CDE"/>
    <w:rsid w:val="00D93CEA"/>
    <w:rsid w:val="00D93D0C"/>
    <w:rsid w:val="00D93DC2"/>
    <w:rsid w:val="00D93F03"/>
    <w:rsid w:val="00D93F6E"/>
    <w:rsid w:val="00D94029"/>
    <w:rsid w:val="00D94074"/>
    <w:rsid w:val="00D94138"/>
    <w:rsid w:val="00D941A3"/>
    <w:rsid w:val="00D94299"/>
    <w:rsid w:val="00D944E3"/>
    <w:rsid w:val="00D9459D"/>
    <w:rsid w:val="00D945EA"/>
    <w:rsid w:val="00D94698"/>
    <w:rsid w:val="00D94920"/>
    <w:rsid w:val="00D94978"/>
    <w:rsid w:val="00D94A31"/>
    <w:rsid w:val="00D94BDC"/>
    <w:rsid w:val="00D94BEF"/>
    <w:rsid w:val="00D94D63"/>
    <w:rsid w:val="00D94F4D"/>
    <w:rsid w:val="00D95153"/>
    <w:rsid w:val="00D95236"/>
    <w:rsid w:val="00D95246"/>
    <w:rsid w:val="00D95255"/>
    <w:rsid w:val="00D95374"/>
    <w:rsid w:val="00D953AA"/>
    <w:rsid w:val="00D953B2"/>
    <w:rsid w:val="00D953FB"/>
    <w:rsid w:val="00D956D9"/>
    <w:rsid w:val="00D9576F"/>
    <w:rsid w:val="00D95837"/>
    <w:rsid w:val="00D9584A"/>
    <w:rsid w:val="00D95A48"/>
    <w:rsid w:val="00D95A8A"/>
    <w:rsid w:val="00D95B37"/>
    <w:rsid w:val="00D95DCC"/>
    <w:rsid w:val="00D960FE"/>
    <w:rsid w:val="00D9621C"/>
    <w:rsid w:val="00D969E2"/>
    <w:rsid w:val="00D96A71"/>
    <w:rsid w:val="00D96B7B"/>
    <w:rsid w:val="00D96C90"/>
    <w:rsid w:val="00D96C9F"/>
    <w:rsid w:val="00D96CDD"/>
    <w:rsid w:val="00D96FAD"/>
    <w:rsid w:val="00D97086"/>
    <w:rsid w:val="00D9708E"/>
    <w:rsid w:val="00D970AA"/>
    <w:rsid w:val="00D970B6"/>
    <w:rsid w:val="00D970EA"/>
    <w:rsid w:val="00D97167"/>
    <w:rsid w:val="00D973C0"/>
    <w:rsid w:val="00D974A2"/>
    <w:rsid w:val="00D974CF"/>
    <w:rsid w:val="00D975B3"/>
    <w:rsid w:val="00D97744"/>
    <w:rsid w:val="00D97769"/>
    <w:rsid w:val="00D97787"/>
    <w:rsid w:val="00D97940"/>
    <w:rsid w:val="00D97954"/>
    <w:rsid w:val="00D97B65"/>
    <w:rsid w:val="00D97B6A"/>
    <w:rsid w:val="00D97C74"/>
    <w:rsid w:val="00D97D11"/>
    <w:rsid w:val="00D97D24"/>
    <w:rsid w:val="00D97EC1"/>
    <w:rsid w:val="00DA0216"/>
    <w:rsid w:val="00DA037C"/>
    <w:rsid w:val="00DA051B"/>
    <w:rsid w:val="00DA070F"/>
    <w:rsid w:val="00DA07C3"/>
    <w:rsid w:val="00DA0B35"/>
    <w:rsid w:val="00DA0C41"/>
    <w:rsid w:val="00DA0C88"/>
    <w:rsid w:val="00DA0F7B"/>
    <w:rsid w:val="00DA0F9D"/>
    <w:rsid w:val="00DA1149"/>
    <w:rsid w:val="00DA1451"/>
    <w:rsid w:val="00DA148F"/>
    <w:rsid w:val="00DA18A3"/>
    <w:rsid w:val="00DA1A48"/>
    <w:rsid w:val="00DA1B6D"/>
    <w:rsid w:val="00DA1BDA"/>
    <w:rsid w:val="00DA1C4D"/>
    <w:rsid w:val="00DA1E04"/>
    <w:rsid w:val="00DA1EB9"/>
    <w:rsid w:val="00DA1F5A"/>
    <w:rsid w:val="00DA1F9F"/>
    <w:rsid w:val="00DA1FB3"/>
    <w:rsid w:val="00DA21AF"/>
    <w:rsid w:val="00DA226B"/>
    <w:rsid w:val="00DA22BE"/>
    <w:rsid w:val="00DA22CE"/>
    <w:rsid w:val="00DA22EC"/>
    <w:rsid w:val="00DA22ED"/>
    <w:rsid w:val="00DA248A"/>
    <w:rsid w:val="00DA248F"/>
    <w:rsid w:val="00DA24A7"/>
    <w:rsid w:val="00DA24AD"/>
    <w:rsid w:val="00DA2530"/>
    <w:rsid w:val="00DA2598"/>
    <w:rsid w:val="00DA25ED"/>
    <w:rsid w:val="00DA27ED"/>
    <w:rsid w:val="00DA2928"/>
    <w:rsid w:val="00DA2A0A"/>
    <w:rsid w:val="00DA2A54"/>
    <w:rsid w:val="00DA2AB3"/>
    <w:rsid w:val="00DA2B46"/>
    <w:rsid w:val="00DA2BB1"/>
    <w:rsid w:val="00DA2CDC"/>
    <w:rsid w:val="00DA2DF2"/>
    <w:rsid w:val="00DA30F7"/>
    <w:rsid w:val="00DA3108"/>
    <w:rsid w:val="00DA3171"/>
    <w:rsid w:val="00DA33FC"/>
    <w:rsid w:val="00DA348B"/>
    <w:rsid w:val="00DA34D0"/>
    <w:rsid w:val="00DA3550"/>
    <w:rsid w:val="00DA35ED"/>
    <w:rsid w:val="00DA38CF"/>
    <w:rsid w:val="00DA3924"/>
    <w:rsid w:val="00DA3AC2"/>
    <w:rsid w:val="00DA3B05"/>
    <w:rsid w:val="00DA3B27"/>
    <w:rsid w:val="00DA3BD7"/>
    <w:rsid w:val="00DA3C62"/>
    <w:rsid w:val="00DA3CDE"/>
    <w:rsid w:val="00DA3EA9"/>
    <w:rsid w:val="00DA3F42"/>
    <w:rsid w:val="00DA3FAE"/>
    <w:rsid w:val="00DA40DE"/>
    <w:rsid w:val="00DA4287"/>
    <w:rsid w:val="00DA46C6"/>
    <w:rsid w:val="00DA4865"/>
    <w:rsid w:val="00DA48C9"/>
    <w:rsid w:val="00DA4936"/>
    <w:rsid w:val="00DA49C4"/>
    <w:rsid w:val="00DA4A2C"/>
    <w:rsid w:val="00DA4A3B"/>
    <w:rsid w:val="00DA4B0D"/>
    <w:rsid w:val="00DA4B57"/>
    <w:rsid w:val="00DA4C42"/>
    <w:rsid w:val="00DA4E22"/>
    <w:rsid w:val="00DA4F3F"/>
    <w:rsid w:val="00DA4F7A"/>
    <w:rsid w:val="00DA4F87"/>
    <w:rsid w:val="00DA4FFE"/>
    <w:rsid w:val="00DA53BD"/>
    <w:rsid w:val="00DA54D3"/>
    <w:rsid w:val="00DA556C"/>
    <w:rsid w:val="00DA560D"/>
    <w:rsid w:val="00DA57F1"/>
    <w:rsid w:val="00DA5860"/>
    <w:rsid w:val="00DA5CE7"/>
    <w:rsid w:val="00DA5F0A"/>
    <w:rsid w:val="00DA5FEE"/>
    <w:rsid w:val="00DA616F"/>
    <w:rsid w:val="00DA62C4"/>
    <w:rsid w:val="00DA6317"/>
    <w:rsid w:val="00DA6763"/>
    <w:rsid w:val="00DA69BE"/>
    <w:rsid w:val="00DA6A64"/>
    <w:rsid w:val="00DA719C"/>
    <w:rsid w:val="00DA719E"/>
    <w:rsid w:val="00DA7260"/>
    <w:rsid w:val="00DA7665"/>
    <w:rsid w:val="00DA7684"/>
    <w:rsid w:val="00DA76C0"/>
    <w:rsid w:val="00DA775D"/>
    <w:rsid w:val="00DA77E7"/>
    <w:rsid w:val="00DA7952"/>
    <w:rsid w:val="00DA7AD6"/>
    <w:rsid w:val="00DA7C5C"/>
    <w:rsid w:val="00DA7CBD"/>
    <w:rsid w:val="00DA7CCD"/>
    <w:rsid w:val="00DA7E2A"/>
    <w:rsid w:val="00DB0099"/>
    <w:rsid w:val="00DB033A"/>
    <w:rsid w:val="00DB03FF"/>
    <w:rsid w:val="00DB04A7"/>
    <w:rsid w:val="00DB04CC"/>
    <w:rsid w:val="00DB04FC"/>
    <w:rsid w:val="00DB051F"/>
    <w:rsid w:val="00DB0641"/>
    <w:rsid w:val="00DB0645"/>
    <w:rsid w:val="00DB08BB"/>
    <w:rsid w:val="00DB08DA"/>
    <w:rsid w:val="00DB09BC"/>
    <w:rsid w:val="00DB0A03"/>
    <w:rsid w:val="00DB0AC5"/>
    <w:rsid w:val="00DB0ACF"/>
    <w:rsid w:val="00DB0B89"/>
    <w:rsid w:val="00DB0BEC"/>
    <w:rsid w:val="00DB0BF6"/>
    <w:rsid w:val="00DB0CEC"/>
    <w:rsid w:val="00DB104D"/>
    <w:rsid w:val="00DB1327"/>
    <w:rsid w:val="00DB13A7"/>
    <w:rsid w:val="00DB13C8"/>
    <w:rsid w:val="00DB159C"/>
    <w:rsid w:val="00DB16FE"/>
    <w:rsid w:val="00DB19A2"/>
    <w:rsid w:val="00DB19E9"/>
    <w:rsid w:val="00DB1A48"/>
    <w:rsid w:val="00DB1A6F"/>
    <w:rsid w:val="00DB1AF1"/>
    <w:rsid w:val="00DB1C4A"/>
    <w:rsid w:val="00DB1F6E"/>
    <w:rsid w:val="00DB1FE0"/>
    <w:rsid w:val="00DB207E"/>
    <w:rsid w:val="00DB20CB"/>
    <w:rsid w:val="00DB2195"/>
    <w:rsid w:val="00DB22BD"/>
    <w:rsid w:val="00DB2370"/>
    <w:rsid w:val="00DB2428"/>
    <w:rsid w:val="00DB24EA"/>
    <w:rsid w:val="00DB25A4"/>
    <w:rsid w:val="00DB25F2"/>
    <w:rsid w:val="00DB2797"/>
    <w:rsid w:val="00DB27AF"/>
    <w:rsid w:val="00DB284C"/>
    <w:rsid w:val="00DB28C9"/>
    <w:rsid w:val="00DB28F5"/>
    <w:rsid w:val="00DB293D"/>
    <w:rsid w:val="00DB2A4C"/>
    <w:rsid w:val="00DB2B3B"/>
    <w:rsid w:val="00DB2B70"/>
    <w:rsid w:val="00DB2D87"/>
    <w:rsid w:val="00DB2EEE"/>
    <w:rsid w:val="00DB2EFA"/>
    <w:rsid w:val="00DB2F86"/>
    <w:rsid w:val="00DB2FB1"/>
    <w:rsid w:val="00DB2FBB"/>
    <w:rsid w:val="00DB2FCE"/>
    <w:rsid w:val="00DB3115"/>
    <w:rsid w:val="00DB312D"/>
    <w:rsid w:val="00DB3392"/>
    <w:rsid w:val="00DB3438"/>
    <w:rsid w:val="00DB349D"/>
    <w:rsid w:val="00DB34C8"/>
    <w:rsid w:val="00DB3707"/>
    <w:rsid w:val="00DB3755"/>
    <w:rsid w:val="00DB37C4"/>
    <w:rsid w:val="00DB386B"/>
    <w:rsid w:val="00DB389B"/>
    <w:rsid w:val="00DB393F"/>
    <w:rsid w:val="00DB3A21"/>
    <w:rsid w:val="00DB3A4C"/>
    <w:rsid w:val="00DB3A6C"/>
    <w:rsid w:val="00DB3B0D"/>
    <w:rsid w:val="00DB3B18"/>
    <w:rsid w:val="00DB3BA0"/>
    <w:rsid w:val="00DB3F37"/>
    <w:rsid w:val="00DB4028"/>
    <w:rsid w:val="00DB40EF"/>
    <w:rsid w:val="00DB4224"/>
    <w:rsid w:val="00DB45AC"/>
    <w:rsid w:val="00DB48A3"/>
    <w:rsid w:val="00DB493C"/>
    <w:rsid w:val="00DB4960"/>
    <w:rsid w:val="00DB4A76"/>
    <w:rsid w:val="00DB4AD6"/>
    <w:rsid w:val="00DB4E9D"/>
    <w:rsid w:val="00DB4FA1"/>
    <w:rsid w:val="00DB51A7"/>
    <w:rsid w:val="00DB52C7"/>
    <w:rsid w:val="00DB52D0"/>
    <w:rsid w:val="00DB558F"/>
    <w:rsid w:val="00DB562A"/>
    <w:rsid w:val="00DB5A5A"/>
    <w:rsid w:val="00DB5ADA"/>
    <w:rsid w:val="00DB5BC0"/>
    <w:rsid w:val="00DB5FC7"/>
    <w:rsid w:val="00DB60C8"/>
    <w:rsid w:val="00DB614E"/>
    <w:rsid w:val="00DB620E"/>
    <w:rsid w:val="00DB636A"/>
    <w:rsid w:val="00DB6534"/>
    <w:rsid w:val="00DB657A"/>
    <w:rsid w:val="00DB67B9"/>
    <w:rsid w:val="00DB69C1"/>
    <w:rsid w:val="00DB6B88"/>
    <w:rsid w:val="00DB6C5A"/>
    <w:rsid w:val="00DB6C8C"/>
    <w:rsid w:val="00DB6D7D"/>
    <w:rsid w:val="00DB6F82"/>
    <w:rsid w:val="00DB701C"/>
    <w:rsid w:val="00DB7026"/>
    <w:rsid w:val="00DB7343"/>
    <w:rsid w:val="00DB7395"/>
    <w:rsid w:val="00DB74FA"/>
    <w:rsid w:val="00DB75E2"/>
    <w:rsid w:val="00DB7750"/>
    <w:rsid w:val="00DB78A7"/>
    <w:rsid w:val="00DB7918"/>
    <w:rsid w:val="00DB797E"/>
    <w:rsid w:val="00DB7A19"/>
    <w:rsid w:val="00DB7DA2"/>
    <w:rsid w:val="00DC0192"/>
    <w:rsid w:val="00DC019B"/>
    <w:rsid w:val="00DC019D"/>
    <w:rsid w:val="00DC062F"/>
    <w:rsid w:val="00DC0651"/>
    <w:rsid w:val="00DC079B"/>
    <w:rsid w:val="00DC08B4"/>
    <w:rsid w:val="00DC0961"/>
    <w:rsid w:val="00DC0A32"/>
    <w:rsid w:val="00DC0CE3"/>
    <w:rsid w:val="00DC0CE9"/>
    <w:rsid w:val="00DC0D35"/>
    <w:rsid w:val="00DC0F61"/>
    <w:rsid w:val="00DC0F75"/>
    <w:rsid w:val="00DC0FFF"/>
    <w:rsid w:val="00DC11B7"/>
    <w:rsid w:val="00DC1202"/>
    <w:rsid w:val="00DC124C"/>
    <w:rsid w:val="00DC130A"/>
    <w:rsid w:val="00DC140F"/>
    <w:rsid w:val="00DC1449"/>
    <w:rsid w:val="00DC1594"/>
    <w:rsid w:val="00DC15AC"/>
    <w:rsid w:val="00DC1867"/>
    <w:rsid w:val="00DC1956"/>
    <w:rsid w:val="00DC19FA"/>
    <w:rsid w:val="00DC1B92"/>
    <w:rsid w:val="00DC1CF6"/>
    <w:rsid w:val="00DC1DA3"/>
    <w:rsid w:val="00DC1DE0"/>
    <w:rsid w:val="00DC1E56"/>
    <w:rsid w:val="00DC1ED0"/>
    <w:rsid w:val="00DC1EDB"/>
    <w:rsid w:val="00DC1F2B"/>
    <w:rsid w:val="00DC2001"/>
    <w:rsid w:val="00DC2043"/>
    <w:rsid w:val="00DC21AC"/>
    <w:rsid w:val="00DC2205"/>
    <w:rsid w:val="00DC236C"/>
    <w:rsid w:val="00DC23F0"/>
    <w:rsid w:val="00DC299E"/>
    <w:rsid w:val="00DC2A13"/>
    <w:rsid w:val="00DC2ED3"/>
    <w:rsid w:val="00DC2F04"/>
    <w:rsid w:val="00DC305D"/>
    <w:rsid w:val="00DC32C2"/>
    <w:rsid w:val="00DC33B6"/>
    <w:rsid w:val="00DC34F6"/>
    <w:rsid w:val="00DC3507"/>
    <w:rsid w:val="00DC36DD"/>
    <w:rsid w:val="00DC37F0"/>
    <w:rsid w:val="00DC383C"/>
    <w:rsid w:val="00DC3B3E"/>
    <w:rsid w:val="00DC3C53"/>
    <w:rsid w:val="00DC3DBB"/>
    <w:rsid w:val="00DC3FCA"/>
    <w:rsid w:val="00DC405F"/>
    <w:rsid w:val="00DC419E"/>
    <w:rsid w:val="00DC42B2"/>
    <w:rsid w:val="00DC4325"/>
    <w:rsid w:val="00DC4366"/>
    <w:rsid w:val="00DC43A8"/>
    <w:rsid w:val="00DC44FA"/>
    <w:rsid w:val="00DC451A"/>
    <w:rsid w:val="00DC453B"/>
    <w:rsid w:val="00DC464A"/>
    <w:rsid w:val="00DC464C"/>
    <w:rsid w:val="00DC4913"/>
    <w:rsid w:val="00DC4931"/>
    <w:rsid w:val="00DC4A0A"/>
    <w:rsid w:val="00DC4AAF"/>
    <w:rsid w:val="00DC4AC5"/>
    <w:rsid w:val="00DC4B17"/>
    <w:rsid w:val="00DC4C44"/>
    <w:rsid w:val="00DC4C4C"/>
    <w:rsid w:val="00DC4D52"/>
    <w:rsid w:val="00DC4ED7"/>
    <w:rsid w:val="00DC4FA6"/>
    <w:rsid w:val="00DC506D"/>
    <w:rsid w:val="00DC5083"/>
    <w:rsid w:val="00DC50E1"/>
    <w:rsid w:val="00DC50F9"/>
    <w:rsid w:val="00DC524E"/>
    <w:rsid w:val="00DC5334"/>
    <w:rsid w:val="00DC5496"/>
    <w:rsid w:val="00DC561D"/>
    <w:rsid w:val="00DC56D9"/>
    <w:rsid w:val="00DC5702"/>
    <w:rsid w:val="00DC581C"/>
    <w:rsid w:val="00DC5A92"/>
    <w:rsid w:val="00DC5BA4"/>
    <w:rsid w:val="00DC5C09"/>
    <w:rsid w:val="00DC5C2B"/>
    <w:rsid w:val="00DC5DA0"/>
    <w:rsid w:val="00DC5EE5"/>
    <w:rsid w:val="00DC6045"/>
    <w:rsid w:val="00DC6084"/>
    <w:rsid w:val="00DC6127"/>
    <w:rsid w:val="00DC633D"/>
    <w:rsid w:val="00DC6406"/>
    <w:rsid w:val="00DC6489"/>
    <w:rsid w:val="00DC65E9"/>
    <w:rsid w:val="00DC6604"/>
    <w:rsid w:val="00DC6679"/>
    <w:rsid w:val="00DC66AF"/>
    <w:rsid w:val="00DC6920"/>
    <w:rsid w:val="00DC6B58"/>
    <w:rsid w:val="00DC6CDB"/>
    <w:rsid w:val="00DC6D7B"/>
    <w:rsid w:val="00DC6DA4"/>
    <w:rsid w:val="00DC6E25"/>
    <w:rsid w:val="00DC6F2F"/>
    <w:rsid w:val="00DC704B"/>
    <w:rsid w:val="00DC718C"/>
    <w:rsid w:val="00DC71D3"/>
    <w:rsid w:val="00DC7260"/>
    <w:rsid w:val="00DC731E"/>
    <w:rsid w:val="00DC744E"/>
    <w:rsid w:val="00DC7585"/>
    <w:rsid w:val="00DC76E9"/>
    <w:rsid w:val="00DC7776"/>
    <w:rsid w:val="00DC7850"/>
    <w:rsid w:val="00DC79D8"/>
    <w:rsid w:val="00DC7A03"/>
    <w:rsid w:val="00DC7BDC"/>
    <w:rsid w:val="00DC7C4C"/>
    <w:rsid w:val="00DC7E08"/>
    <w:rsid w:val="00DD02EB"/>
    <w:rsid w:val="00DD0632"/>
    <w:rsid w:val="00DD0677"/>
    <w:rsid w:val="00DD068D"/>
    <w:rsid w:val="00DD068E"/>
    <w:rsid w:val="00DD0950"/>
    <w:rsid w:val="00DD0A64"/>
    <w:rsid w:val="00DD0B08"/>
    <w:rsid w:val="00DD0CC3"/>
    <w:rsid w:val="00DD0CFE"/>
    <w:rsid w:val="00DD105C"/>
    <w:rsid w:val="00DD1108"/>
    <w:rsid w:val="00DD1255"/>
    <w:rsid w:val="00DD125F"/>
    <w:rsid w:val="00DD132C"/>
    <w:rsid w:val="00DD135B"/>
    <w:rsid w:val="00DD13E1"/>
    <w:rsid w:val="00DD1416"/>
    <w:rsid w:val="00DD142F"/>
    <w:rsid w:val="00DD1493"/>
    <w:rsid w:val="00DD1664"/>
    <w:rsid w:val="00DD1831"/>
    <w:rsid w:val="00DD1A55"/>
    <w:rsid w:val="00DD1ADF"/>
    <w:rsid w:val="00DD1DF2"/>
    <w:rsid w:val="00DD1DF6"/>
    <w:rsid w:val="00DD1E63"/>
    <w:rsid w:val="00DD1F34"/>
    <w:rsid w:val="00DD2021"/>
    <w:rsid w:val="00DD204C"/>
    <w:rsid w:val="00DD20C1"/>
    <w:rsid w:val="00DD226A"/>
    <w:rsid w:val="00DD2287"/>
    <w:rsid w:val="00DD22C0"/>
    <w:rsid w:val="00DD23E7"/>
    <w:rsid w:val="00DD2487"/>
    <w:rsid w:val="00DD2800"/>
    <w:rsid w:val="00DD2823"/>
    <w:rsid w:val="00DD28BA"/>
    <w:rsid w:val="00DD28E2"/>
    <w:rsid w:val="00DD2A17"/>
    <w:rsid w:val="00DD2BA4"/>
    <w:rsid w:val="00DD2C3E"/>
    <w:rsid w:val="00DD2D77"/>
    <w:rsid w:val="00DD2E60"/>
    <w:rsid w:val="00DD30C8"/>
    <w:rsid w:val="00DD31A7"/>
    <w:rsid w:val="00DD3416"/>
    <w:rsid w:val="00DD341A"/>
    <w:rsid w:val="00DD3652"/>
    <w:rsid w:val="00DD3665"/>
    <w:rsid w:val="00DD36F8"/>
    <w:rsid w:val="00DD3719"/>
    <w:rsid w:val="00DD3837"/>
    <w:rsid w:val="00DD3923"/>
    <w:rsid w:val="00DD39B7"/>
    <w:rsid w:val="00DD3B44"/>
    <w:rsid w:val="00DD3BDA"/>
    <w:rsid w:val="00DD3C7A"/>
    <w:rsid w:val="00DD3F6C"/>
    <w:rsid w:val="00DD3FA3"/>
    <w:rsid w:val="00DD42B6"/>
    <w:rsid w:val="00DD438C"/>
    <w:rsid w:val="00DD4490"/>
    <w:rsid w:val="00DD4593"/>
    <w:rsid w:val="00DD47B4"/>
    <w:rsid w:val="00DD47DB"/>
    <w:rsid w:val="00DD4814"/>
    <w:rsid w:val="00DD4B0A"/>
    <w:rsid w:val="00DD4BA6"/>
    <w:rsid w:val="00DD4C3F"/>
    <w:rsid w:val="00DD4CEC"/>
    <w:rsid w:val="00DD4E60"/>
    <w:rsid w:val="00DD500E"/>
    <w:rsid w:val="00DD5187"/>
    <w:rsid w:val="00DD525D"/>
    <w:rsid w:val="00DD52A5"/>
    <w:rsid w:val="00DD53E6"/>
    <w:rsid w:val="00DD54C9"/>
    <w:rsid w:val="00DD54EE"/>
    <w:rsid w:val="00DD54F2"/>
    <w:rsid w:val="00DD55F7"/>
    <w:rsid w:val="00DD565D"/>
    <w:rsid w:val="00DD56D1"/>
    <w:rsid w:val="00DD56D3"/>
    <w:rsid w:val="00DD58F4"/>
    <w:rsid w:val="00DD5B7C"/>
    <w:rsid w:val="00DD5C4D"/>
    <w:rsid w:val="00DD5D58"/>
    <w:rsid w:val="00DD5E84"/>
    <w:rsid w:val="00DD62EF"/>
    <w:rsid w:val="00DD65BB"/>
    <w:rsid w:val="00DD6693"/>
    <w:rsid w:val="00DD6771"/>
    <w:rsid w:val="00DD6C1D"/>
    <w:rsid w:val="00DD6E73"/>
    <w:rsid w:val="00DD73F7"/>
    <w:rsid w:val="00DD762B"/>
    <w:rsid w:val="00DD7858"/>
    <w:rsid w:val="00DD79AA"/>
    <w:rsid w:val="00DD79FA"/>
    <w:rsid w:val="00DD7A1A"/>
    <w:rsid w:val="00DD7F33"/>
    <w:rsid w:val="00DE0137"/>
    <w:rsid w:val="00DE0166"/>
    <w:rsid w:val="00DE04B6"/>
    <w:rsid w:val="00DE04C6"/>
    <w:rsid w:val="00DE065C"/>
    <w:rsid w:val="00DE06B5"/>
    <w:rsid w:val="00DE0810"/>
    <w:rsid w:val="00DE0A55"/>
    <w:rsid w:val="00DE0A6B"/>
    <w:rsid w:val="00DE0B1A"/>
    <w:rsid w:val="00DE0B7E"/>
    <w:rsid w:val="00DE0C3F"/>
    <w:rsid w:val="00DE0D0D"/>
    <w:rsid w:val="00DE0E1E"/>
    <w:rsid w:val="00DE0FFE"/>
    <w:rsid w:val="00DE1045"/>
    <w:rsid w:val="00DE1341"/>
    <w:rsid w:val="00DE14C2"/>
    <w:rsid w:val="00DE14CA"/>
    <w:rsid w:val="00DE1592"/>
    <w:rsid w:val="00DE1648"/>
    <w:rsid w:val="00DE1946"/>
    <w:rsid w:val="00DE19FC"/>
    <w:rsid w:val="00DE1B38"/>
    <w:rsid w:val="00DE1C18"/>
    <w:rsid w:val="00DE2034"/>
    <w:rsid w:val="00DE20D5"/>
    <w:rsid w:val="00DE2167"/>
    <w:rsid w:val="00DE2458"/>
    <w:rsid w:val="00DE246B"/>
    <w:rsid w:val="00DE27EE"/>
    <w:rsid w:val="00DE2855"/>
    <w:rsid w:val="00DE2A23"/>
    <w:rsid w:val="00DE2A53"/>
    <w:rsid w:val="00DE2A65"/>
    <w:rsid w:val="00DE2A67"/>
    <w:rsid w:val="00DE2BEE"/>
    <w:rsid w:val="00DE2C73"/>
    <w:rsid w:val="00DE2C8A"/>
    <w:rsid w:val="00DE2DF1"/>
    <w:rsid w:val="00DE2EB3"/>
    <w:rsid w:val="00DE2EF3"/>
    <w:rsid w:val="00DE3062"/>
    <w:rsid w:val="00DE3192"/>
    <w:rsid w:val="00DE3281"/>
    <w:rsid w:val="00DE3337"/>
    <w:rsid w:val="00DE3346"/>
    <w:rsid w:val="00DE34BC"/>
    <w:rsid w:val="00DE3981"/>
    <w:rsid w:val="00DE3A0A"/>
    <w:rsid w:val="00DE3BB1"/>
    <w:rsid w:val="00DE3BEC"/>
    <w:rsid w:val="00DE3D0E"/>
    <w:rsid w:val="00DE3EAF"/>
    <w:rsid w:val="00DE3F69"/>
    <w:rsid w:val="00DE4066"/>
    <w:rsid w:val="00DE42FC"/>
    <w:rsid w:val="00DE4432"/>
    <w:rsid w:val="00DE4488"/>
    <w:rsid w:val="00DE4503"/>
    <w:rsid w:val="00DE4619"/>
    <w:rsid w:val="00DE47DF"/>
    <w:rsid w:val="00DE4936"/>
    <w:rsid w:val="00DE4B7F"/>
    <w:rsid w:val="00DE4C65"/>
    <w:rsid w:val="00DE4CBC"/>
    <w:rsid w:val="00DE4DB3"/>
    <w:rsid w:val="00DE5227"/>
    <w:rsid w:val="00DE52A2"/>
    <w:rsid w:val="00DE53BA"/>
    <w:rsid w:val="00DE564C"/>
    <w:rsid w:val="00DE572A"/>
    <w:rsid w:val="00DE57D5"/>
    <w:rsid w:val="00DE5924"/>
    <w:rsid w:val="00DE5AB8"/>
    <w:rsid w:val="00DE5BE4"/>
    <w:rsid w:val="00DE5C39"/>
    <w:rsid w:val="00DE5D7C"/>
    <w:rsid w:val="00DE5E04"/>
    <w:rsid w:val="00DE5EB3"/>
    <w:rsid w:val="00DE5ECB"/>
    <w:rsid w:val="00DE5F41"/>
    <w:rsid w:val="00DE5FD4"/>
    <w:rsid w:val="00DE5FE1"/>
    <w:rsid w:val="00DE609D"/>
    <w:rsid w:val="00DE6173"/>
    <w:rsid w:val="00DE6496"/>
    <w:rsid w:val="00DE64EB"/>
    <w:rsid w:val="00DE66DB"/>
    <w:rsid w:val="00DE66E4"/>
    <w:rsid w:val="00DE670B"/>
    <w:rsid w:val="00DE681C"/>
    <w:rsid w:val="00DE6865"/>
    <w:rsid w:val="00DE6962"/>
    <w:rsid w:val="00DE6C69"/>
    <w:rsid w:val="00DE6DB1"/>
    <w:rsid w:val="00DE6F16"/>
    <w:rsid w:val="00DE6F87"/>
    <w:rsid w:val="00DE7199"/>
    <w:rsid w:val="00DE72BA"/>
    <w:rsid w:val="00DE7519"/>
    <w:rsid w:val="00DE7616"/>
    <w:rsid w:val="00DE767B"/>
    <w:rsid w:val="00DE76C9"/>
    <w:rsid w:val="00DE79D2"/>
    <w:rsid w:val="00DE7A6F"/>
    <w:rsid w:val="00DE7A75"/>
    <w:rsid w:val="00DE7AA7"/>
    <w:rsid w:val="00DE7C35"/>
    <w:rsid w:val="00DE7FFD"/>
    <w:rsid w:val="00DF0254"/>
    <w:rsid w:val="00DF0337"/>
    <w:rsid w:val="00DF039D"/>
    <w:rsid w:val="00DF042C"/>
    <w:rsid w:val="00DF04D0"/>
    <w:rsid w:val="00DF059A"/>
    <w:rsid w:val="00DF05DA"/>
    <w:rsid w:val="00DF0628"/>
    <w:rsid w:val="00DF06B8"/>
    <w:rsid w:val="00DF07B8"/>
    <w:rsid w:val="00DF087C"/>
    <w:rsid w:val="00DF0937"/>
    <w:rsid w:val="00DF0CAA"/>
    <w:rsid w:val="00DF0CE2"/>
    <w:rsid w:val="00DF0D5C"/>
    <w:rsid w:val="00DF0D8C"/>
    <w:rsid w:val="00DF10A4"/>
    <w:rsid w:val="00DF1122"/>
    <w:rsid w:val="00DF124D"/>
    <w:rsid w:val="00DF133F"/>
    <w:rsid w:val="00DF1373"/>
    <w:rsid w:val="00DF13F0"/>
    <w:rsid w:val="00DF1463"/>
    <w:rsid w:val="00DF14C4"/>
    <w:rsid w:val="00DF15F6"/>
    <w:rsid w:val="00DF1652"/>
    <w:rsid w:val="00DF1690"/>
    <w:rsid w:val="00DF16B0"/>
    <w:rsid w:val="00DF16EC"/>
    <w:rsid w:val="00DF176A"/>
    <w:rsid w:val="00DF195F"/>
    <w:rsid w:val="00DF19AB"/>
    <w:rsid w:val="00DF1B3A"/>
    <w:rsid w:val="00DF1CC9"/>
    <w:rsid w:val="00DF1EE2"/>
    <w:rsid w:val="00DF2025"/>
    <w:rsid w:val="00DF2071"/>
    <w:rsid w:val="00DF213F"/>
    <w:rsid w:val="00DF2348"/>
    <w:rsid w:val="00DF24BB"/>
    <w:rsid w:val="00DF258B"/>
    <w:rsid w:val="00DF287C"/>
    <w:rsid w:val="00DF29F5"/>
    <w:rsid w:val="00DF2AB1"/>
    <w:rsid w:val="00DF2B03"/>
    <w:rsid w:val="00DF2B5B"/>
    <w:rsid w:val="00DF2BF8"/>
    <w:rsid w:val="00DF2D25"/>
    <w:rsid w:val="00DF2DB9"/>
    <w:rsid w:val="00DF2DCE"/>
    <w:rsid w:val="00DF2DD8"/>
    <w:rsid w:val="00DF2F66"/>
    <w:rsid w:val="00DF300A"/>
    <w:rsid w:val="00DF318B"/>
    <w:rsid w:val="00DF31C7"/>
    <w:rsid w:val="00DF3205"/>
    <w:rsid w:val="00DF33FC"/>
    <w:rsid w:val="00DF3408"/>
    <w:rsid w:val="00DF3563"/>
    <w:rsid w:val="00DF38EB"/>
    <w:rsid w:val="00DF3A63"/>
    <w:rsid w:val="00DF3D19"/>
    <w:rsid w:val="00DF3E14"/>
    <w:rsid w:val="00DF3EDC"/>
    <w:rsid w:val="00DF3FCC"/>
    <w:rsid w:val="00DF4027"/>
    <w:rsid w:val="00DF4248"/>
    <w:rsid w:val="00DF428A"/>
    <w:rsid w:val="00DF42C3"/>
    <w:rsid w:val="00DF4474"/>
    <w:rsid w:val="00DF4580"/>
    <w:rsid w:val="00DF464C"/>
    <w:rsid w:val="00DF46F2"/>
    <w:rsid w:val="00DF4BE7"/>
    <w:rsid w:val="00DF4C05"/>
    <w:rsid w:val="00DF4C1B"/>
    <w:rsid w:val="00DF4D07"/>
    <w:rsid w:val="00DF4E4E"/>
    <w:rsid w:val="00DF4E94"/>
    <w:rsid w:val="00DF4F2A"/>
    <w:rsid w:val="00DF51A6"/>
    <w:rsid w:val="00DF51DD"/>
    <w:rsid w:val="00DF53F1"/>
    <w:rsid w:val="00DF58F0"/>
    <w:rsid w:val="00DF5A08"/>
    <w:rsid w:val="00DF5C65"/>
    <w:rsid w:val="00DF5D99"/>
    <w:rsid w:val="00DF5F5E"/>
    <w:rsid w:val="00DF600A"/>
    <w:rsid w:val="00DF60CC"/>
    <w:rsid w:val="00DF60F4"/>
    <w:rsid w:val="00DF6146"/>
    <w:rsid w:val="00DF61EF"/>
    <w:rsid w:val="00DF63F1"/>
    <w:rsid w:val="00DF66E8"/>
    <w:rsid w:val="00DF67B4"/>
    <w:rsid w:val="00DF67D1"/>
    <w:rsid w:val="00DF68C7"/>
    <w:rsid w:val="00DF6964"/>
    <w:rsid w:val="00DF6A78"/>
    <w:rsid w:val="00DF6AB0"/>
    <w:rsid w:val="00DF6AF3"/>
    <w:rsid w:val="00DF6B72"/>
    <w:rsid w:val="00DF6D55"/>
    <w:rsid w:val="00DF6DBC"/>
    <w:rsid w:val="00DF7051"/>
    <w:rsid w:val="00DF70FF"/>
    <w:rsid w:val="00DF7162"/>
    <w:rsid w:val="00DF7256"/>
    <w:rsid w:val="00DF7270"/>
    <w:rsid w:val="00DF7342"/>
    <w:rsid w:val="00DF751B"/>
    <w:rsid w:val="00DF7550"/>
    <w:rsid w:val="00DF75BC"/>
    <w:rsid w:val="00DF7754"/>
    <w:rsid w:val="00DF77AA"/>
    <w:rsid w:val="00DF7889"/>
    <w:rsid w:val="00DF78B6"/>
    <w:rsid w:val="00DF78F4"/>
    <w:rsid w:val="00DF7933"/>
    <w:rsid w:val="00DF7A10"/>
    <w:rsid w:val="00DF7AC2"/>
    <w:rsid w:val="00DF7B7D"/>
    <w:rsid w:val="00DF7C77"/>
    <w:rsid w:val="00DF7CE6"/>
    <w:rsid w:val="00DF7D2F"/>
    <w:rsid w:val="00DF7DE7"/>
    <w:rsid w:val="00DF7E70"/>
    <w:rsid w:val="00DF7FB1"/>
    <w:rsid w:val="00E0041D"/>
    <w:rsid w:val="00E00485"/>
    <w:rsid w:val="00E009B7"/>
    <w:rsid w:val="00E009BD"/>
    <w:rsid w:val="00E009ED"/>
    <w:rsid w:val="00E00B93"/>
    <w:rsid w:val="00E00BAA"/>
    <w:rsid w:val="00E00C0F"/>
    <w:rsid w:val="00E00C55"/>
    <w:rsid w:val="00E00D3D"/>
    <w:rsid w:val="00E00D80"/>
    <w:rsid w:val="00E01034"/>
    <w:rsid w:val="00E01214"/>
    <w:rsid w:val="00E0136C"/>
    <w:rsid w:val="00E01511"/>
    <w:rsid w:val="00E016CD"/>
    <w:rsid w:val="00E016F8"/>
    <w:rsid w:val="00E017A4"/>
    <w:rsid w:val="00E01823"/>
    <w:rsid w:val="00E0191E"/>
    <w:rsid w:val="00E0194F"/>
    <w:rsid w:val="00E01958"/>
    <w:rsid w:val="00E01982"/>
    <w:rsid w:val="00E01B46"/>
    <w:rsid w:val="00E01B94"/>
    <w:rsid w:val="00E01D8A"/>
    <w:rsid w:val="00E01EAF"/>
    <w:rsid w:val="00E02021"/>
    <w:rsid w:val="00E02056"/>
    <w:rsid w:val="00E02101"/>
    <w:rsid w:val="00E022D6"/>
    <w:rsid w:val="00E0234F"/>
    <w:rsid w:val="00E025F4"/>
    <w:rsid w:val="00E0275E"/>
    <w:rsid w:val="00E02767"/>
    <w:rsid w:val="00E02798"/>
    <w:rsid w:val="00E0286B"/>
    <w:rsid w:val="00E0287D"/>
    <w:rsid w:val="00E028A0"/>
    <w:rsid w:val="00E028B5"/>
    <w:rsid w:val="00E02B05"/>
    <w:rsid w:val="00E02B23"/>
    <w:rsid w:val="00E02B8D"/>
    <w:rsid w:val="00E02BD4"/>
    <w:rsid w:val="00E02C48"/>
    <w:rsid w:val="00E02DAA"/>
    <w:rsid w:val="00E02F21"/>
    <w:rsid w:val="00E03040"/>
    <w:rsid w:val="00E03071"/>
    <w:rsid w:val="00E030AA"/>
    <w:rsid w:val="00E0368F"/>
    <w:rsid w:val="00E03714"/>
    <w:rsid w:val="00E037D8"/>
    <w:rsid w:val="00E03853"/>
    <w:rsid w:val="00E039DA"/>
    <w:rsid w:val="00E03A8E"/>
    <w:rsid w:val="00E03AF8"/>
    <w:rsid w:val="00E03BEB"/>
    <w:rsid w:val="00E03C34"/>
    <w:rsid w:val="00E03CF8"/>
    <w:rsid w:val="00E03E7A"/>
    <w:rsid w:val="00E03F57"/>
    <w:rsid w:val="00E03FAA"/>
    <w:rsid w:val="00E04087"/>
    <w:rsid w:val="00E04157"/>
    <w:rsid w:val="00E04164"/>
    <w:rsid w:val="00E04216"/>
    <w:rsid w:val="00E04275"/>
    <w:rsid w:val="00E042C1"/>
    <w:rsid w:val="00E0437E"/>
    <w:rsid w:val="00E04471"/>
    <w:rsid w:val="00E04505"/>
    <w:rsid w:val="00E04632"/>
    <w:rsid w:val="00E04850"/>
    <w:rsid w:val="00E049E1"/>
    <w:rsid w:val="00E049FE"/>
    <w:rsid w:val="00E04AA8"/>
    <w:rsid w:val="00E04AFD"/>
    <w:rsid w:val="00E04B5C"/>
    <w:rsid w:val="00E04C9F"/>
    <w:rsid w:val="00E04E37"/>
    <w:rsid w:val="00E04F18"/>
    <w:rsid w:val="00E04F3D"/>
    <w:rsid w:val="00E04F43"/>
    <w:rsid w:val="00E052ED"/>
    <w:rsid w:val="00E0536F"/>
    <w:rsid w:val="00E053CB"/>
    <w:rsid w:val="00E05478"/>
    <w:rsid w:val="00E054C4"/>
    <w:rsid w:val="00E05545"/>
    <w:rsid w:val="00E05552"/>
    <w:rsid w:val="00E05584"/>
    <w:rsid w:val="00E055CE"/>
    <w:rsid w:val="00E0567D"/>
    <w:rsid w:val="00E05D1B"/>
    <w:rsid w:val="00E05E13"/>
    <w:rsid w:val="00E05E4E"/>
    <w:rsid w:val="00E06619"/>
    <w:rsid w:val="00E06685"/>
    <w:rsid w:val="00E066E3"/>
    <w:rsid w:val="00E067D7"/>
    <w:rsid w:val="00E06872"/>
    <w:rsid w:val="00E06A3C"/>
    <w:rsid w:val="00E06C02"/>
    <w:rsid w:val="00E06CD0"/>
    <w:rsid w:val="00E06D0D"/>
    <w:rsid w:val="00E06E35"/>
    <w:rsid w:val="00E06ED1"/>
    <w:rsid w:val="00E06F4F"/>
    <w:rsid w:val="00E07020"/>
    <w:rsid w:val="00E07248"/>
    <w:rsid w:val="00E072FE"/>
    <w:rsid w:val="00E07345"/>
    <w:rsid w:val="00E07419"/>
    <w:rsid w:val="00E074D0"/>
    <w:rsid w:val="00E07511"/>
    <w:rsid w:val="00E07519"/>
    <w:rsid w:val="00E075AC"/>
    <w:rsid w:val="00E075EE"/>
    <w:rsid w:val="00E0760D"/>
    <w:rsid w:val="00E0778E"/>
    <w:rsid w:val="00E077B1"/>
    <w:rsid w:val="00E07829"/>
    <w:rsid w:val="00E078CD"/>
    <w:rsid w:val="00E07963"/>
    <w:rsid w:val="00E079A7"/>
    <w:rsid w:val="00E079D8"/>
    <w:rsid w:val="00E07A4A"/>
    <w:rsid w:val="00E07A9A"/>
    <w:rsid w:val="00E07B44"/>
    <w:rsid w:val="00E07B7C"/>
    <w:rsid w:val="00E07D3C"/>
    <w:rsid w:val="00E07F1D"/>
    <w:rsid w:val="00E10232"/>
    <w:rsid w:val="00E10292"/>
    <w:rsid w:val="00E1033C"/>
    <w:rsid w:val="00E10636"/>
    <w:rsid w:val="00E1079A"/>
    <w:rsid w:val="00E107B5"/>
    <w:rsid w:val="00E107F7"/>
    <w:rsid w:val="00E10848"/>
    <w:rsid w:val="00E109CC"/>
    <w:rsid w:val="00E10B6D"/>
    <w:rsid w:val="00E10CB6"/>
    <w:rsid w:val="00E10D35"/>
    <w:rsid w:val="00E10E57"/>
    <w:rsid w:val="00E10F41"/>
    <w:rsid w:val="00E10F43"/>
    <w:rsid w:val="00E111A7"/>
    <w:rsid w:val="00E115CF"/>
    <w:rsid w:val="00E1165C"/>
    <w:rsid w:val="00E11826"/>
    <w:rsid w:val="00E1182C"/>
    <w:rsid w:val="00E11837"/>
    <w:rsid w:val="00E1192D"/>
    <w:rsid w:val="00E11C79"/>
    <w:rsid w:val="00E11CEC"/>
    <w:rsid w:val="00E11D2D"/>
    <w:rsid w:val="00E11D3D"/>
    <w:rsid w:val="00E11D6D"/>
    <w:rsid w:val="00E11DA7"/>
    <w:rsid w:val="00E11E2A"/>
    <w:rsid w:val="00E11E9C"/>
    <w:rsid w:val="00E11EFA"/>
    <w:rsid w:val="00E11F0A"/>
    <w:rsid w:val="00E12140"/>
    <w:rsid w:val="00E12262"/>
    <w:rsid w:val="00E122EC"/>
    <w:rsid w:val="00E12364"/>
    <w:rsid w:val="00E12401"/>
    <w:rsid w:val="00E12406"/>
    <w:rsid w:val="00E124DC"/>
    <w:rsid w:val="00E12563"/>
    <w:rsid w:val="00E12710"/>
    <w:rsid w:val="00E12882"/>
    <w:rsid w:val="00E128EC"/>
    <w:rsid w:val="00E1293C"/>
    <w:rsid w:val="00E12BF4"/>
    <w:rsid w:val="00E12DE4"/>
    <w:rsid w:val="00E13002"/>
    <w:rsid w:val="00E131C3"/>
    <w:rsid w:val="00E131D1"/>
    <w:rsid w:val="00E1342F"/>
    <w:rsid w:val="00E1347E"/>
    <w:rsid w:val="00E136BD"/>
    <w:rsid w:val="00E13738"/>
    <w:rsid w:val="00E137DD"/>
    <w:rsid w:val="00E138D4"/>
    <w:rsid w:val="00E13908"/>
    <w:rsid w:val="00E1390E"/>
    <w:rsid w:val="00E13B27"/>
    <w:rsid w:val="00E13BCF"/>
    <w:rsid w:val="00E13C1F"/>
    <w:rsid w:val="00E13D4D"/>
    <w:rsid w:val="00E13DCE"/>
    <w:rsid w:val="00E13F4F"/>
    <w:rsid w:val="00E14173"/>
    <w:rsid w:val="00E14192"/>
    <w:rsid w:val="00E14233"/>
    <w:rsid w:val="00E1455A"/>
    <w:rsid w:val="00E1464B"/>
    <w:rsid w:val="00E146D4"/>
    <w:rsid w:val="00E1487D"/>
    <w:rsid w:val="00E149F6"/>
    <w:rsid w:val="00E14CDB"/>
    <w:rsid w:val="00E14F6C"/>
    <w:rsid w:val="00E14FF5"/>
    <w:rsid w:val="00E1500F"/>
    <w:rsid w:val="00E15060"/>
    <w:rsid w:val="00E150BD"/>
    <w:rsid w:val="00E15470"/>
    <w:rsid w:val="00E157BA"/>
    <w:rsid w:val="00E1581E"/>
    <w:rsid w:val="00E15C1D"/>
    <w:rsid w:val="00E15D29"/>
    <w:rsid w:val="00E15DE9"/>
    <w:rsid w:val="00E15DF4"/>
    <w:rsid w:val="00E15E6C"/>
    <w:rsid w:val="00E161E7"/>
    <w:rsid w:val="00E1624F"/>
    <w:rsid w:val="00E16337"/>
    <w:rsid w:val="00E16355"/>
    <w:rsid w:val="00E164C0"/>
    <w:rsid w:val="00E16538"/>
    <w:rsid w:val="00E16702"/>
    <w:rsid w:val="00E16855"/>
    <w:rsid w:val="00E16928"/>
    <w:rsid w:val="00E16BBD"/>
    <w:rsid w:val="00E16C02"/>
    <w:rsid w:val="00E16C3A"/>
    <w:rsid w:val="00E16DF6"/>
    <w:rsid w:val="00E16E7D"/>
    <w:rsid w:val="00E170E4"/>
    <w:rsid w:val="00E17221"/>
    <w:rsid w:val="00E172EF"/>
    <w:rsid w:val="00E17622"/>
    <w:rsid w:val="00E17716"/>
    <w:rsid w:val="00E1773C"/>
    <w:rsid w:val="00E178D9"/>
    <w:rsid w:val="00E17A77"/>
    <w:rsid w:val="00E17B78"/>
    <w:rsid w:val="00E17BA4"/>
    <w:rsid w:val="00E17D07"/>
    <w:rsid w:val="00E17D82"/>
    <w:rsid w:val="00E17EA4"/>
    <w:rsid w:val="00E17ED8"/>
    <w:rsid w:val="00E20274"/>
    <w:rsid w:val="00E20419"/>
    <w:rsid w:val="00E20639"/>
    <w:rsid w:val="00E2077B"/>
    <w:rsid w:val="00E20827"/>
    <w:rsid w:val="00E208D7"/>
    <w:rsid w:val="00E20ADA"/>
    <w:rsid w:val="00E20ADF"/>
    <w:rsid w:val="00E20C2E"/>
    <w:rsid w:val="00E20CC0"/>
    <w:rsid w:val="00E20D7F"/>
    <w:rsid w:val="00E20DCF"/>
    <w:rsid w:val="00E210A2"/>
    <w:rsid w:val="00E210C9"/>
    <w:rsid w:val="00E211AB"/>
    <w:rsid w:val="00E21235"/>
    <w:rsid w:val="00E21430"/>
    <w:rsid w:val="00E215AA"/>
    <w:rsid w:val="00E2169B"/>
    <w:rsid w:val="00E2183D"/>
    <w:rsid w:val="00E21A87"/>
    <w:rsid w:val="00E21B03"/>
    <w:rsid w:val="00E21C22"/>
    <w:rsid w:val="00E21DC3"/>
    <w:rsid w:val="00E21E40"/>
    <w:rsid w:val="00E21F35"/>
    <w:rsid w:val="00E22370"/>
    <w:rsid w:val="00E22375"/>
    <w:rsid w:val="00E22377"/>
    <w:rsid w:val="00E225C8"/>
    <w:rsid w:val="00E22723"/>
    <w:rsid w:val="00E227AF"/>
    <w:rsid w:val="00E22927"/>
    <w:rsid w:val="00E22968"/>
    <w:rsid w:val="00E2297F"/>
    <w:rsid w:val="00E22A2F"/>
    <w:rsid w:val="00E22C74"/>
    <w:rsid w:val="00E22CEE"/>
    <w:rsid w:val="00E22F63"/>
    <w:rsid w:val="00E23199"/>
    <w:rsid w:val="00E233C1"/>
    <w:rsid w:val="00E23537"/>
    <w:rsid w:val="00E237A1"/>
    <w:rsid w:val="00E23BA6"/>
    <w:rsid w:val="00E23C1C"/>
    <w:rsid w:val="00E23CBE"/>
    <w:rsid w:val="00E23D6D"/>
    <w:rsid w:val="00E23E91"/>
    <w:rsid w:val="00E24029"/>
    <w:rsid w:val="00E240BF"/>
    <w:rsid w:val="00E242F7"/>
    <w:rsid w:val="00E245AC"/>
    <w:rsid w:val="00E245D7"/>
    <w:rsid w:val="00E2468B"/>
    <w:rsid w:val="00E246EF"/>
    <w:rsid w:val="00E247F1"/>
    <w:rsid w:val="00E24951"/>
    <w:rsid w:val="00E24A8E"/>
    <w:rsid w:val="00E24A9E"/>
    <w:rsid w:val="00E24AFA"/>
    <w:rsid w:val="00E24D23"/>
    <w:rsid w:val="00E24E5D"/>
    <w:rsid w:val="00E24F61"/>
    <w:rsid w:val="00E24FAB"/>
    <w:rsid w:val="00E2505B"/>
    <w:rsid w:val="00E25375"/>
    <w:rsid w:val="00E25442"/>
    <w:rsid w:val="00E254B5"/>
    <w:rsid w:val="00E255B6"/>
    <w:rsid w:val="00E2560E"/>
    <w:rsid w:val="00E25875"/>
    <w:rsid w:val="00E25A24"/>
    <w:rsid w:val="00E25A41"/>
    <w:rsid w:val="00E25C0B"/>
    <w:rsid w:val="00E25C1C"/>
    <w:rsid w:val="00E25C8A"/>
    <w:rsid w:val="00E25CD3"/>
    <w:rsid w:val="00E25D48"/>
    <w:rsid w:val="00E25EC1"/>
    <w:rsid w:val="00E25EC7"/>
    <w:rsid w:val="00E2600A"/>
    <w:rsid w:val="00E263B1"/>
    <w:rsid w:val="00E2656E"/>
    <w:rsid w:val="00E266BC"/>
    <w:rsid w:val="00E26872"/>
    <w:rsid w:val="00E268D1"/>
    <w:rsid w:val="00E26B84"/>
    <w:rsid w:val="00E26BEC"/>
    <w:rsid w:val="00E26CD1"/>
    <w:rsid w:val="00E26CED"/>
    <w:rsid w:val="00E26DA9"/>
    <w:rsid w:val="00E26DBA"/>
    <w:rsid w:val="00E26EB8"/>
    <w:rsid w:val="00E26FBB"/>
    <w:rsid w:val="00E272F3"/>
    <w:rsid w:val="00E2760F"/>
    <w:rsid w:val="00E27620"/>
    <w:rsid w:val="00E277C3"/>
    <w:rsid w:val="00E27A5D"/>
    <w:rsid w:val="00E27AAE"/>
    <w:rsid w:val="00E27BF7"/>
    <w:rsid w:val="00E2E0D3"/>
    <w:rsid w:val="00E30127"/>
    <w:rsid w:val="00E30163"/>
    <w:rsid w:val="00E301AC"/>
    <w:rsid w:val="00E30322"/>
    <w:rsid w:val="00E305C1"/>
    <w:rsid w:val="00E305D2"/>
    <w:rsid w:val="00E308EF"/>
    <w:rsid w:val="00E30AB0"/>
    <w:rsid w:val="00E30ACC"/>
    <w:rsid w:val="00E30B3A"/>
    <w:rsid w:val="00E30BD0"/>
    <w:rsid w:val="00E30D72"/>
    <w:rsid w:val="00E30DD5"/>
    <w:rsid w:val="00E30E44"/>
    <w:rsid w:val="00E30E57"/>
    <w:rsid w:val="00E30ED2"/>
    <w:rsid w:val="00E31017"/>
    <w:rsid w:val="00E31071"/>
    <w:rsid w:val="00E3108A"/>
    <w:rsid w:val="00E31175"/>
    <w:rsid w:val="00E311D7"/>
    <w:rsid w:val="00E31411"/>
    <w:rsid w:val="00E31554"/>
    <w:rsid w:val="00E316CE"/>
    <w:rsid w:val="00E3174E"/>
    <w:rsid w:val="00E317FD"/>
    <w:rsid w:val="00E31A4B"/>
    <w:rsid w:val="00E31E1E"/>
    <w:rsid w:val="00E31F0D"/>
    <w:rsid w:val="00E31F4C"/>
    <w:rsid w:val="00E31FEC"/>
    <w:rsid w:val="00E320F4"/>
    <w:rsid w:val="00E322C4"/>
    <w:rsid w:val="00E324A3"/>
    <w:rsid w:val="00E3277B"/>
    <w:rsid w:val="00E3278F"/>
    <w:rsid w:val="00E32A31"/>
    <w:rsid w:val="00E32A85"/>
    <w:rsid w:val="00E32C7D"/>
    <w:rsid w:val="00E32D35"/>
    <w:rsid w:val="00E32E0D"/>
    <w:rsid w:val="00E32EC6"/>
    <w:rsid w:val="00E32F1E"/>
    <w:rsid w:val="00E332CE"/>
    <w:rsid w:val="00E333C6"/>
    <w:rsid w:val="00E333FA"/>
    <w:rsid w:val="00E33448"/>
    <w:rsid w:val="00E3357D"/>
    <w:rsid w:val="00E335BC"/>
    <w:rsid w:val="00E3380B"/>
    <w:rsid w:val="00E339C1"/>
    <w:rsid w:val="00E33B27"/>
    <w:rsid w:val="00E33C96"/>
    <w:rsid w:val="00E33D25"/>
    <w:rsid w:val="00E33D69"/>
    <w:rsid w:val="00E33EB3"/>
    <w:rsid w:val="00E34013"/>
    <w:rsid w:val="00E34350"/>
    <w:rsid w:val="00E34395"/>
    <w:rsid w:val="00E3439F"/>
    <w:rsid w:val="00E344E2"/>
    <w:rsid w:val="00E34844"/>
    <w:rsid w:val="00E34998"/>
    <w:rsid w:val="00E34A72"/>
    <w:rsid w:val="00E34B90"/>
    <w:rsid w:val="00E34BFD"/>
    <w:rsid w:val="00E34DB3"/>
    <w:rsid w:val="00E34DD8"/>
    <w:rsid w:val="00E34EAF"/>
    <w:rsid w:val="00E34ECD"/>
    <w:rsid w:val="00E35193"/>
    <w:rsid w:val="00E35378"/>
    <w:rsid w:val="00E35442"/>
    <w:rsid w:val="00E3557D"/>
    <w:rsid w:val="00E355DB"/>
    <w:rsid w:val="00E35772"/>
    <w:rsid w:val="00E35C5D"/>
    <w:rsid w:val="00E35CB6"/>
    <w:rsid w:val="00E35DA5"/>
    <w:rsid w:val="00E35DA7"/>
    <w:rsid w:val="00E35DD9"/>
    <w:rsid w:val="00E35ED9"/>
    <w:rsid w:val="00E3600A"/>
    <w:rsid w:val="00E360C4"/>
    <w:rsid w:val="00E361AF"/>
    <w:rsid w:val="00E361D1"/>
    <w:rsid w:val="00E361FD"/>
    <w:rsid w:val="00E3624F"/>
    <w:rsid w:val="00E363B9"/>
    <w:rsid w:val="00E364E4"/>
    <w:rsid w:val="00E36570"/>
    <w:rsid w:val="00E366EE"/>
    <w:rsid w:val="00E3670C"/>
    <w:rsid w:val="00E36782"/>
    <w:rsid w:val="00E368B0"/>
    <w:rsid w:val="00E36B4C"/>
    <w:rsid w:val="00E36CBE"/>
    <w:rsid w:val="00E36CE3"/>
    <w:rsid w:val="00E36D3C"/>
    <w:rsid w:val="00E36E3E"/>
    <w:rsid w:val="00E36F8D"/>
    <w:rsid w:val="00E3704F"/>
    <w:rsid w:val="00E371E7"/>
    <w:rsid w:val="00E373D2"/>
    <w:rsid w:val="00E374F0"/>
    <w:rsid w:val="00E37573"/>
    <w:rsid w:val="00E37858"/>
    <w:rsid w:val="00E378CE"/>
    <w:rsid w:val="00E379BA"/>
    <w:rsid w:val="00E37A4D"/>
    <w:rsid w:val="00E37ADE"/>
    <w:rsid w:val="00E37AE9"/>
    <w:rsid w:val="00E37B64"/>
    <w:rsid w:val="00E37DB8"/>
    <w:rsid w:val="00E37E4F"/>
    <w:rsid w:val="00E37EAD"/>
    <w:rsid w:val="00E37ED4"/>
    <w:rsid w:val="00E4006E"/>
    <w:rsid w:val="00E400B0"/>
    <w:rsid w:val="00E40147"/>
    <w:rsid w:val="00E40153"/>
    <w:rsid w:val="00E403A0"/>
    <w:rsid w:val="00E403D3"/>
    <w:rsid w:val="00E40677"/>
    <w:rsid w:val="00E4068D"/>
    <w:rsid w:val="00E407DF"/>
    <w:rsid w:val="00E408EE"/>
    <w:rsid w:val="00E40946"/>
    <w:rsid w:val="00E40A25"/>
    <w:rsid w:val="00E40CCC"/>
    <w:rsid w:val="00E40ED4"/>
    <w:rsid w:val="00E40F6F"/>
    <w:rsid w:val="00E410B5"/>
    <w:rsid w:val="00E41227"/>
    <w:rsid w:val="00E4141D"/>
    <w:rsid w:val="00E41423"/>
    <w:rsid w:val="00E41424"/>
    <w:rsid w:val="00E4145A"/>
    <w:rsid w:val="00E414CB"/>
    <w:rsid w:val="00E415A1"/>
    <w:rsid w:val="00E415CD"/>
    <w:rsid w:val="00E417D6"/>
    <w:rsid w:val="00E417F3"/>
    <w:rsid w:val="00E418B8"/>
    <w:rsid w:val="00E41B34"/>
    <w:rsid w:val="00E41CD6"/>
    <w:rsid w:val="00E41F3F"/>
    <w:rsid w:val="00E4202F"/>
    <w:rsid w:val="00E42039"/>
    <w:rsid w:val="00E42334"/>
    <w:rsid w:val="00E424A3"/>
    <w:rsid w:val="00E424B0"/>
    <w:rsid w:val="00E424D1"/>
    <w:rsid w:val="00E425D2"/>
    <w:rsid w:val="00E4265F"/>
    <w:rsid w:val="00E42897"/>
    <w:rsid w:val="00E429EE"/>
    <w:rsid w:val="00E42B48"/>
    <w:rsid w:val="00E42C43"/>
    <w:rsid w:val="00E42CB7"/>
    <w:rsid w:val="00E42FC0"/>
    <w:rsid w:val="00E43132"/>
    <w:rsid w:val="00E4321F"/>
    <w:rsid w:val="00E43415"/>
    <w:rsid w:val="00E4362E"/>
    <w:rsid w:val="00E43692"/>
    <w:rsid w:val="00E4372C"/>
    <w:rsid w:val="00E43831"/>
    <w:rsid w:val="00E43AC5"/>
    <w:rsid w:val="00E43AEA"/>
    <w:rsid w:val="00E43B13"/>
    <w:rsid w:val="00E43CEE"/>
    <w:rsid w:val="00E43D34"/>
    <w:rsid w:val="00E43E8C"/>
    <w:rsid w:val="00E43F45"/>
    <w:rsid w:val="00E43FE7"/>
    <w:rsid w:val="00E44029"/>
    <w:rsid w:val="00E44045"/>
    <w:rsid w:val="00E44415"/>
    <w:rsid w:val="00E446BB"/>
    <w:rsid w:val="00E449BA"/>
    <w:rsid w:val="00E44A95"/>
    <w:rsid w:val="00E44ACC"/>
    <w:rsid w:val="00E44CED"/>
    <w:rsid w:val="00E44E57"/>
    <w:rsid w:val="00E45056"/>
    <w:rsid w:val="00E45067"/>
    <w:rsid w:val="00E450E5"/>
    <w:rsid w:val="00E451AD"/>
    <w:rsid w:val="00E4548D"/>
    <w:rsid w:val="00E454FF"/>
    <w:rsid w:val="00E45507"/>
    <w:rsid w:val="00E456C2"/>
    <w:rsid w:val="00E456DD"/>
    <w:rsid w:val="00E4573A"/>
    <w:rsid w:val="00E4577C"/>
    <w:rsid w:val="00E45C1A"/>
    <w:rsid w:val="00E45E88"/>
    <w:rsid w:val="00E45EC4"/>
    <w:rsid w:val="00E4603C"/>
    <w:rsid w:val="00E46086"/>
    <w:rsid w:val="00E4616A"/>
    <w:rsid w:val="00E46256"/>
    <w:rsid w:val="00E46350"/>
    <w:rsid w:val="00E4642D"/>
    <w:rsid w:val="00E46538"/>
    <w:rsid w:val="00E46556"/>
    <w:rsid w:val="00E4657D"/>
    <w:rsid w:val="00E46643"/>
    <w:rsid w:val="00E4669E"/>
    <w:rsid w:val="00E467BC"/>
    <w:rsid w:val="00E46818"/>
    <w:rsid w:val="00E4698B"/>
    <w:rsid w:val="00E46B3B"/>
    <w:rsid w:val="00E46CA0"/>
    <w:rsid w:val="00E46D05"/>
    <w:rsid w:val="00E46D2C"/>
    <w:rsid w:val="00E46F02"/>
    <w:rsid w:val="00E46F7E"/>
    <w:rsid w:val="00E470F7"/>
    <w:rsid w:val="00E475F4"/>
    <w:rsid w:val="00E4771D"/>
    <w:rsid w:val="00E47783"/>
    <w:rsid w:val="00E47B68"/>
    <w:rsid w:val="00E47E2A"/>
    <w:rsid w:val="00E47E65"/>
    <w:rsid w:val="00E47EFE"/>
    <w:rsid w:val="00E4C583"/>
    <w:rsid w:val="00E503B8"/>
    <w:rsid w:val="00E50544"/>
    <w:rsid w:val="00E5058B"/>
    <w:rsid w:val="00E505BC"/>
    <w:rsid w:val="00E506DF"/>
    <w:rsid w:val="00E506F2"/>
    <w:rsid w:val="00E5093C"/>
    <w:rsid w:val="00E50B55"/>
    <w:rsid w:val="00E50B88"/>
    <w:rsid w:val="00E50BBE"/>
    <w:rsid w:val="00E50C6C"/>
    <w:rsid w:val="00E50DE8"/>
    <w:rsid w:val="00E50F9E"/>
    <w:rsid w:val="00E51145"/>
    <w:rsid w:val="00E5114A"/>
    <w:rsid w:val="00E5140F"/>
    <w:rsid w:val="00E51410"/>
    <w:rsid w:val="00E51692"/>
    <w:rsid w:val="00E516C6"/>
    <w:rsid w:val="00E516F0"/>
    <w:rsid w:val="00E516F3"/>
    <w:rsid w:val="00E51731"/>
    <w:rsid w:val="00E517A8"/>
    <w:rsid w:val="00E5183C"/>
    <w:rsid w:val="00E51894"/>
    <w:rsid w:val="00E51A21"/>
    <w:rsid w:val="00E51CC6"/>
    <w:rsid w:val="00E51D3A"/>
    <w:rsid w:val="00E520EE"/>
    <w:rsid w:val="00E521C1"/>
    <w:rsid w:val="00E521C5"/>
    <w:rsid w:val="00E521FE"/>
    <w:rsid w:val="00E522B4"/>
    <w:rsid w:val="00E522D7"/>
    <w:rsid w:val="00E524D9"/>
    <w:rsid w:val="00E524F8"/>
    <w:rsid w:val="00E52509"/>
    <w:rsid w:val="00E5259E"/>
    <w:rsid w:val="00E52674"/>
    <w:rsid w:val="00E526C3"/>
    <w:rsid w:val="00E526DD"/>
    <w:rsid w:val="00E5294B"/>
    <w:rsid w:val="00E52A6A"/>
    <w:rsid w:val="00E52B4A"/>
    <w:rsid w:val="00E52C81"/>
    <w:rsid w:val="00E52C83"/>
    <w:rsid w:val="00E52DF0"/>
    <w:rsid w:val="00E531B4"/>
    <w:rsid w:val="00E53279"/>
    <w:rsid w:val="00E53309"/>
    <w:rsid w:val="00E53341"/>
    <w:rsid w:val="00E5343C"/>
    <w:rsid w:val="00E53495"/>
    <w:rsid w:val="00E536B7"/>
    <w:rsid w:val="00E53710"/>
    <w:rsid w:val="00E537A8"/>
    <w:rsid w:val="00E538BB"/>
    <w:rsid w:val="00E538D3"/>
    <w:rsid w:val="00E53A85"/>
    <w:rsid w:val="00E53A8C"/>
    <w:rsid w:val="00E53B43"/>
    <w:rsid w:val="00E53C31"/>
    <w:rsid w:val="00E53C44"/>
    <w:rsid w:val="00E53CE2"/>
    <w:rsid w:val="00E53E91"/>
    <w:rsid w:val="00E54264"/>
    <w:rsid w:val="00E54282"/>
    <w:rsid w:val="00E54320"/>
    <w:rsid w:val="00E544CE"/>
    <w:rsid w:val="00E544F4"/>
    <w:rsid w:val="00E546A0"/>
    <w:rsid w:val="00E546AB"/>
    <w:rsid w:val="00E547BA"/>
    <w:rsid w:val="00E54919"/>
    <w:rsid w:val="00E5496A"/>
    <w:rsid w:val="00E549AD"/>
    <w:rsid w:val="00E549DF"/>
    <w:rsid w:val="00E549FC"/>
    <w:rsid w:val="00E54BDE"/>
    <w:rsid w:val="00E54BFC"/>
    <w:rsid w:val="00E54CF3"/>
    <w:rsid w:val="00E55221"/>
    <w:rsid w:val="00E5534F"/>
    <w:rsid w:val="00E5540D"/>
    <w:rsid w:val="00E5543E"/>
    <w:rsid w:val="00E55540"/>
    <w:rsid w:val="00E55584"/>
    <w:rsid w:val="00E55735"/>
    <w:rsid w:val="00E55776"/>
    <w:rsid w:val="00E559E9"/>
    <w:rsid w:val="00E55AD0"/>
    <w:rsid w:val="00E55B04"/>
    <w:rsid w:val="00E55B33"/>
    <w:rsid w:val="00E55B35"/>
    <w:rsid w:val="00E55B3F"/>
    <w:rsid w:val="00E55C8C"/>
    <w:rsid w:val="00E55D41"/>
    <w:rsid w:val="00E55D8C"/>
    <w:rsid w:val="00E55ECD"/>
    <w:rsid w:val="00E55ED3"/>
    <w:rsid w:val="00E5608B"/>
    <w:rsid w:val="00E560C6"/>
    <w:rsid w:val="00E5619E"/>
    <w:rsid w:val="00E561F6"/>
    <w:rsid w:val="00E56222"/>
    <w:rsid w:val="00E562B9"/>
    <w:rsid w:val="00E562C3"/>
    <w:rsid w:val="00E56348"/>
    <w:rsid w:val="00E5637B"/>
    <w:rsid w:val="00E56449"/>
    <w:rsid w:val="00E56485"/>
    <w:rsid w:val="00E56535"/>
    <w:rsid w:val="00E566F3"/>
    <w:rsid w:val="00E56836"/>
    <w:rsid w:val="00E56845"/>
    <w:rsid w:val="00E56848"/>
    <w:rsid w:val="00E56932"/>
    <w:rsid w:val="00E56970"/>
    <w:rsid w:val="00E56985"/>
    <w:rsid w:val="00E56AE7"/>
    <w:rsid w:val="00E56BFD"/>
    <w:rsid w:val="00E56CA3"/>
    <w:rsid w:val="00E56EBA"/>
    <w:rsid w:val="00E56EF4"/>
    <w:rsid w:val="00E5704D"/>
    <w:rsid w:val="00E57173"/>
    <w:rsid w:val="00E571EA"/>
    <w:rsid w:val="00E571FA"/>
    <w:rsid w:val="00E57236"/>
    <w:rsid w:val="00E5725B"/>
    <w:rsid w:val="00E573CD"/>
    <w:rsid w:val="00E57598"/>
    <w:rsid w:val="00E578DE"/>
    <w:rsid w:val="00E5792A"/>
    <w:rsid w:val="00E57C07"/>
    <w:rsid w:val="00E57C08"/>
    <w:rsid w:val="00E57C64"/>
    <w:rsid w:val="00E57C7C"/>
    <w:rsid w:val="00E57DA2"/>
    <w:rsid w:val="00E57EFC"/>
    <w:rsid w:val="00E57F7B"/>
    <w:rsid w:val="00E602D1"/>
    <w:rsid w:val="00E606BF"/>
    <w:rsid w:val="00E609A5"/>
    <w:rsid w:val="00E60A41"/>
    <w:rsid w:val="00E60B37"/>
    <w:rsid w:val="00E60C79"/>
    <w:rsid w:val="00E60E34"/>
    <w:rsid w:val="00E60F53"/>
    <w:rsid w:val="00E61382"/>
    <w:rsid w:val="00E613D0"/>
    <w:rsid w:val="00E6140B"/>
    <w:rsid w:val="00E6160A"/>
    <w:rsid w:val="00E6167A"/>
    <w:rsid w:val="00E61859"/>
    <w:rsid w:val="00E61A1F"/>
    <w:rsid w:val="00E61AC8"/>
    <w:rsid w:val="00E61CD5"/>
    <w:rsid w:val="00E61DC0"/>
    <w:rsid w:val="00E61EAD"/>
    <w:rsid w:val="00E61F73"/>
    <w:rsid w:val="00E62099"/>
    <w:rsid w:val="00E621F5"/>
    <w:rsid w:val="00E623A6"/>
    <w:rsid w:val="00E62458"/>
    <w:rsid w:val="00E624C9"/>
    <w:rsid w:val="00E62566"/>
    <w:rsid w:val="00E627CB"/>
    <w:rsid w:val="00E62833"/>
    <w:rsid w:val="00E628EC"/>
    <w:rsid w:val="00E628EF"/>
    <w:rsid w:val="00E62961"/>
    <w:rsid w:val="00E62C30"/>
    <w:rsid w:val="00E62C92"/>
    <w:rsid w:val="00E62F81"/>
    <w:rsid w:val="00E62FDD"/>
    <w:rsid w:val="00E6300B"/>
    <w:rsid w:val="00E63085"/>
    <w:rsid w:val="00E6308F"/>
    <w:rsid w:val="00E63218"/>
    <w:rsid w:val="00E63587"/>
    <w:rsid w:val="00E63AA5"/>
    <w:rsid w:val="00E63DA3"/>
    <w:rsid w:val="00E63DE8"/>
    <w:rsid w:val="00E64117"/>
    <w:rsid w:val="00E6413B"/>
    <w:rsid w:val="00E6419D"/>
    <w:rsid w:val="00E644A3"/>
    <w:rsid w:val="00E647CA"/>
    <w:rsid w:val="00E647FC"/>
    <w:rsid w:val="00E64862"/>
    <w:rsid w:val="00E64B30"/>
    <w:rsid w:val="00E64CD4"/>
    <w:rsid w:val="00E64CDF"/>
    <w:rsid w:val="00E64EA6"/>
    <w:rsid w:val="00E64F55"/>
    <w:rsid w:val="00E65261"/>
    <w:rsid w:val="00E654F0"/>
    <w:rsid w:val="00E65571"/>
    <w:rsid w:val="00E657F0"/>
    <w:rsid w:val="00E658C9"/>
    <w:rsid w:val="00E659DF"/>
    <w:rsid w:val="00E65A32"/>
    <w:rsid w:val="00E65BA1"/>
    <w:rsid w:val="00E65C61"/>
    <w:rsid w:val="00E65C86"/>
    <w:rsid w:val="00E65CBA"/>
    <w:rsid w:val="00E65CCD"/>
    <w:rsid w:val="00E65E27"/>
    <w:rsid w:val="00E65E51"/>
    <w:rsid w:val="00E65F59"/>
    <w:rsid w:val="00E66004"/>
    <w:rsid w:val="00E6610D"/>
    <w:rsid w:val="00E66292"/>
    <w:rsid w:val="00E662C8"/>
    <w:rsid w:val="00E662E8"/>
    <w:rsid w:val="00E6643B"/>
    <w:rsid w:val="00E66484"/>
    <w:rsid w:val="00E6652E"/>
    <w:rsid w:val="00E665CA"/>
    <w:rsid w:val="00E66622"/>
    <w:rsid w:val="00E66778"/>
    <w:rsid w:val="00E66824"/>
    <w:rsid w:val="00E668F7"/>
    <w:rsid w:val="00E6697C"/>
    <w:rsid w:val="00E66BFB"/>
    <w:rsid w:val="00E66E61"/>
    <w:rsid w:val="00E66F57"/>
    <w:rsid w:val="00E66F5A"/>
    <w:rsid w:val="00E66F9D"/>
    <w:rsid w:val="00E67375"/>
    <w:rsid w:val="00E673A0"/>
    <w:rsid w:val="00E673A8"/>
    <w:rsid w:val="00E67477"/>
    <w:rsid w:val="00E67729"/>
    <w:rsid w:val="00E678AB"/>
    <w:rsid w:val="00E67A10"/>
    <w:rsid w:val="00E67C00"/>
    <w:rsid w:val="00E67C4D"/>
    <w:rsid w:val="00E67C92"/>
    <w:rsid w:val="00E67CF0"/>
    <w:rsid w:val="00E67CFC"/>
    <w:rsid w:val="00E67D1D"/>
    <w:rsid w:val="00E67EA6"/>
    <w:rsid w:val="00E67F27"/>
    <w:rsid w:val="00E67F8E"/>
    <w:rsid w:val="00E67FB7"/>
    <w:rsid w:val="00E67FEF"/>
    <w:rsid w:val="00E70111"/>
    <w:rsid w:val="00E70324"/>
    <w:rsid w:val="00E70828"/>
    <w:rsid w:val="00E70B72"/>
    <w:rsid w:val="00E70BF6"/>
    <w:rsid w:val="00E70DCC"/>
    <w:rsid w:val="00E70F58"/>
    <w:rsid w:val="00E7131E"/>
    <w:rsid w:val="00E71345"/>
    <w:rsid w:val="00E71547"/>
    <w:rsid w:val="00E716C9"/>
    <w:rsid w:val="00E71759"/>
    <w:rsid w:val="00E7177A"/>
    <w:rsid w:val="00E71795"/>
    <w:rsid w:val="00E7187A"/>
    <w:rsid w:val="00E718A9"/>
    <w:rsid w:val="00E718EF"/>
    <w:rsid w:val="00E7197D"/>
    <w:rsid w:val="00E719BD"/>
    <w:rsid w:val="00E71A74"/>
    <w:rsid w:val="00E71C3D"/>
    <w:rsid w:val="00E72137"/>
    <w:rsid w:val="00E72170"/>
    <w:rsid w:val="00E72361"/>
    <w:rsid w:val="00E7266C"/>
    <w:rsid w:val="00E72747"/>
    <w:rsid w:val="00E72B85"/>
    <w:rsid w:val="00E72DC8"/>
    <w:rsid w:val="00E72E08"/>
    <w:rsid w:val="00E72E9C"/>
    <w:rsid w:val="00E72F3C"/>
    <w:rsid w:val="00E730AB"/>
    <w:rsid w:val="00E73124"/>
    <w:rsid w:val="00E73240"/>
    <w:rsid w:val="00E732A7"/>
    <w:rsid w:val="00E735B5"/>
    <w:rsid w:val="00E7370C"/>
    <w:rsid w:val="00E73748"/>
    <w:rsid w:val="00E737C7"/>
    <w:rsid w:val="00E737EC"/>
    <w:rsid w:val="00E739BC"/>
    <w:rsid w:val="00E73A31"/>
    <w:rsid w:val="00E73A5C"/>
    <w:rsid w:val="00E73A70"/>
    <w:rsid w:val="00E73FAA"/>
    <w:rsid w:val="00E73FF0"/>
    <w:rsid w:val="00E741F3"/>
    <w:rsid w:val="00E74239"/>
    <w:rsid w:val="00E744AB"/>
    <w:rsid w:val="00E7456C"/>
    <w:rsid w:val="00E745D0"/>
    <w:rsid w:val="00E746C2"/>
    <w:rsid w:val="00E7482A"/>
    <w:rsid w:val="00E74999"/>
    <w:rsid w:val="00E74AA8"/>
    <w:rsid w:val="00E74B89"/>
    <w:rsid w:val="00E74D66"/>
    <w:rsid w:val="00E74DD9"/>
    <w:rsid w:val="00E74E27"/>
    <w:rsid w:val="00E74E43"/>
    <w:rsid w:val="00E74FCC"/>
    <w:rsid w:val="00E75006"/>
    <w:rsid w:val="00E751CD"/>
    <w:rsid w:val="00E752BD"/>
    <w:rsid w:val="00E75506"/>
    <w:rsid w:val="00E757D1"/>
    <w:rsid w:val="00E759D9"/>
    <w:rsid w:val="00E75B3B"/>
    <w:rsid w:val="00E75B73"/>
    <w:rsid w:val="00E75BFF"/>
    <w:rsid w:val="00E762E5"/>
    <w:rsid w:val="00E7633A"/>
    <w:rsid w:val="00E7633F"/>
    <w:rsid w:val="00E7666C"/>
    <w:rsid w:val="00E7687D"/>
    <w:rsid w:val="00E768F4"/>
    <w:rsid w:val="00E76D5C"/>
    <w:rsid w:val="00E76D67"/>
    <w:rsid w:val="00E773F5"/>
    <w:rsid w:val="00E7746B"/>
    <w:rsid w:val="00E7746D"/>
    <w:rsid w:val="00E7778D"/>
    <w:rsid w:val="00E778DE"/>
    <w:rsid w:val="00E778F5"/>
    <w:rsid w:val="00E779D1"/>
    <w:rsid w:val="00E77A99"/>
    <w:rsid w:val="00E77B1E"/>
    <w:rsid w:val="00E77B34"/>
    <w:rsid w:val="00E77B66"/>
    <w:rsid w:val="00E77B83"/>
    <w:rsid w:val="00E77B89"/>
    <w:rsid w:val="00E77C0B"/>
    <w:rsid w:val="00E77E5D"/>
    <w:rsid w:val="00E77E9B"/>
    <w:rsid w:val="00E77EC2"/>
    <w:rsid w:val="00E80171"/>
    <w:rsid w:val="00E80447"/>
    <w:rsid w:val="00E80526"/>
    <w:rsid w:val="00E80532"/>
    <w:rsid w:val="00E805F5"/>
    <w:rsid w:val="00E80881"/>
    <w:rsid w:val="00E80A2B"/>
    <w:rsid w:val="00E80AF4"/>
    <w:rsid w:val="00E80E03"/>
    <w:rsid w:val="00E80E2D"/>
    <w:rsid w:val="00E80FB7"/>
    <w:rsid w:val="00E80FD0"/>
    <w:rsid w:val="00E810D7"/>
    <w:rsid w:val="00E810ED"/>
    <w:rsid w:val="00E81112"/>
    <w:rsid w:val="00E81368"/>
    <w:rsid w:val="00E813C5"/>
    <w:rsid w:val="00E815BA"/>
    <w:rsid w:val="00E815D1"/>
    <w:rsid w:val="00E81633"/>
    <w:rsid w:val="00E81748"/>
    <w:rsid w:val="00E817D7"/>
    <w:rsid w:val="00E818EF"/>
    <w:rsid w:val="00E819A5"/>
    <w:rsid w:val="00E819CD"/>
    <w:rsid w:val="00E81D14"/>
    <w:rsid w:val="00E81F31"/>
    <w:rsid w:val="00E8203A"/>
    <w:rsid w:val="00E8214A"/>
    <w:rsid w:val="00E82187"/>
    <w:rsid w:val="00E8225F"/>
    <w:rsid w:val="00E82531"/>
    <w:rsid w:val="00E8257A"/>
    <w:rsid w:val="00E825CF"/>
    <w:rsid w:val="00E82838"/>
    <w:rsid w:val="00E828A5"/>
    <w:rsid w:val="00E82BE9"/>
    <w:rsid w:val="00E82C25"/>
    <w:rsid w:val="00E82C30"/>
    <w:rsid w:val="00E82D21"/>
    <w:rsid w:val="00E82DCA"/>
    <w:rsid w:val="00E82EDF"/>
    <w:rsid w:val="00E83088"/>
    <w:rsid w:val="00E83223"/>
    <w:rsid w:val="00E83290"/>
    <w:rsid w:val="00E835C2"/>
    <w:rsid w:val="00E83691"/>
    <w:rsid w:val="00E836C7"/>
    <w:rsid w:val="00E8373B"/>
    <w:rsid w:val="00E838A2"/>
    <w:rsid w:val="00E838B4"/>
    <w:rsid w:val="00E838F0"/>
    <w:rsid w:val="00E83A21"/>
    <w:rsid w:val="00E83A3D"/>
    <w:rsid w:val="00E83A99"/>
    <w:rsid w:val="00E83C31"/>
    <w:rsid w:val="00E83C6E"/>
    <w:rsid w:val="00E83CF9"/>
    <w:rsid w:val="00E8405A"/>
    <w:rsid w:val="00E84344"/>
    <w:rsid w:val="00E8460F"/>
    <w:rsid w:val="00E84990"/>
    <w:rsid w:val="00E849B6"/>
    <w:rsid w:val="00E84BC9"/>
    <w:rsid w:val="00E84C05"/>
    <w:rsid w:val="00E84C73"/>
    <w:rsid w:val="00E84C7B"/>
    <w:rsid w:val="00E84CF2"/>
    <w:rsid w:val="00E84D13"/>
    <w:rsid w:val="00E84DD2"/>
    <w:rsid w:val="00E84FB0"/>
    <w:rsid w:val="00E851DF"/>
    <w:rsid w:val="00E851EF"/>
    <w:rsid w:val="00E8520D"/>
    <w:rsid w:val="00E852B6"/>
    <w:rsid w:val="00E85309"/>
    <w:rsid w:val="00E85383"/>
    <w:rsid w:val="00E854D7"/>
    <w:rsid w:val="00E85540"/>
    <w:rsid w:val="00E8578E"/>
    <w:rsid w:val="00E85AF2"/>
    <w:rsid w:val="00E85C7E"/>
    <w:rsid w:val="00E85F86"/>
    <w:rsid w:val="00E85FFC"/>
    <w:rsid w:val="00E86382"/>
    <w:rsid w:val="00E863EF"/>
    <w:rsid w:val="00E86578"/>
    <w:rsid w:val="00E8661E"/>
    <w:rsid w:val="00E867AA"/>
    <w:rsid w:val="00E867AE"/>
    <w:rsid w:val="00E86C4E"/>
    <w:rsid w:val="00E86C55"/>
    <w:rsid w:val="00E86D57"/>
    <w:rsid w:val="00E86D7D"/>
    <w:rsid w:val="00E86DCF"/>
    <w:rsid w:val="00E86E91"/>
    <w:rsid w:val="00E86FE9"/>
    <w:rsid w:val="00E87308"/>
    <w:rsid w:val="00E87320"/>
    <w:rsid w:val="00E87875"/>
    <w:rsid w:val="00E878C6"/>
    <w:rsid w:val="00E87A71"/>
    <w:rsid w:val="00E87AE9"/>
    <w:rsid w:val="00E87B39"/>
    <w:rsid w:val="00E87B75"/>
    <w:rsid w:val="00E87C8B"/>
    <w:rsid w:val="00E87CA2"/>
    <w:rsid w:val="00E87CD2"/>
    <w:rsid w:val="00E87D24"/>
    <w:rsid w:val="00E87DAB"/>
    <w:rsid w:val="00E87E98"/>
    <w:rsid w:val="00E87F04"/>
    <w:rsid w:val="00E901E5"/>
    <w:rsid w:val="00E9028F"/>
    <w:rsid w:val="00E9029F"/>
    <w:rsid w:val="00E902BE"/>
    <w:rsid w:val="00E902E5"/>
    <w:rsid w:val="00E903EE"/>
    <w:rsid w:val="00E90522"/>
    <w:rsid w:val="00E90603"/>
    <w:rsid w:val="00E90605"/>
    <w:rsid w:val="00E9079F"/>
    <w:rsid w:val="00E907D7"/>
    <w:rsid w:val="00E907EF"/>
    <w:rsid w:val="00E908C6"/>
    <w:rsid w:val="00E90972"/>
    <w:rsid w:val="00E90A05"/>
    <w:rsid w:val="00E90AF3"/>
    <w:rsid w:val="00E90DE0"/>
    <w:rsid w:val="00E91173"/>
    <w:rsid w:val="00E91239"/>
    <w:rsid w:val="00E9124B"/>
    <w:rsid w:val="00E91325"/>
    <w:rsid w:val="00E91352"/>
    <w:rsid w:val="00E91399"/>
    <w:rsid w:val="00E915BE"/>
    <w:rsid w:val="00E916ED"/>
    <w:rsid w:val="00E91762"/>
    <w:rsid w:val="00E9177A"/>
    <w:rsid w:val="00E9194C"/>
    <w:rsid w:val="00E91B7F"/>
    <w:rsid w:val="00E91B86"/>
    <w:rsid w:val="00E91B92"/>
    <w:rsid w:val="00E91C9E"/>
    <w:rsid w:val="00E91CAF"/>
    <w:rsid w:val="00E91E3B"/>
    <w:rsid w:val="00E91E5B"/>
    <w:rsid w:val="00E9214D"/>
    <w:rsid w:val="00E92250"/>
    <w:rsid w:val="00E9229E"/>
    <w:rsid w:val="00E923AC"/>
    <w:rsid w:val="00E92553"/>
    <w:rsid w:val="00E926A7"/>
    <w:rsid w:val="00E927C8"/>
    <w:rsid w:val="00E92A61"/>
    <w:rsid w:val="00E92B0F"/>
    <w:rsid w:val="00E92BA1"/>
    <w:rsid w:val="00E92DE5"/>
    <w:rsid w:val="00E932CA"/>
    <w:rsid w:val="00E933A3"/>
    <w:rsid w:val="00E933E7"/>
    <w:rsid w:val="00E93548"/>
    <w:rsid w:val="00E93585"/>
    <w:rsid w:val="00E9362F"/>
    <w:rsid w:val="00E93680"/>
    <w:rsid w:val="00E93902"/>
    <w:rsid w:val="00E9391A"/>
    <w:rsid w:val="00E93990"/>
    <w:rsid w:val="00E939A0"/>
    <w:rsid w:val="00E93AA6"/>
    <w:rsid w:val="00E93B6D"/>
    <w:rsid w:val="00E93C10"/>
    <w:rsid w:val="00E93C48"/>
    <w:rsid w:val="00E93D1E"/>
    <w:rsid w:val="00E93F8B"/>
    <w:rsid w:val="00E942E3"/>
    <w:rsid w:val="00E9463A"/>
    <w:rsid w:val="00E946A1"/>
    <w:rsid w:val="00E94723"/>
    <w:rsid w:val="00E947BA"/>
    <w:rsid w:val="00E947C6"/>
    <w:rsid w:val="00E94A84"/>
    <w:rsid w:val="00E94B82"/>
    <w:rsid w:val="00E94BC4"/>
    <w:rsid w:val="00E94C35"/>
    <w:rsid w:val="00E94CD2"/>
    <w:rsid w:val="00E94E60"/>
    <w:rsid w:val="00E94F6F"/>
    <w:rsid w:val="00E950A0"/>
    <w:rsid w:val="00E95106"/>
    <w:rsid w:val="00E951F4"/>
    <w:rsid w:val="00E95345"/>
    <w:rsid w:val="00E954E6"/>
    <w:rsid w:val="00E95559"/>
    <w:rsid w:val="00E955CF"/>
    <w:rsid w:val="00E95714"/>
    <w:rsid w:val="00E9579F"/>
    <w:rsid w:val="00E957CD"/>
    <w:rsid w:val="00E957E9"/>
    <w:rsid w:val="00E9598D"/>
    <w:rsid w:val="00E95C8A"/>
    <w:rsid w:val="00E95C98"/>
    <w:rsid w:val="00E95CF5"/>
    <w:rsid w:val="00E95D68"/>
    <w:rsid w:val="00E95DAF"/>
    <w:rsid w:val="00E95DE5"/>
    <w:rsid w:val="00E95EE5"/>
    <w:rsid w:val="00E95FB9"/>
    <w:rsid w:val="00E95FE3"/>
    <w:rsid w:val="00E96019"/>
    <w:rsid w:val="00E96063"/>
    <w:rsid w:val="00E960B1"/>
    <w:rsid w:val="00E9615F"/>
    <w:rsid w:val="00E96169"/>
    <w:rsid w:val="00E961C4"/>
    <w:rsid w:val="00E96273"/>
    <w:rsid w:val="00E96297"/>
    <w:rsid w:val="00E96326"/>
    <w:rsid w:val="00E9633F"/>
    <w:rsid w:val="00E96395"/>
    <w:rsid w:val="00E963AB"/>
    <w:rsid w:val="00E96458"/>
    <w:rsid w:val="00E9652F"/>
    <w:rsid w:val="00E967A9"/>
    <w:rsid w:val="00E96846"/>
    <w:rsid w:val="00E969B6"/>
    <w:rsid w:val="00E96BD9"/>
    <w:rsid w:val="00E96CC5"/>
    <w:rsid w:val="00E96D3D"/>
    <w:rsid w:val="00E96D76"/>
    <w:rsid w:val="00E96DCE"/>
    <w:rsid w:val="00E96E82"/>
    <w:rsid w:val="00E96F02"/>
    <w:rsid w:val="00E96FDD"/>
    <w:rsid w:val="00E9733D"/>
    <w:rsid w:val="00E97441"/>
    <w:rsid w:val="00E974C1"/>
    <w:rsid w:val="00E976AC"/>
    <w:rsid w:val="00E977A2"/>
    <w:rsid w:val="00E97853"/>
    <w:rsid w:val="00E979F9"/>
    <w:rsid w:val="00E97ABA"/>
    <w:rsid w:val="00E97B6A"/>
    <w:rsid w:val="00E97B77"/>
    <w:rsid w:val="00E97C59"/>
    <w:rsid w:val="00E97D0A"/>
    <w:rsid w:val="00E97E1F"/>
    <w:rsid w:val="00E97EB1"/>
    <w:rsid w:val="00EA000D"/>
    <w:rsid w:val="00EA004B"/>
    <w:rsid w:val="00EA00F3"/>
    <w:rsid w:val="00EA0123"/>
    <w:rsid w:val="00EA01D9"/>
    <w:rsid w:val="00EA0563"/>
    <w:rsid w:val="00EA0615"/>
    <w:rsid w:val="00EA092C"/>
    <w:rsid w:val="00EA0CCB"/>
    <w:rsid w:val="00EA0D44"/>
    <w:rsid w:val="00EA0DB5"/>
    <w:rsid w:val="00EA0ED5"/>
    <w:rsid w:val="00EA0F5A"/>
    <w:rsid w:val="00EA1036"/>
    <w:rsid w:val="00EA10FD"/>
    <w:rsid w:val="00EA1131"/>
    <w:rsid w:val="00EA1174"/>
    <w:rsid w:val="00EA1184"/>
    <w:rsid w:val="00EA146D"/>
    <w:rsid w:val="00EA172A"/>
    <w:rsid w:val="00EA172C"/>
    <w:rsid w:val="00EA1822"/>
    <w:rsid w:val="00EA182E"/>
    <w:rsid w:val="00EA19FD"/>
    <w:rsid w:val="00EA1AFA"/>
    <w:rsid w:val="00EA1DFE"/>
    <w:rsid w:val="00EA1E5B"/>
    <w:rsid w:val="00EA1EB4"/>
    <w:rsid w:val="00EA1EB9"/>
    <w:rsid w:val="00EA20A9"/>
    <w:rsid w:val="00EA2187"/>
    <w:rsid w:val="00EA21F6"/>
    <w:rsid w:val="00EA222B"/>
    <w:rsid w:val="00EA2356"/>
    <w:rsid w:val="00EA2443"/>
    <w:rsid w:val="00EA24E5"/>
    <w:rsid w:val="00EA2573"/>
    <w:rsid w:val="00EA25B3"/>
    <w:rsid w:val="00EA2733"/>
    <w:rsid w:val="00EA275C"/>
    <w:rsid w:val="00EA27D6"/>
    <w:rsid w:val="00EA282A"/>
    <w:rsid w:val="00EA290C"/>
    <w:rsid w:val="00EA299E"/>
    <w:rsid w:val="00EA2B55"/>
    <w:rsid w:val="00EA2B84"/>
    <w:rsid w:val="00EA2C7E"/>
    <w:rsid w:val="00EA2EE3"/>
    <w:rsid w:val="00EA2EFB"/>
    <w:rsid w:val="00EA30BE"/>
    <w:rsid w:val="00EA343C"/>
    <w:rsid w:val="00EA3512"/>
    <w:rsid w:val="00EA375B"/>
    <w:rsid w:val="00EA37B5"/>
    <w:rsid w:val="00EA3852"/>
    <w:rsid w:val="00EA38F2"/>
    <w:rsid w:val="00EA3953"/>
    <w:rsid w:val="00EA3ACD"/>
    <w:rsid w:val="00EA3DB4"/>
    <w:rsid w:val="00EA3F46"/>
    <w:rsid w:val="00EA40EA"/>
    <w:rsid w:val="00EA4210"/>
    <w:rsid w:val="00EA4278"/>
    <w:rsid w:val="00EA4294"/>
    <w:rsid w:val="00EA430F"/>
    <w:rsid w:val="00EA4537"/>
    <w:rsid w:val="00EA494B"/>
    <w:rsid w:val="00EA495E"/>
    <w:rsid w:val="00EA49DC"/>
    <w:rsid w:val="00EA4C16"/>
    <w:rsid w:val="00EA4DFB"/>
    <w:rsid w:val="00EA4FB3"/>
    <w:rsid w:val="00EA50B4"/>
    <w:rsid w:val="00EA521F"/>
    <w:rsid w:val="00EA549D"/>
    <w:rsid w:val="00EA55B8"/>
    <w:rsid w:val="00EA596F"/>
    <w:rsid w:val="00EA5C33"/>
    <w:rsid w:val="00EA5D93"/>
    <w:rsid w:val="00EA5E66"/>
    <w:rsid w:val="00EA5EF1"/>
    <w:rsid w:val="00EA60D0"/>
    <w:rsid w:val="00EA654F"/>
    <w:rsid w:val="00EA65E7"/>
    <w:rsid w:val="00EA6727"/>
    <w:rsid w:val="00EA6765"/>
    <w:rsid w:val="00EA67BF"/>
    <w:rsid w:val="00EA6805"/>
    <w:rsid w:val="00EA69E8"/>
    <w:rsid w:val="00EA6A92"/>
    <w:rsid w:val="00EA6B14"/>
    <w:rsid w:val="00EA6D39"/>
    <w:rsid w:val="00EA6DA5"/>
    <w:rsid w:val="00EA6E28"/>
    <w:rsid w:val="00EA73D6"/>
    <w:rsid w:val="00EA7452"/>
    <w:rsid w:val="00EA74D4"/>
    <w:rsid w:val="00EA76B6"/>
    <w:rsid w:val="00EA777B"/>
    <w:rsid w:val="00EA77B7"/>
    <w:rsid w:val="00EA77E0"/>
    <w:rsid w:val="00EA781A"/>
    <w:rsid w:val="00EA7865"/>
    <w:rsid w:val="00EA78D3"/>
    <w:rsid w:val="00EA7C1F"/>
    <w:rsid w:val="00EA7C50"/>
    <w:rsid w:val="00EA7C70"/>
    <w:rsid w:val="00EA7CEE"/>
    <w:rsid w:val="00EA7E34"/>
    <w:rsid w:val="00EA7EEC"/>
    <w:rsid w:val="00EB01DD"/>
    <w:rsid w:val="00EB01FC"/>
    <w:rsid w:val="00EB0299"/>
    <w:rsid w:val="00EB0345"/>
    <w:rsid w:val="00EB07F7"/>
    <w:rsid w:val="00EB0853"/>
    <w:rsid w:val="00EB0909"/>
    <w:rsid w:val="00EB090D"/>
    <w:rsid w:val="00EB0AF6"/>
    <w:rsid w:val="00EB0B94"/>
    <w:rsid w:val="00EB0E19"/>
    <w:rsid w:val="00EB0E8E"/>
    <w:rsid w:val="00EB0ED9"/>
    <w:rsid w:val="00EB12BA"/>
    <w:rsid w:val="00EB12CF"/>
    <w:rsid w:val="00EB1329"/>
    <w:rsid w:val="00EB14C6"/>
    <w:rsid w:val="00EB1739"/>
    <w:rsid w:val="00EB19B8"/>
    <w:rsid w:val="00EB19F7"/>
    <w:rsid w:val="00EB1AE9"/>
    <w:rsid w:val="00EB1CFE"/>
    <w:rsid w:val="00EB1D55"/>
    <w:rsid w:val="00EB1EE3"/>
    <w:rsid w:val="00EB1FAF"/>
    <w:rsid w:val="00EB205D"/>
    <w:rsid w:val="00EB219D"/>
    <w:rsid w:val="00EB21A7"/>
    <w:rsid w:val="00EB21A8"/>
    <w:rsid w:val="00EB2253"/>
    <w:rsid w:val="00EB23C1"/>
    <w:rsid w:val="00EB25EF"/>
    <w:rsid w:val="00EB26C9"/>
    <w:rsid w:val="00EB2703"/>
    <w:rsid w:val="00EB2B09"/>
    <w:rsid w:val="00EB2BA0"/>
    <w:rsid w:val="00EB2D35"/>
    <w:rsid w:val="00EB2EAF"/>
    <w:rsid w:val="00EB2F17"/>
    <w:rsid w:val="00EB2F7F"/>
    <w:rsid w:val="00EB2F97"/>
    <w:rsid w:val="00EB307F"/>
    <w:rsid w:val="00EB31A3"/>
    <w:rsid w:val="00EB32F6"/>
    <w:rsid w:val="00EB32FA"/>
    <w:rsid w:val="00EB3321"/>
    <w:rsid w:val="00EB3381"/>
    <w:rsid w:val="00EB34E4"/>
    <w:rsid w:val="00EB35B8"/>
    <w:rsid w:val="00EB3828"/>
    <w:rsid w:val="00EB392C"/>
    <w:rsid w:val="00EB3BBC"/>
    <w:rsid w:val="00EB3C4A"/>
    <w:rsid w:val="00EB3D36"/>
    <w:rsid w:val="00EB3DBB"/>
    <w:rsid w:val="00EB3EFC"/>
    <w:rsid w:val="00EB4000"/>
    <w:rsid w:val="00EB40DF"/>
    <w:rsid w:val="00EB41BF"/>
    <w:rsid w:val="00EB4243"/>
    <w:rsid w:val="00EB463A"/>
    <w:rsid w:val="00EB4940"/>
    <w:rsid w:val="00EB497B"/>
    <w:rsid w:val="00EB4A87"/>
    <w:rsid w:val="00EB4B88"/>
    <w:rsid w:val="00EB4C7F"/>
    <w:rsid w:val="00EB4DD1"/>
    <w:rsid w:val="00EB4DD8"/>
    <w:rsid w:val="00EB4F2D"/>
    <w:rsid w:val="00EB4F46"/>
    <w:rsid w:val="00EB4FF6"/>
    <w:rsid w:val="00EB5048"/>
    <w:rsid w:val="00EB51CC"/>
    <w:rsid w:val="00EB51CF"/>
    <w:rsid w:val="00EB528A"/>
    <w:rsid w:val="00EB5337"/>
    <w:rsid w:val="00EB535F"/>
    <w:rsid w:val="00EB539D"/>
    <w:rsid w:val="00EB553A"/>
    <w:rsid w:val="00EB55AB"/>
    <w:rsid w:val="00EB5644"/>
    <w:rsid w:val="00EB56A8"/>
    <w:rsid w:val="00EB59BB"/>
    <w:rsid w:val="00EB5AEE"/>
    <w:rsid w:val="00EB5CE3"/>
    <w:rsid w:val="00EB5E40"/>
    <w:rsid w:val="00EB5E45"/>
    <w:rsid w:val="00EB5E8B"/>
    <w:rsid w:val="00EB5ED8"/>
    <w:rsid w:val="00EB5F72"/>
    <w:rsid w:val="00EB5FE1"/>
    <w:rsid w:val="00EB6011"/>
    <w:rsid w:val="00EB60DF"/>
    <w:rsid w:val="00EB62DB"/>
    <w:rsid w:val="00EB6446"/>
    <w:rsid w:val="00EB6649"/>
    <w:rsid w:val="00EB6710"/>
    <w:rsid w:val="00EB6711"/>
    <w:rsid w:val="00EB672E"/>
    <w:rsid w:val="00EB6788"/>
    <w:rsid w:val="00EB67EB"/>
    <w:rsid w:val="00EB6817"/>
    <w:rsid w:val="00EB696D"/>
    <w:rsid w:val="00EB6AE4"/>
    <w:rsid w:val="00EB6C6C"/>
    <w:rsid w:val="00EB6C87"/>
    <w:rsid w:val="00EB6C94"/>
    <w:rsid w:val="00EB6FB1"/>
    <w:rsid w:val="00EB6FD0"/>
    <w:rsid w:val="00EB704E"/>
    <w:rsid w:val="00EB705B"/>
    <w:rsid w:val="00EB721D"/>
    <w:rsid w:val="00EB7561"/>
    <w:rsid w:val="00EB7577"/>
    <w:rsid w:val="00EB763F"/>
    <w:rsid w:val="00EB79D2"/>
    <w:rsid w:val="00EB7BB9"/>
    <w:rsid w:val="00EB7C3A"/>
    <w:rsid w:val="00EB7CA4"/>
    <w:rsid w:val="00EB7E44"/>
    <w:rsid w:val="00EC01B4"/>
    <w:rsid w:val="00EC0359"/>
    <w:rsid w:val="00EC04FC"/>
    <w:rsid w:val="00EC052A"/>
    <w:rsid w:val="00EC0571"/>
    <w:rsid w:val="00EC061A"/>
    <w:rsid w:val="00EC067C"/>
    <w:rsid w:val="00EC06B8"/>
    <w:rsid w:val="00EC06EF"/>
    <w:rsid w:val="00EC06FE"/>
    <w:rsid w:val="00EC0855"/>
    <w:rsid w:val="00EC097B"/>
    <w:rsid w:val="00EC0CA9"/>
    <w:rsid w:val="00EC0E59"/>
    <w:rsid w:val="00EC0FB8"/>
    <w:rsid w:val="00EC1040"/>
    <w:rsid w:val="00EC1176"/>
    <w:rsid w:val="00EC1352"/>
    <w:rsid w:val="00EC1531"/>
    <w:rsid w:val="00EC1626"/>
    <w:rsid w:val="00EC1708"/>
    <w:rsid w:val="00EC180F"/>
    <w:rsid w:val="00EC1896"/>
    <w:rsid w:val="00EC1899"/>
    <w:rsid w:val="00EC1A4C"/>
    <w:rsid w:val="00EC1B4C"/>
    <w:rsid w:val="00EC1C28"/>
    <w:rsid w:val="00EC1CFB"/>
    <w:rsid w:val="00EC1D51"/>
    <w:rsid w:val="00EC1E33"/>
    <w:rsid w:val="00EC1E6D"/>
    <w:rsid w:val="00EC1F16"/>
    <w:rsid w:val="00EC2018"/>
    <w:rsid w:val="00EC229D"/>
    <w:rsid w:val="00EC22B7"/>
    <w:rsid w:val="00EC23F5"/>
    <w:rsid w:val="00EC25D5"/>
    <w:rsid w:val="00EC282B"/>
    <w:rsid w:val="00EC288D"/>
    <w:rsid w:val="00EC28E5"/>
    <w:rsid w:val="00EC2CE1"/>
    <w:rsid w:val="00EC2CFB"/>
    <w:rsid w:val="00EC2E5A"/>
    <w:rsid w:val="00EC2EA4"/>
    <w:rsid w:val="00EC2FA6"/>
    <w:rsid w:val="00EC3086"/>
    <w:rsid w:val="00EC325E"/>
    <w:rsid w:val="00EC3355"/>
    <w:rsid w:val="00EC33D1"/>
    <w:rsid w:val="00EC35B5"/>
    <w:rsid w:val="00EC395D"/>
    <w:rsid w:val="00EC3961"/>
    <w:rsid w:val="00EC39F1"/>
    <w:rsid w:val="00EC3C75"/>
    <w:rsid w:val="00EC3DCE"/>
    <w:rsid w:val="00EC3DEE"/>
    <w:rsid w:val="00EC3EC0"/>
    <w:rsid w:val="00EC3EE4"/>
    <w:rsid w:val="00EC4206"/>
    <w:rsid w:val="00EC4322"/>
    <w:rsid w:val="00EC432E"/>
    <w:rsid w:val="00EC4448"/>
    <w:rsid w:val="00EC4582"/>
    <w:rsid w:val="00EC4589"/>
    <w:rsid w:val="00EC484F"/>
    <w:rsid w:val="00EC4898"/>
    <w:rsid w:val="00EC4988"/>
    <w:rsid w:val="00EC4997"/>
    <w:rsid w:val="00EC49E1"/>
    <w:rsid w:val="00EC4AC4"/>
    <w:rsid w:val="00EC4C9C"/>
    <w:rsid w:val="00EC4D75"/>
    <w:rsid w:val="00EC4D7B"/>
    <w:rsid w:val="00EC4F02"/>
    <w:rsid w:val="00EC4FA9"/>
    <w:rsid w:val="00EC50C3"/>
    <w:rsid w:val="00EC53AA"/>
    <w:rsid w:val="00EC5685"/>
    <w:rsid w:val="00EC58F9"/>
    <w:rsid w:val="00EC59BB"/>
    <w:rsid w:val="00EC5B06"/>
    <w:rsid w:val="00EC5C43"/>
    <w:rsid w:val="00EC5CD6"/>
    <w:rsid w:val="00EC5CE0"/>
    <w:rsid w:val="00EC5D5E"/>
    <w:rsid w:val="00EC5E79"/>
    <w:rsid w:val="00EC5EB0"/>
    <w:rsid w:val="00EC5EE8"/>
    <w:rsid w:val="00EC5F52"/>
    <w:rsid w:val="00EC6015"/>
    <w:rsid w:val="00EC6038"/>
    <w:rsid w:val="00EC6059"/>
    <w:rsid w:val="00EC619D"/>
    <w:rsid w:val="00EC6344"/>
    <w:rsid w:val="00EC637B"/>
    <w:rsid w:val="00EC63B9"/>
    <w:rsid w:val="00EC646A"/>
    <w:rsid w:val="00EC6479"/>
    <w:rsid w:val="00EC6549"/>
    <w:rsid w:val="00EC6A24"/>
    <w:rsid w:val="00EC6A92"/>
    <w:rsid w:val="00EC6B3E"/>
    <w:rsid w:val="00EC6BB7"/>
    <w:rsid w:val="00EC6D1A"/>
    <w:rsid w:val="00EC6E0A"/>
    <w:rsid w:val="00EC6EB2"/>
    <w:rsid w:val="00EC6F13"/>
    <w:rsid w:val="00EC6F89"/>
    <w:rsid w:val="00EC70AE"/>
    <w:rsid w:val="00EC7223"/>
    <w:rsid w:val="00EC738C"/>
    <w:rsid w:val="00EC73B5"/>
    <w:rsid w:val="00EC74AC"/>
    <w:rsid w:val="00EC759F"/>
    <w:rsid w:val="00EC7869"/>
    <w:rsid w:val="00EC78E7"/>
    <w:rsid w:val="00EC796B"/>
    <w:rsid w:val="00EC79A8"/>
    <w:rsid w:val="00EC7B9A"/>
    <w:rsid w:val="00EC7FBE"/>
    <w:rsid w:val="00EC7FD8"/>
    <w:rsid w:val="00EC7FDD"/>
    <w:rsid w:val="00EC7FF8"/>
    <w:rsid w:val="00ED01D3"/>
    <w:rsid w:val="00ED0476"/>
    <w:rsid w:val="00ED05EF"/>
    <w:rsid w:val="00ED063B"/>
    <w:rsid w:val="00ED07F4"/>
    <w:rsid w:val="00ED08CA"/>
    <w:rsid w:val="00ED0A19"/>
    <w:rsid w:val="00ED0B3D"/>
    <w:rsid w:val="00ED0B4F"/>
    <w:rsid w:val="00ED0C3E"/>
    <w:rsid w:val="00ED0C5C"/>
    <w:rsid w:val="00ED0C68"/>
    <w:rsid w:val="00ED1001"/>
    <w:rsid w:val="00ED1196"/>
    <w:rsid w:val="00ED1289"/>
    <w:rsid w:val="00ED130C"/>
    <w:rsid w:val="00ED138F"/>
    <w:rsid w:val="00ED1563"/>
    <w:rsid w:val="00ED15AB"/>
    <w:rsid w:val="00ED15E2"/>
    <w:rsid w:val="00ED17C0"/>
    <w:rsid w:val="00ED1A8F"/>
    <w:rsid w:val="00ED1AB6"/>
    <w:rsid w:val="00ED1C2A"/>
    <w:rsid w:val="00ED1C44"/>
    <w:rsid w:val="00ED1F41"/>
    <w:rsid w:val="00ED1FE2"/>
    <w:rsid w:val="00ED2012"/>
    <w:rsid w:val="00ED2075"/>
    <w:rsid w:val="00ED2109"/>
    <w:rsid w:val="00ED2486"/>
    <w:rsid w:val="00ED24F5"/>
    <w:rsid w:val="00ED254E"/>
    <w:rsid w:val="00ED2584"/>
    <w:rsid w:val="00ED281E"/>
    <w:rsid w:val="00ED291F"/>
    <w:rsid w:val="00ED2949"/>
    <w:rsid w:val="00ED2984"/>
    <w:rsid w:val="00ED2A8D"/>
    <w:rsid w:val="00ED2BC9"/>
    <w:rsid w:val="00ED2DEF"/>
    <w:rsid w:val="00ED2E7E"/>
    <w:rsid w:val="00ED3091"/>
    <w:rsid w:val="00ED32E5"/>
    <w:rsid w:val="00ED3363"/>
    <w:rsid w:val="00ED3409"/>
    <w:rsid w:val="00ED35B1"/>
    <w:rsid w:val="00ED3633"/>
    <w:rsid w:val="00ED3663"/>
    <w:rsid w:val="00ED36E0"/>
    <w:rsid w:val="00ED37DA"/>
    <w:rsid w:val="00ED39A7"/>
    <w:rsid w:val="00ED3AAC"/>
    <w:rsid w:val="00ED3EB5"/>
    <w:rsid w:val="00ED40BC"/>
    <w:rsid w:val="00ED4152"/>
    <w:rsid w:val="00ED41D4"/>
    <w:rsid w:val="00ED44FB"/>
    <w:rsid w:val="00ED452D"/>
    <w:rsid w:val="00ED4619"/>
    <w:rsid w:val="00ED474F"/>
    <w:rsid w:val="00ED4B19"/>
    <w:rsid w:val="00ED4D37"/>
    <w:rsid w:val="00ED4EEE"/>
    <w:rsid w:val="00ED4FF7"/>
    <w:rsid w:val="00ED5115"/>
    <w:rsid w:val="00ED51DD"/>
    <w:rsid w:val="00ED5300"/>
    <w:rsid w:val="00ED542D"/>
    <w:rsid w:val="00ED549B"/>
    <w:rsid w:val="00ED54CE"/>
    <w:rsid w:val="00ED55C8"/>
    <w:rsid w:val="00ED5727"/>
    <w:rsid w:val="00ED581F"/>
    <w:rsid w:val="00ED58EA"/>
    <w:rsid w:val="00ED5929"/>
    <w:rsid w:val="00ED5AB7"/>
    <w:rsid w:val="00ED5C41"/>
    <w:rsid w:val="00ED5C8F"/>
    <w:rsid w:val="00ED5E81"/>
    <w:rsid w:val="00ED5EC8"/>
    <w:rsid w:val="00ED5EFB"/>
    <w:rsid w:val="00ED5F34"/>
    <w:rsid w:val="00ED5F79"/>
    <w:rsid w:val="00ED5FBA"/>
    <w:rsid w:val="00ED62BD"/>
    <w:rsid w:val="00ED632D"/>
    <w:rsid w:val="00ED6347"/>
    <w:rsid w:val="00ED676A"/>
    <w:rsid w:val="00ED67A7"/>
    <w:rsid w:val="00ED6AFF"/>
    <w:rsid w:val="00ED6C37"/>
    <w:rsid w:val="00ED6C3F"/>
    <w:rsid w:val="00ED6C99"/>
    <w:rsid w:val="00ED6CBA"/>
    <w:rsid w:val="00ED6DB1"/>
    <w:rsid w:val="00ED6E65"/>
    <w:rsid w:val="00ED6E97"/>
    <w:rsid w:val="00ED6EBB"/>
    <w:rsid w:val="00ED6F3B"/>
    <w:rsid w:val="00ED6F6B"/>
    <w:rsid w:val="00ED6FC6"/>
    <w:rsid w:val="00ED6FCD"/>
    <w:rsid w:val="00ED7194"/>
    <w:rsid w:val="00ED72E3"/>
    <w:rsid w:val="00ED7473"/>
    <w:rsid w:val="00ED752D"/>
    <w:rsid w:val="00ED75C2"/>
    <w:rsid w:val="00ED76AD"/>
    <w:rsid w:val="00ED77D8"/>
    <w:rsid w:val="00ED7A53"/>
    <w:rsid w:val="00ED7B5B"/>
    <w:rsid w:val="00ED7C91"/>
    <w:rsid w:val="00ED7E4B"/>
    <w:rsid w:val="00EE001B"/>
    <w:rsid w:val="00EE0171"/>
    <w:rsid w:val="00EE0369"/>
    <w:rsid w:val="00EE0598"/>
    <w:rsid w:val="00EE0747"/>
    <w:rsid w:val="00EE0758"/>
    <w:rsid w:val="00EE0762"/>
    <w:rsid w:val="00EE0803"/>
    <w:rsid w:val="00EE08CD"/>
    <w:rsid w:val="00EE0903"/>
    <w:rsid w:val="00EE0969"/>
    <w:rsid w:val="00EE0981"/>
    <w:rsid w:val="00EE09A3"/>
    <w:rsid w:val="00EE0D3A"/>
    <w:rsid w:val="00EE0E5A"/>
    <w:rsid w:val="00EE0EB9"/>
    <w:rsid w:val="00EE0EF0"/>
    <w:rsid w:val="00EE107C"/>
    <w:rsid w:val="00EE10B2"/>
    <w:rsid w:val="00EE1180"/>
    <w:rsid w:val="00EE121F"/>
    <w:rsid w:val="00EE126F"/>
    <w:rsid w:val="00EE1432"/>
    <w:rsid w:val="00EE146E"/>
    <w:rsid w:val="00EE14BF"/>
    <w:rsid w:val="00EE15E9"/>
    <w:rsid w:val="00EE1636"/>
    <w:rsid w:val="00EE165B"/>
    <w:rsid w:val="00EE17E4"/>
    <w:rsid w:val="00EE17F7"/>
    <w:rsid w:val="00EE191C"/>
    <w:rsid w:val="00EE1949"/>
    <w:rsid w:val="00EE1AC9"/>
    <w:rsid w:val="00EE1AD4"/>
    <w:rsid w:val="00EE1CA5"/>
    <w:rsid w:val="00EE1CF9"/>
    <w:rsid w:val="00EE1DFC"/>
    <w:rsid w:val="00EE1F76"/>
    <w:rsid w:val="00EE1F8B"/>
    <w:rsid w:val="00EE1FA0"/>
    <w:rsid w:val="00EE2239"/>
    <w:rsid w:val="00EE2392"/>
    <w:rsid w:val="00EE240C"/>
    <w:rsid w:val="00EE2438"/>
    <w:rsid w:val="00EE2530"/>
    <w:rsid w:val="00EE2612"/>
    <w:rsid w:val="00EE265F"/>
    <w:rsid w:val="00EE26F5"/>
    <w:rsid w:val="00EE2842"/>
    <w:rsid w:val="00EE287D"/>
    <w:rsid w:val="00EE29C7"/>
    <w:rsid w:val="00EE2AE1"/>
    <w:rsid w:val="00EE2B3A"/>
    <w:rsid w:val="00EE2C26"/>
    <w:rsid w:val="00EE2C59"/>
    <w:rsid w:val="00EE2DE5"/>
    <w:rsid w:val="00EE2DFD"/>
    <w:rsid w:val="00EE2E28"/>
    <w:rsid w:val="00EE2EA2"/>
    <w:rsid w:val="00EE2F1B"/>
    <w:rsid w:val="00EE2F76"/>
    <w:rsid w:val="00EE2FAE"/>
    <w:rsid w:val="00EE3087"/>
    <w:rsid w:val="00EE315F"/>
    <w:rsid w:val="00EE31D0"/>
    <w:rsid w:val="00EE3277"/>
    <w:rsid w:val="00EE3352"/>
    <w:rsid w:val="00EE3485"/>
    <w:rsid w:val="00EE3530"/>
    <w:rsid w:val="00EE35A6"/>
    <w:rsid w:val="00EE360F"/>
    <w:rsid w:val="00EE384C"/>
    <w:rsid w:val="00EE387E"/>
    <w:rsid w:val="00EE38F4"/>
    <w:rsid w:val="00EE3912"/>
    <w:rsid w:val="00EE39CF"/>
    <w:rsid w:val="00EE3BCD"/>
    <w:rsid w:val="00EE3C65"/>
    <w:rsid w:val="00EE3DA9"/>
    <w:rsid w:val="00EE3FC8"/>
    <w:rsid w:val="00EE40ED"/>
    <w:rsid w:val="00EE417E"/>
    <w:rsid w:val="00EE4278"/>
    <w:rsid w:val="00EE48CD"/>
    <w:rsid w:val="00EE493C"/>
    <w:rsid w:val="00EE4C06"/>
    <w:rsid w:val="00EE4DEA"/>
    <w:rsid w:val="00EE4E28"/>
    <w:rsid w:val="00EE4E5E"/>
    <w:rsid w:val="00EE4E9C"/>
    <w:rsid w:val="00EE4F0E"/>
    <w:rsid w:val="00EE4FB2"/>
    <w:rsid w:val="00EE5056"/>
    <w:rsid w:val="00EE5132"/>
    <w:rsid w:val="00EE5234"/>
    <w:rsid w:val="00EE527D"/>
    <w:rsid w:val="00EE52AC"/>
    <w:rsid w:val="00EE54AF"/>
    <w:rsid w:val="00EE5633"/>
    <w:rsid w:val="00EE5895"/>
    <w:rsid w:val="00EE59DF"/>
    <w:rsid w:val="00EE5A6B"/>
    <w:rsid w:val="00EE5A98"/>
    <w:rsid w:val="00EE5AA2"/>
    <w:rsid w:val="00EE5CA5"/>
    <w:rsid w:val="00EE5CF3"/>
    <w:rsid w:val="00EE5DC2"/>
    <w:rsid w:val="00EE5E7D"/>
    <w:rsid w:val="00EE5F5B"/>
    <w:rsid w:val="00EE601E"/>
    <w:rsid w:val="00EE605A"/>
    <w:rsid w:val="00EE608B"/>
    <w:rsid w:val="00EE60C6"/>
    <w:rsid w:val="00EE626B"/>
    <w:rsid w:val="00EE638F"/>
    <w:rsid w:val="00EE649C"/>
    <w:rsid w:val="00EE64CA"/>
    <w:rsid w:val="00EE65F2"/>
    <w:rsid w:val="00EE66D6"/>
    <w:rsid w:val="00EE6779"/>
    <w:rsid w:val="00EE67F3"/>
    <w:rsid w:val="00EE6815"/>
    <w:rsid w:val="00EE6875"/>
    <w:rsid w:val="00EE69C1"/>
    <w:rsid w:val="00EE69ED"/>
    <w:rsid w:val="00EE6A0D"/>
    <w:rsid w:val="00EE6A19"/>
    <w:rsid w:val="00EE6A46"/>
    <w:rsid w:val="00EE6AE7"/>
    <w:rsid w:val="00EE6C3E"/>
    <w:rsid w:val="00EE6CBE"/>
    <w:rsid w:val="00EE6EE8"/>
    <w:rsid w:val="00EE6F73"/>
    <w:rsid w:val="00EE6F89"/>
    <w:rsid w:val="00EE70E3"/>
    <w:rsid w:val="00EE7179"/>
    <w:rsid w:val="00EE721F"/>
    <w:rsid w:val="00EE7480"/>
    <w:rsid w:val="00EE74D1"/>
    <w:rsid w:val="00EE75CE"/>
    <w:rsid w:val="00EE7693"/>
    <w:rsid w:val="00EE7734"/>
    <w:rsid w:val="00EE77B1"/>
    <w:rsid w:val="00EE79B4"/>
    <w:rsid w:val="00EE79BA"/>
    <w:rsid w:val="00EE7A39"/>
    <w:rsid w:val="00EE7A4E"/>
    <w:rsid w:val="00EE7B2F"/>
    <w:rsid w:val="00EE7DA1"/>
    <w:rsid w:val="00EE7DF9"/>
    <w:rsid w:val="00EE7E2B"/>
    <w:rsid w:val="00EE7E92"/>
    <w:rsid w:val="00EF0090"/>
    <w:rsid w:val="00EF00F5"/>
    <w:rsid w:val="00EF010C"/>
    <w:rsid w:val="00EF01E3"/>
    <w:rsid w:val="00EF0342"/>
    <w:rsid w:val="00EF03CE"/>
    <w:rsid w:val="00EF0458"/>
    <w:rsid w:val="00EF0466"/>
    <w:rsid w:val="00EF0932"/>
    <w:rsid w:val="00EF0AEB"/>
    <w:rsid w:val="00EF0B6F"/>
    <w:rsid w:val="00EF0C04"/>
    <w:rsid w:val="00EF0EAB"/>
    <w:rsid w:val="00EF0F5D"/>
    <w:rsid w:val="00EF104E"/>
    <w:rsid w:val="00EF12DF"/>
    <w:rsid w:val="00EF1381"/>
    <w:rsid w:val="00EF13DD"/>
    <w:rsid w:val="00EF15BF"/>
    <w:rsid w:val="00EF1719"/>
    <w:rsid w:val="00EF1809"/>
    <w:rsid w:val="00EF18FB"/>
    <w:rsid w:val="00EF1B85"/>
    <w:rsid w:val="00EF1D8A"/>
    <w:rsid w:val="00EF1DD2"/>
    <w:rsid w:val="00EF1EF8"/>
    <w:rsid w:val="00EF1F75"/>
    <w:rsid w:val="00EF2013"/>
    <w:rsid w:val="00EF2156"/>
    <w:rsid w:val="00EF2181"/>
    <w:rsid w:val="00EF21B1"/>
    <w:rsid w:val="00EF22A2"/>
    <w:rsid w:val="00EF259A"/>
    <w:rsid w:val="00EF268B"/>
    <w:rsid w:val="00EF2706"/>
    <w:rsid w:val="00EF2887"/>
    <w:rsid w:val="00EF2A48"/>
    <w:rsid w:val="00EF2B34"/>
    <w:rsid w:val="00EF2BD5"/>
    <w:rsid w:val="00EF2C0A"/>
    <w:rsid w:val="00EF2C2E"/>
    <w:rsid w:val="00EF2CE4"/>
    <w:rsid w:val="00EF2F8F"/>
    <w:rsid w:val="00EF30FC"/>
    <w:rsid w:val="00EF30FE"/>
    <w:rsid w:val="00EF34FC"/>
    <w:rsid w:val="00EF35C7"/>
    <w:rsid w:val="00EF37E2"/>
    <w:rsid w:val="00EF39C9"/>
    <w:rsid w:val="00EF3ABA"/>
    <w:rsid w:val="00EF3ADE"/>
    <w:rsid w:val="00EF3B3C"/>
    <w:rsid w:val="00EF3B51"/>
    <w:rsid w:val="00EF3DE1"/>
    <w:rsid w:val="00EF3E05"/>
    <w:rsid w:val="00EF3F2E"/>
    <w:rsid w:val="00EF4014"/>
    <w:rsid w:val="00EF41AD"/>
    <w:rsid w:val="00EF425F"/>
    <w:rsid w:val="00EF4364"/>
    <w:rsid w:val="00EF442D"/>
    <w:rsid w:val="00EF4520"/>
    <w:rsid w:val="00EF456B"/>
    <w:rsid w:val="00EF45B0"/>
    <w:rsid w:val="00EF499C"/>
    <w:rsid w:val="00EF49A6"/>
    <w:rsid w:val="00EF49B5"/>
    <w:rsid w:val="00EF4AC0"/>
    <w:rsid w:val="00EF4B66"/>
    <w:rsid w:val="00EF4C2D"/>
    <w:rsid w:val="00EF4D4F"/>
    <w:rsid w:val="00EF4DFB"/>
    <w:rsid w:val="00EF5141"/>
    <w:rsid w:val="00EF521E"/>
    <w:rsid w:val="00EF5455"/>
    <w:rsid w:val="00EF5554"/>
    <w:rsid w:val="00EF557B"/>
    <w:rsid w:val="00EF57A3"/>
    <w:rsid w:val="00EF5B02"/>
    <w:rsid w:val="00EF5B04"/>
    <w:rsid w:val="00EF5B28"/>
    <w:rsid w:val="00EF5C21"/>
    <w:rsid w:val="00EF5DA8"/>
    <w:rsid w:val="00EF5DC4"/>
    <w:rsid w:val="00EF6136"/>
    <w:rsid w:val="00EF63D2"/>
    <w:rsid w:val="00EF63E3"/>
    <w:rsid w:val="00EF6515"/>
    <w:rsid w:val="00EF6766"/>
    <w:rsid w:val="00EF67C4"/>
    <w:rsid w:val="00EF6839"/>
    <w:rsid w:val="00EF6A33"/>
    <w:rsid w:val="00EF6A73"/>
    <w:rsid w:val="00EF6B56"/>
    <w:rsid w:val="00EF6B7E"/>
    <w:rsid w:val="00EF6C57"/>
    <w:rsid w:val="00EF6D74"/>
    <w:rsid w:val="00EF6DEC"/>
    <w:rsid w:val="00EF6EA1"/>
    <w:rsid w:val="00EF6F75"/>
    <w:rsid w:val="00EF70C4"/>
    <w:rsid w:val="00EF71BA"/>
    <w:rsid w:val="00EF71F8"/>
    <w:rsid w:val="00EF7359"/>
    <w:rsid w:val="00EF737D"/>
    <w:rsid w:val="00EF738A"/>
    <w:rsid w:val="00EF7662"/>
    <w:rsid w:val="00EF77B2"/>
    <w:rsid w:val="00EF7865"/>
    <w:rsid w:val="00EF788B"/>
    <w:rsid w:val="00EF79A4"/>
    <w:rsid w:val="00EF7C9E"/>
    <w:rsid w:val="00EF7CDE"/>
    <w:rsid w:val="00EF7D30"/>
    <w:rsid w:val="00EF7EAF"/>
    <w:rsid w:val="00EF7FC1"/>
    <w:rsid w:val="00EFF5B4"/>
    <w:rsid w:val="00F001C4"/>
    <w:rsid w:val="00F00200"/>
    <w:rsid w:val="00F00205"/>
    <w:rsid w:val="00F0060D"/>
    <w:rsid w:val="00F00735"/>
    <w:rsid w:val="00F009BE"/>
    <w:rsid w:val="00F00A1E"/>
    <w:rsid w:val="00F00A41"/>
    <w:rsid w:val="00F00CA4"/>
    <w:rsid w:val="00F00CF7"/>
    <w:rsid w:val="00F00D72"/>
    <w:rsid w:val="00F00FEF"/>
    <w:rsid w:val="00F01038"/>
    <w:rsid w:val="00F0119B"/>
    <w:rsid w:val="00F012EA"/>
    <w:rsid w:val="00F013D8"/>
    <w:rsid w:val="00F014C2"/>
    <w:rsid w:val="00F01544"/>
    <w:rsid w:val="00F0160F"/>
    <w:rsid w:val="00F016FC"/>
    <w:rsid w:val="00F01747"/>
    <w:rsid w:val="00F0186D"/>
    <w:rsid w:val="00F01C5F"/>
    <w:rsid w:val="00F01D35"/>
    <w:rsid w:val="00F020C6"/>
    <w:rsid w:val="00F020CE"/>
    <w:rsid w:val="00F02154"/>
    <w:rsid w:val="00F02272"/>
    <w:rsid w:val="00F023B6"/>
    <w:rsid w:val="00F02526"/>
    <w:rsid w:val="00F025DE"/>
    <w:rsid w:val="00F02632"/>
    <w:rsid w:val="00F02AC2"/>
    <w:rsid w:val="00F02BE6"/>
    <w:rsid w:val="00F02C2F"/>
    <w:rsid w:val="00F0312D"/>
    <w:rsid w:val="00F03249"/>
    <w:rsid w:val="00F03288"/>
    <w:rsid w:val="00F03357"/>
    <w:rsid w:val="00F03399"/>
    <w:rsid w:val="00F03426"/>
    <w:rsid w:val="00F035AF"/>
    <w:rsid w:val="00F03648"/>
    <w:rsid w:val="00F03844"/>
    <w:rsid w:val="00F038B8"/>
    <w:rsid w:val="00F03988"/>
    <w:rsid w:val="00F03AD5"/>
    <w:rsid w:val="00F03BD4"/>
    <w:rsid w:val="00F03E6C"/>
    <w:rsid w:val="00F03EEF"/>
    <w:rsid w:val="00F03F7E"/>
    <w:rsid w:val="00F03FFF"/>
    <w:rsid w:val="00F041E2"/>
    <w:rsid w:val="00F0424C"/>
    <w:rsid w:val="00F0427F"/>
    <w:rsid w:val="00F042CA"/>
    <w:rsid w:val="00F04308"/>
    <w:rsid w:val="00F0432A"/>
    <w:rsid w:val="00F0440F"/>
    <w:rsid w:val="00F048B2"/>
    <w:rsid w:val="00F04B5A"/>
    <w:rsid w:val="00F04E7E"/>
    <w:rsid w:val="00F04ECA"/>
    <w:rsid w:val="00F052E8"/>
    <w:rsid w:val="00F057E0"/>
    <w:rsid w:val="00F0582D"/>
    <w:rsid w:val="00F058DD"/>
    <w:rsid w:val="00F05A2D"/>
    <w:rsid w:val="00F05A4A"/>
    <w:rsid w:val="00F05B42"/>
    <w:rsid w:val="00F05B79"/>
    <w:rsid w:val="00F05BD7"/>
    <w:rsid w:val="00F05CAD"/>
    <w:rsid w:val="00F05D2A"/>
    <w:rsid w:val="00F05EC7"/>
    <w:rsid w:val="00F05ECA"/>
    <w:rsid w:val="00F05F48"/>
    <w:rsid w:val="00F0606F"/>
    <w:rsid w:val="00F06092"/>
    <w:rsid w:val="00F062F8"/>
    <w:rsid w:val="00F0648F"/>
    <w:rsid w:val="00F06556"/>
    <w:rsid w:val="00F06563"/>
    <w:rsid w:val="00F06783"/>
    <w:rsid w:val="00F069E0"/>
    <w:rsid w:val="00F06B4D"/>
    <w:rsid w:val="00F06B59"/>
    <w:rsid w:val="00F06B9D"/>
    <w:rsid w:val="00F06D66"/>
    <w:rsid w:val="00F06E2D"/>
    <w:rsid w:val="00F06F15"/>
    <w:rsid w:val="00F070A2"/>
    <w:rsid w:val="00F071AE"/>
    <w:rsid w:val="00F071F1"/>
    <w:rsid w:val="00F075E1"/>
    <w:rsid w:val="00F075F4"/>
    <w:rsid w:val="00F07789"/>
    <w:rsid w:val="00F07843"/>
    <w:rsid w:val="00F07871"/>
    <w:rsid w:val="00F078D3"/>
    <w:rsid w:val="00F078F9"/>
    <w:rsid w:val="00F07946"/>
    <w:rsid w:val="00F07AED"/>
    <w:rsid w:val="00F07CC0"/>
    <w:rsid w:val="00F07D4A"/>
    <w:rsid w:val="00F07F4E"/>
    <w:rsid w:val="00F10073"/>
    <w:rsid w:val="00F100B0"/>
    <w:rsid w:val="00F1019C"/>
    <w:rsid w:val="00F101BF"/>
    <w:rsid w:val="00F10205"/>
    <w:rsid w:val="00F10209"/>
    <w:rsid w:val="00F1020E"/>
    <w:rsid w:val="00F102C0"/>
    <w:rsid w:val="00F1030F"/>
    <w:rsid w:val="00F10457"/>
    <w:rsid w:val="00F10758"/>
    <w:rsid w:val="00F1093D"/>
    <w:rsid w:val="00F10A21"/>
    <w:rsid w:val="00F10A69"/>
    <w:rsid w:val="00F10AC1"/>
    <w:rsid w:val="00F10E7D"/>
    <w:rsid w:val="00F10EFA"/>
    <w:rsid w:val="00F110EB"/>
    <w:rsid w:val="00F111FD"/>
    <w:rsid w:val="00F11380"/>
    <w:rsid w:val="00F113BF"/>
    <w:rsid w:val="00F113ED"/>
    <w:rsid w:val="00F113EF"/>
    <w:rsid w:val="00F114AD"/>
    <w:rsid w:val="00F115AA"/>
    <w:rsid w:val="00F1171C"/>
    <w:rsid w:val="00F117BA"/>
    <w:rsid w:val="00F11810"/>
    <w:rsid w:val="00F1186C"/>
    <w:rsid w:val="00F11872"/>
    <w:rsid w:val="00F1188A"/>
    <w:rsid w:val="00F11945"/>
    <w:rsid w:val="00F1196A"/>
    <w:rsid w:val="00F11BEA"/>
    <w:rsid w:val="00F11C79"/>
    <w:rsid w:val="00F11D08"/>
    <w:rsid w:val="00F12257"/>
    <w:rsid w:val="00F122B9"/>
    <w:rsid w:val="00F12326"/>
    <w:rsid w:val="00F12432"/>
    <w:rsid w:val="00F125C3"/>
    <w:rsid w:val="00F12A47"/>
    <w:rsid w:val="00F12AA1"/>
    <w:rsid w:val="00F12CB2"/>
    <w:rsid w:val="00F12D41"/>
    <w:rsid w:val="00F12F45"/>
    <w:rsid w:val="00F130FF"/>
    <w:rsid w:val="00F131DA"/>
    <w:rsid w:val="00F13242"/>
    <w:rsid w:val="00F132BE"/>
    <w:rsid w:val="00F132E2"/>
    <w:rsid w:val="00F132FD"/>
    <w:rsid w:val="00F1371C"/>
    <w:rsid w:val="00F139DE"/>
    <w:rsid w:val="00F13A0C"/>
    <w:rsid w:val="00F13BA3"/>
    <w:rsid w:val="00F13C05"/>
    <w:rsid w:val="00F13C28"/>
    <w:rsid w:val="00F13E8F"/>
    <w:rsid w:val="00F13EC7"/>
    <w:rsid w:val="00F14068"/>
    <w:rsid w:val="00F140D6"/>
    <w:rsid w:val="00F14324"/>
    <w:rsid w:val="00F1434A"/>
    <w:rsid w:val="00F1441A"/>
    <w:rsid w:val="00F14439"/>
    <w:rsid w:val="00F144C1"/>
    <w:rsid w:val="00F144FF"/>
    <w:rsid w:val="00F1452D"/>
    <w:rsid w:val="00F147B5"/>
    <w:rsid w:val="00F1488A"/>
    <w:rsid w:val="00F148EA"/>
    <w:rsid w:val="00F14918"/>
    <w:rsid w:val="00F14A7C"/>
    <w:rsid w:val="00F14EC2"/>
    <w:rsid w:val="00F151BD"/>
    <w:rsid w:val="00F154F4"/>
    <w:rsid w:val="00F15573"/>
    <w:rsid w:val="00F155A4"/>
    <w:rsid w:val="00F156C7"/>
    <w:rsid w:val="00F156E5"/>
    <w:rsid w:val="00F157DD"/>
    <w:rsid w:val="00F1591A"/>
    <w:rsid w:val="00F15B9E"/>
    <w:rsid w:val="00F15BB4"/>
    <w:rsid w:val="00F15D47"/>
    <w:rsid w:val="00F15D88"/>
    <w:rsid w:val="00F15E80"/>
    <w:rsid w:val="00F15ECD"/>
    <w:rsid w:val="00F15F34"/>
    <w:rsid w:val="00F16116"/>
    <w:rsid w:val="00F16273"/>
    <w:rsid w:val="00F162BC"/>
    <w:rsid w:val="00F164CA"/>
    <w:rsid w:val="00F165D8"/>
    <w:rsid w:val="00F166AF"/>
    <w:rsid w:val="00F166B5"/>
    <w:rsid w:val="00F166E9"/>
    <w:rsid w:val="00F16707"/>
    <w:rsid w:val="00F16AFC"/>
    <w:rsid w:val="00F16D6F"/>
    <w:rsid w:val="00F16DD9"/>
    <w:rsid w:val="00F16FF9"/>
    <w:rsid w:val="00F171CA"/>
    <w:rsid w:val="00F17212"/>
    <w:rsid w:val="00F17701"/>
    <w:rsid w:val="00F177B0"/>
    <w:rsid w:val="00F177BE"/>
    <w:rsid w:val="00F1782F"/>
    <w:rsid w:val="00F1793D"/>
    <w:rsid w:val="00F1798A"/>
    <w:rsid w:val="00F17BC4"/>
    <w:rsid w:val="00F17C63"/>
    <w:rsid w:val="00F204E3"/>
    <w:rsid w:val="00F20605"/>
    <w:rsid w:val="00F20812"/>
    <w:rsid w:val="00F20835"/>
    <w:rsid w:val="00F208E8"/>
    <w:rsid w:val="00F20932"/>
    <w:rsid w:val="00F20A05"/>
    <w:rsid w:val="00F20A48"/>
    <w:rsid w:val="00F20C74"/>
    <w:rsid w:val="00F20D3F"/>
    <w:rsid w:val="00F20F46"/>
    <w:rsid w:val="00F20F71"/>
    <w:rsid w:val="00F2105C"/>
    <w:rsid w:val="00F21081"/>
    <w:rsid w:val="00F21200"/>
    <w:rsid w:val="00F21557"/>
    <w:rsid w:val="00F21595"/>
    <w:rsid w:val="00F21754"/>
    <w:rsid w:val="00F21776"/>
    <w:rsid w:val="00F21791"/>
    <w:rsid w:val="00F218CD"/>
    <w:rsid w:val="00F218DB"/>
    <w:rsid w:val="00F21953"/>
    <w:rsid w:val="00F219C3"/>
    <w:rsid w:val="00F21CA0"/>
    <w:rsid w:val="00F21CAE"/>
    <w:rsid w:val="00F21D3E"/>
    <w:rsid w:val="00F21E94"/>
    <w:rsid w:val="00F21EFA"/>
    <w:rsid w:val="00F21F71"/>
    <w:rsid w:val="00F21FA5"/>
    <w:rsid w:val="00F22039"/>
    <w:rsid w:val="00F22097"/>
    <w:rsid w:val="00F221EB"/>
    <w:rsid w:val="00F2246A"/>
    <w:rsid w:val="00F224C0"/>
    <w:rsid w:val="00F2259A"/>
    <w:rsid w:val="00F2262E"/>
    <w:rsid w:val="00F2264C"/>
    <w:rsid w:val="00F226A8"/>
    <w:rsid w:val="00F2272B"/>
    <w:rsid w:val="00F2279C"/>
    <w:rsid w:val="00F227F1"/>
    <w:rsid w:val="00F227F9"/>
    <w:rsid w:val="00F22855"/>
    <w:rsid w:val="00F22C5F"/>
    <w:rsid w:val="00F22C84"/>
    <w:rsid w:val="00F22E85"/>
    <w:rsid w:val="00F22FFF"/>
    <w:rsid w:val="00F23099"/>
    <w:rsid w:val="00F23182"/>
    <w:rsid w:val="00F232B5"/>
    <w:rsid w:val="00F23376"/>
    <w:rsid w:val="00F23478"/>
    <w:rsid w:val="00F23522"/>
    <w:rsid w:val="00F235F0"/>
    <w:rsid w:val="00F237FC"/>
    <w:rsid w:val="00F239DF"/>
    <w:rsid w:val="00F23ACF"/>
    <w:rsid w:val="00F23BEC"/>
    <w:rsid w:val="00F23FCC"/>
    <w:rsid w:val="00F240C0"/>
    <w:rsid w:val="00F241EF"/>
    <w:rsid w:val="00F24572"/>
    <w:rsid w:val="00F247EB"/>
    <w:rsid w:val="00F24825"/>
    <w:rsid w:val="00F24932"/>
    <w:rsid w:val="00F2494F"/>
    <w:rsid w:val="00F249AB"/>
    <w:rsid w:val="00F249DA"/>
    <w:rsid w:val="00F24CE5"/>
    <w:rsid w:val="00F24DB8"/>
    <w:rsid w:val="00F24F4E"/>
    <w:rsid w:val="00F24FD7"/>
    <w:rsid w:val="00F256F8"/>
    <w:rsid w:val="00F257C8"/>
    <w:rsid w:val="00F2582B"/>
    <w:rsid w:val="00F2590E"/>
    <w:rsid w:val="00F25A41"/>
    <w:rsid w:val="00F25C42"/>
    <w:rsid w:val="00F25C6D"/>
    <w:rsid w:val="00F25C73"/>
    <w:rsid w:val="00F25E40"/>
    <w:rsid w:val="00F25E91"/>
    <w:rsid w:val="00F25F9C"/>
    <w:rsid w:val="00F2615E"/>
    <w:rsid w:val="00F261E7"/>
    <w:rsid w:val="00F262E6"/>
    <w:rsid w:val="00F26532"/>
    <w:rsid w:val="00F2653A"/>
    <w:rsid w:val="00F2665C"/>
    <w:rsid w:val="00F266A8"/>
    <w:rsid w:val="00F266D4"/>
    <w:rsid w:val="00F266FE"/>
    <w:rsid w:val="00F26965"/>
    <w:rsid w:val="00F26990"/>
    <w:rsid w:val="00F269DA"/>
    <w:rsid w:val="00F26A29"/>
    <w:rsid w:val="00F26A85"/>
    <w:rsid w:val="00F26D94"/>
    <w:rsid w:val="00F26DD5"/>
    <w:rsid w:val="00F26E74"/>
    <w:rsid w:val="00F26EC8"/>
    <w:rsid w:val="00F27035"/>
    <w:rsid w:val="00F2710F"/>
    <w:rsid w:val="00F271BB"/>
    <w:rsid w:val="00F273CE"/>
    <w:rsid w:val="00F27543"/>
    <w:rsid w:val="00F27927"/>
    <w:rsid w:val="00F279A4"/>
    <w:rsid w:val="00F27A16"/>
    <w:rsid w:val="00F27A2A"/>
    <w:rsid w:val="00F27A55"/>
    <w:rsid w:val="00F27B8F"/>
    <w:rsid w:val="00F27C57"/>
    <w:rsid w:val="00F27C82"/>
    <w:rsid w:val="00F27F5F"/>
    <w:rsid w:val="00F30043"/>
    <w:rsid w:val="00F300DB"/>
    <w:rsid w:val="00F30156"/>
    <w:rsid w:val="00F3027A"/>
    <w:rsid w:val="00F30360"/>
    <w:rsid w:val="00F3049E"/>
    <w:rsid w:val="00F304C7"/>
    <w:rsid w:val="00F30566"/>
    <w:rsid w:val="00F30654"/>
    <w:rsid w:val="00F30766"/>
    <w:rsid w:val="00F3079D"/>
    <w:rsid w:val="00F3087F"/>
    <w:rsid w:val="00F308E5"/>
    <w:rsid w:val="00F3092D"/>
    <w:rsid w:val="00F309AF"/>
    <w:rsid w:val="00F30A53"/>
    <w:rsid w:val="00F30B0B"/>
    <w:rsid w:val="00F30B72"/>
    <w:rsid w:val="00F30C6A"/>
    <w:rsid w:val="00F30DE7"/>
    <w:rsid w:val="00F30E9A"/>
    <w:rsid w:val="00F30EA2"/>
    <w:rsid w:val="00F30FA5"/>
    <w:rsid w:val="00F31011"/>
    <w:rsid w:val="00F31065"/>
    <w:rsid w:val="00F31069"/>
    <w:rsid w:val="00F3154E"/>
    <w:rsid w:val="00F316AD"/>
    <w:rsid w:val="00F316F9"/>
    <w:rsid w:val="00F318CB"/>
    <w:rsid w:val="00F31A69"/>
    <w:rsid w:val="00F31D4E"/>
    <w:rsid w:val="00F31DFF"/>
    <w:rsid w:val="00F31E24"/>
    <w:rsid w:val="00F31E33"/>
    <w:rsid w:val="00F31F4E"/>
    <w:rsid w:val="00F31FC8"/>
    <w:rsid w:val="00F320EB"/>
    <w:rsid w:val="00F321CF"/>
    <w:rsid w:val="00F32268"/>
    <w:rsid w:val="00F322B2"/>
    <w:rsid w:val="00F322B7"/>
    <w:rsid w:val="00F324BB"/>
    <w:rsid w:val="00F3256A"/>
    <w:rsid w:val="00F32707"/>
    <w:rsid w:val="00F3281F"/>
    <w:rsid w:val="00F328B7"/>
    <w:rsid w:val="00F329A4"/>
    <w:rsid w:val="00F32A2F"/>
    <w:rsid w:val="00F32A41"/>
    <w:rsid w:val="00F32C88"/>
    <w:rsid w:val="00F32C93"/>
    <w:rsid w:val="00F32EF8"/>
    <w:rsid w:val="00F33080"/>
    <w:rsid w:val="00F33237"/>
    <w:rsid w:val="00F33249"/>
    <w:rsid w:val="00F333D9"/>
    <w:rsid w:val="00F333DE"/>
    <w:rsid w:val="00F33431"/>
    <w:rsid w:val="00F334A1"/>
    <w:rsid w:val="00F33592"/>
    <w:rsid w:val="00F33598"/>
    <w:rsid w:val="00F33962"/>
    <w:rsid w:val="00F339D0"/>
    <w:rsid w:val="00F33E72"/>
    <w:rsid w:val="00F33EEF"/>
    <w:rsid w:val="00F33F76"/>
    <w:rsid w:val="00F33FC2"/>
    <w:rsid w:val="00F3403A"/>
    <w:rsid w:val="00F34060"/>
    <w:rsid w:val="00F3409C"/>
    <w:rsid w:val="00F346FA"/>
    <w:rsid w:val="00F3478B"/>
    <w:rsid w:val="00F3489D"/>
    <w:rsid w:val="00F34A58"/>
    <w:rsid w:val="00F34B47"/>
    <w:rsid w:val="00F34BE8"/>
    <w:rsid w:val="00F34D7B"/>
    <w:rsid w:val="00F34DA8"/>
    <w:rsid w:val="00F34E6D"/>
    <w:rsid w:val="00F34F92"/>
    <w:rsid w:val="00F35061"/>
    <w:rsid w:val="00F35335"/>
    <w:rsid w:val="00F35382"/>
    <w:rsid w:val="00F3556B"/>
    <w:rsid w:val="00F35766"/>
    <w:rsid w:val="00F35850"/>
    <w:rsid w:val="00F3593A"/>
    <w:rsid w:val="00F35C22"/>
    <w:rsid w:val="00F35C50"/>
    <w:rsid w:val="00F35CD0"/>
    <w:rsid w:val="00F35D8A"/>
    <w:rsid w:val="00F35EA2"/>
    <w:rsid w:val="00F35F00"/>
    <w:rsid w:val="00F35F19"/>
    <w:rsid w:val="00F35F9E"/>
    <w:rsid w:val="00F36087"/>
    <w:rsid w:val="00F364C7"/>
    <w:rsid w:val="00F36640"/>
    <w:rsid w:val="00F36684"/>
    <w:rsid w:val="00F3679C"/>
    <w:rsid w:val="00F36A60"/>
    <w:rsid w:val="00F36AC9"/>
    <w:rsid w:val="00F36EE6"/>
    <w:rsid w:val="00F36F2C"/>
    <w:rsid w:val="00F36F62"/>
    <w:rsid w:val="00F3704E"/>
    <w:rsid w:val="00F370F8"/>
    <w:rsid w:val="00F37127"/>
    <w:rsid w:val="00F371B1"/>
    <w:rsid w:val="00F3725F"/>
    <w:rsid w:val="00F3730E"/>
    <w:rsid w:val="00F375A3"/>
    <w:rsid w:val="00F376B9"/>
    <w:rsid w:val="00F377A6"/>
    <w:rsid w:val="00F379EA"/>
    <w:rsid w:val="00F379F9"/>
    <w:rsid w:val="00F37C13"/>
    <w:rsid w:val="00F37D11"/>
    <w:rsid w:val="00F37D7D"/>
    <w:rsid w:val="00F37E25"/>
    <w:rsid w:val="00F37E28"/>
    <w:rsid w:val="00F37E62"/>
    <w:rsid w:val="00F37E8A"/>
    <w:rsid w:val="00F40105"/>
    <w:rsid w:val="00F40203"/>
    <w:rsid w:val="00F40270"/>
    <w:rsid w:val="00F4029A"/>
    <w:rsid w:val="00F40340"/>
    <w:rsid w:val="00F403FE"/>
    <w:rsid w:val="00F40646"/>
    <w:rsid w:val="00F40678"/>
    <w:rsid w:val="00F406EA"/>
    <w:rsid w:val="00F407AF"/>
    <w:rsid w:val="00F40928"/>
    <w:rsid w:val="00F40C17"/>
    <w:rsid w:val="00F40FB3"/>
    <w:rsid w:val="00F40FB7"/>
    <w:rsid w:val="00F4113E"/>
    <w:rsid w:val="00F41282"/>
    <w:rsid w:val="00F414D6"/>
    <w:rsid w:val="00F41847"/>
    <w:rsid w:val="00F419DC"/>
    <w:rsid w:val="00F41AE0"/>
    <w:rsid w:val="00F41B5F"/>
    <w:rsid w:val="00F41BCB"/>
    <w:rsid w:val="00F41D28"/>
    <w:rsid w:val="00F41E20"/>
    <w:rsid w:val="00F41ED2"/>
    <w:rsid w:val="00F421E0"/>
    <w:rsid w:val="00F4221B"/>
    <w:rsid w:val="00F422C6"/>
    <w:rsid w:val="00F42460"/>
    <w:rsid w:val="00F42501"/>
    <w:rsid w:val="00F4250C"/>
    <w:rsid w:val="00F4261B"/>
    <w:rsid w:val="00F426E4"/>
    <w:rsid w:val="00F42B33"/>
    <w:rsid w:val="00F42D0D"/>
    <w:rsid w:val="00F42D4B"/>
    <w:rsid w:val="00F43093"/>
    <w:rsid w:val="00F43153"/>
    <w:rsid w:val="00F4322A"/>
    <w:rsid w:val="00F43281"/>
    <w:rsid w:val="00F432B6"/>
    <w:rsid w:val="00F43395"/>
    <w:rsid w:val="00F433A7"/>
    <w:rsid w:val="00F4342E"/>
    <w:rsid w:val="00F434D4"/>
    <w:rsid w:val="00F434ED"/>
    <w:rsid w:val="00F436D5"/>
    <w:rsid w:val="00F4372C"/>
    <w:rsid w:val="00F438FE"/>
    <w:rsid w:val="00F43D95"/>
    <w:rsid w:val="00F43E41"/>
    <w:rsid w:val="00F4402C"/>
    <w:rsid w:val="00F44101"/>
    <w:rsid w:val="00F44160"/>
    <w:rsid w:val="00F44264"/>
    <w:rsid w:val="00F44358"/>
    <w:rsid w:val="00F443E2"/>
    <w:rsid w:val="00F4445B"/>
    <w:rsid w:val="00F444D5"/>
    <w:rsid w:val="00F445A7"/>
    <w:rsid w:val="00F4474A"/>
    <w:rsid w:val="00F447DD"/>
    <w:rsid w:val="00F44806"/>
    <w:rsid w:val="00F448E6"/>
    <w:rsid w:val="00F44952"/>
    <w:rsid w:val="00F449BD"/>
    <w:rsid w:val="00F44AD8"/>
    <w:rsid w:val="00F44DB8"/>
    <w:rsid w:val="00F44FF8"/>
    <w:rsid w:val="00F451A8"/>
    <w:rsid w:val="00F452D3"/>
    <w:rsid w:val="00F453F1"/>
    <w:rsid w:val="00F45530"/>
    <w:rsid w:val="00F45613"/>
    <w:rsid w:val="00F4563E"/>
    <w:rsid w:val="00F456D4"/>
    <w:rsid w:val="00F458AF"/>
    <w:rsid w:val="00F45914"/>
    <w:rsid w:val="00F45AE8"/>
    <w:rsid w:val="00F45B2B"/>
    <w:rsid w:val="00F45DF9"/>
    <w:rsid w:val="00F45E67"/>
    <w:rsid w:val="00F4645D"/>
    <w:rsid w:val="00F4650A"/>
    <w:rsid w:val="00F46705"/>
    <w:rsid w:val="00F4670B"/>
    <w:rsid w:val="00F4682E"/>
    <w:rsid w:val="00F46914"/>
    <w:rsid w:val="00F4697D"/>
    <w:rsid w:val="00F469A3"/>
    <w:rsid w:val="00F46A8D"/>
    <w:rsid w:val="00F46D20"/>
    <w:rsid w:val="00F46DCA"/>
    <w:rsid w:val="00F46EC6"/>
    <w:rsid w:val="00F46EDD"/>
    <w:rsid w:val="00F46EED"/>
    <w:rsid w:val="00F4700C"/>
    <w:rsid w:val="00F47164"/>
    <w:rsid w:val="00F4727F"/>
    <w:rsid w:val="00F47592"/>
    <w:rsid w:val="00F475BB"/>
    <w:rsid w:val="00F475EE"/>
    <w:rsid w:val="00F4764C"/>
    <w:rsid w:val="00F47666"/>
    <w:rsid w:val="00F47757"/>
    <w:rsid w:val="00F47A96"/>
    <w:rsid w:val="00F47BD8"/>
    <w:rsid w:val="00F47BE2"/>
    <w:rsid w:val="00F47DEE"/>
    <w:rsid w:val="00F47EC3"/>
    <w:rsid w:val="00F47F5B"/>
    <w:rsid w:val="00F47F80"/>
    <w:rsid w:val="00F5003D"/>
    <w:rsid w:val="00F501BF"/>
    <w:rsid w:val="00F503BF"/>
    <w:rsid w:val="00F5043B"/>
    <w:rsid w:val="00F5050C"/>
    <w:rsid w:val="00F5065E"/>
    <w:rsid w:val="00F50756"/>
    <w:rsid w:val="00F50758"/>
    <w:rsid w:val="00F509A1"/>
    <w:rsid w:val="00F509FE"/>
    <w:rsid w:val="00F50A8B"/>
    <w:rsid w:val="00F50AFE"/>
    <w:rsid w:val="00F50B2F"/>
    <w:rsid w:val="00F50B79"/>
    <w:rsid w:val="00F50D81"/>
    <w:rsid w:val="00F51282"/>
    <w:rsid w:val="00F51587"/>
    <w:rsid w:val="00F51A89"/>
    <w:rsid w:val="00F51AF7"/>
    <w:rsid w:val="00F51B4E"/>
    <w:rsid w:val="00F51D8E"/>
    <w:rsid w:val="00F51E75"/>
    <w:rsid w:val="00F5210A"/>
    <w:rsid w:val="00F52124"/>
    <w:rsid w:val="00F52256"/>
    <w:rsid w:val="00F52490"/>
    <w:rsid w:val="00F52664"/>
    <w:rsid w:val="00F526B7"/>
    <w:rsid w:val="00F52729"/>
    <w:rsid w:val="00F52BD1"/>
    <w:rsid w:val="00F52DF0"/>
    <w:rsid w:val="00F52E3E"/>
    <w:rsid w:val="00F5310B"/>
    <w:rsid w:val="00F53157"/>
    <w:rsid w:val="00F532AE"/>
    <w:rsid w:val="00F53322"/>
    <w:rsid w:val="00F533A3"/>
    <w:rsid w:val="00F534C2"/>
    <w:rsid w:val="00F5395F"/>
    <w:rsid w:val="00F53975"/>
    <w:rsid w:val="00F53A3F"/>
    <w:rsid w:val="00F53B44"/>
    <w:rsid w:val="00F53C0F"/>
    <w:rsid w:val="00F53C3C"/>
    <w:rsid w:val="00F53DF8"/>
    <w:rsid w:val="00F53FC2"/>
    <w:rsid w:val="00F54125"/>
    <w:rsid w:val="00F5416D"/>
    <w:rsid w:val="00F543DE"/>
    <w:rsid w:val="00F54480"/>
    <w:rsid w:val="00F5463C"/>
    <w:rsid w:val="00F54969"/>
    <w:rsid w:val="00F54A54"/>
    <w:rsid w:val="00F54AF8"/>
    <w:rsid w:val="00F54B5D"/>
    <w:rsid w:val="00F54E5F"/>
    <w:rsid w:val="00F54EBB"/>
    <w:rsid w:val="00F54F58"/>
    <w:rsid w:val="00F54FE0"/>
    <w:rsid w:val="00F55189"/>
    <w:rsid w:val="00F5529E"/>
    <w:rsid w:val="00F55307"/>
    <w:rsid w:val="00F5534A"/>
    <w:rsid w:val="00F554FB"/>
    <w:rsid w:val="00F556A1"/>
    <w:rsid w:val="00F55759"/>
    <w:rsid w:val="00F55784"/>
    <w:rsid w:val="00F558CB"/>
    <w:rsid w:val="00F558F9"/>
    <w:rsid w:val="00F55A89"/>
    <w:rsid w:val="00F55CED"/>
    <w:rsid w:val="00F55D82"/>
    <w:rsid w:val="00F55DB8"/>
    <w:rsid w:val="00F55E92"/>
    <w:rsid w:val="00F55F7A"/>
    <w:rsid w:val="00F56012"/>
    <w:rsid w:val="00F56072"/>
    <w:rsid w:val="00F5626F"/>
    <w:rsid w:val="00F562B9"/>
    <w:rsid w:val="00F562DB"/>
    <w:rsid w:val="00F5631F"/>
    <w:rsid w:val="00F564DD"/>
    <w:rsid w:val="00F5652E"/>
    <w:rsid w:val="00F56558"/>
    <w:rsid w:val="00F56639"/>
    <w:rsid w:val="00F56733"/>
    <w:rsid w:val="00F5697D"/>
    <w:rsid w:val="00F569F2"/>
    <w:rsid w:val="00F56C73"/>
    <w:rsid w:val="00F56E16"/>
    <w:rsid w:val="00F56F1F"/>
    <w:rsid w:val="00F56FC4"/>
    <w:rsid w:val="00F572B4"/>
    <w:rsid w:val="00F573D2"/>
    <w:rsid w:val="00F574D8"/>
    <w:rsid w:val="00F574E9"/>
    <w:rsid w:val="00F57708"/>
    <w:rsid w:val="00F5778E"/>
    <w:rsid w:val="00F578B6"/>
    <w:rsid w:val="00F57951"/>
    <w:rsid w:val="00F57A3E"/>
    <w:rsid w:val="00F57B9C"/>
    <w:rsid w:val="00F57CEC"/>
    <w:rsid w:val="00F57D47"/>
    <w:rsid w:val="00F57DDB"/>
    <w:rsid w:val="00F57DF9"/>
    <w:rsid w:val="00F57E32"/>
    <w:rsid w:val="00F601AA"/>
    <w:rsid w:val="00F602DF"/>
    <w:rsid w:val="00F6068A"/>
    <w:rsid w:val="00F607C1"/>
    <w:rsid w:val="00F60854"/>
    <w:rsid w:val="00F60865"/>
    <w:rsid w:val="00F60896"/>
    <w:rsid w:val="00F609B4"/>
    <w:rsid w:val="00F60A55"/>
    <w:rsid w:val="00F60A63"/>
    <w:rsid w:val="00F60E4C"/>
    <w:rsid w:val="00F60F95"/>
    <w:rsid w:val="00F6102E"/>
    <w:rsid w:val="00F610A9"/>
    <w:rsid w:val="00F611CD"/>
    <w:rsid w:val="00F611E6"/>
    <w:rsid w:val="00F61372"/>
    <w:rsid w:val="00F614D4"/>
    <w:rsid w:val="00F61597"/>
    <w:rsid w:val="00F61680"/>
    <w:rsid w:val="00F6168E"/>
    <w:rsid w:val="00F6174E"/>
    <w:rsid w:val="00F61760"/>
    <w:rsid w:val="00F61997"/>
    <w:rsid w:val="00F619CC"/>
    <w:rsid w:val="00F61BFB"/>
    <w:rsid w:val="00F61E15"/>
    <w:rsid w:val="00F61E68"/>
    <w:rsid w:val="00F61F05"/>
    <w:rsid w:val="00F61F70"/>
    <w:rsid w:val="00F62036"/>
    <w:rsid w:val="00F62065"/>
    <w:rsid w:val="00F620C5"/>
    <w:rsid w:val="00F62140"/>
    <w:rsid w:val="00F62331"/>
    <w:rsid w:val="00F62358"/>
    <w:rsid w:val="00F62394"/>
    <w:rsid w:val="00F623DB"/>
    <w:rsid w:val="00F62744"/>
    <w:rsid w:val="00F62876"/>
    <w:rsid w:val="00F629D4"/>
    <w:rsid w:val="00F62A27"/>
    <w:rsid w:val="00F62B4B"/>
    <w:rsid w:val="00F62BB0"/>
    <w:rsid w:val="00F62BEF"/>
    <w:rsid w:val="00F62F73"/>
    <w:rsid w:val="00F62FFF"/>
    <w:rsid w:val="00F6334D"/>
    <w:rsid w:val="00F6337C"/>
    <w:rsid w:val="00F633FE"/>
    <w:rsid w:val="00F63487"/>
    <w:rsid w:val="00F63505"/>
    <w:rsid w:val="00F635A3"/>
    <w:rsid w:val="00F63679"/>
    <w:rsid w:val="00F63748"/>
    <w:rsid w:val="00F63848"/>
    <w:rsid w:val="00F63976"/>
    <w:rsid w:val="00F63BDD"/>
    <w:rsid w:val="00F63CF3"/>
    <w:rsid w:val="00F63D63"/>
    <w:rsid w:val="00F63D9F"/>
    <w:rsid w:val="00F63DE4"/>
    <w:rsid w:val="00F63E5D"/>
    <w:rsid w:val="00F64028"/>
    <w:rsid w:val="00F64036"/>
    <w:rsid w:val="00F64140"/>
    <w:rsid w:val="00F6414C"/>
    <w:rsid w:val="00F64169"/>
    <w:rsid w:val="00F642A0"/>
    <w:rsid w:val="00F6438A"/>
    <w:rsid w:val="00F643E6"/>
    <w:rsid w:val="00F648D5"/>
    <w:rsid w:val="00F64927"/>
    <w:rsid w:val="00F6492F"/>
    <w:rsid w:val="00F649D1"/>
    <w:rsid w:val="00F64D0F"/>
    <w:rsid w:val="00F64E11"/>
    <w:rsid w:val="00F64E58"/>
    <w:rsid w:val="00F650C7"/>
    <w:rsid w:val="00F650E0"/>
    <w:rsid w:val="00F6519B"/>
    <w:rsid w:val="00F651CF"/>
    <w:rsid w:val="00F65227"/>
    <w:rsid w:val="00F65332"/>
    <w:rsid w:val="00F65344"/>
    <w:rsid w:val="00F6555A"/>
    <w:rsid w:val="00F65897"/>
    <w:rsid w:val="00F65BEB"/>
    <w:rsid w:val="00F65D91"/>
    <w:rsid w:val="00F65DFF"/>
    <w:rsid w:val="00F65EE6"/>
    <w:rsid w:val="00F65F05"/>
    <w:rsid w:val="00F65F24"/>
    <w:rsid w:val="00F66069"/>
    <w:rsid w:val="00F6623E"/>
    <w:rsid w:val="00F66304"/>
    <w:rsid w:val="00F664CD"/>
    <w:rsid w:val="00F664DC"/>
    <w:rsid w:val="00F66704"/>
    <w:rsid w:val="00F66A0B"/>
    <w:rsid w:val="00F66AA6"/>
    <w:rsid w:val="00F66AAC"/>
    <w:rsid w:val="00F66C1A"/>
    <w:rsid w:val="00F66C31"/>
    <w:rsid w:val="00F66E2C"/>
    <w:rsid w:val="00F66EC2"/>
    <w:rsid w:val="00F66F88"/>
    <w:rsid w:val="00F66FA2"/>
    <w:rsid w:val="00F66FA6"/>
    <w:rsid w:val="00F6717D"/>
    <w:rsid w:val="00F67245"/>
    <w:rsid w:val="00F67345"/>
    <w:rsid w:val="00F675AF"/>
    <w:rsid w:val="00F67773"/>
    <w:rsid w:val="00F677B4"/>
    <w:rsid w:val="00F678F0"/>
    <w:rsid w:val="00F67A13"/>
    <w:rsid w:val="00F67B7D"/>
    <w:rsid w:val="00F67BE9"/>
    <w:rsid w:val="00F67C4B"/>
    <w:rsid w:val="00F67D63"/>
    <w:rsid w:val="00F67E8A"/>
    <w:rsid w:val="00F67F87"/>
    <w:rsid w:val="00F7001E"/>
    <w:rsid w:val="00F70046"/>
    <w:rsid w:val="00F70125"/>
    <w:rsid w:val="00F7044D"/>
    <w:rsid w:val="00F7054D"/>
    <w:rsid w:val="00F705BE"/>
    <w:rsid w:val="00F7073D"/>
    <w:rsid w:val="00F70811"/>
    <w:rsid w:val="00F70907"/>
    <w:rsid w:val="00F70946"/>
    <w:rsid w:val="00F709B4"/>
    <w:rsid w:val="00F70C7D"/>
    <w:rsid w:val="00F70CB3"/>
    <w:rsid w:val="00F70D42"/>
    <w:rsid w:val="00F70D57"/>
    <w:rsid w:val="00F70D86"/>
    <w:rsid w:val="00F70DAB"/>
    <w:rsid w:val="00F70E30"/>
    <w:rsid w:val="00F70F40"/>
    <w:rsid w:val="00F70FF4"/>
    <w:rsid w:val="00F710B1"/>
    <w:rsid w:val="00F712CA"/>
    <w:rsid w:val="00F7130F"/>
    <w:rsid w:val="00F71329"/>
    <w:rsid w:val="00F71369"/>
    <w:rsid w:val="00F713FF"/>
    <w:rsid w:val="00F7159E"/>
    <w:rsid w:val="00F71682"/>
    <w:rsid w:val="00F71CF3"/>
    <w:rsid w:val="00F71EDD"/>
    <w:rsid w:val="00F71F16"/>
    <w:rsid w:val="00F71F6F"/>
    <w:rsid w:val="00F71FA7"/>
    <w:rsid w:val="00F7203C"/>
    <w:rsid w:val="00F7204B"/>
    <w:rsid w:val="00F72085"/>
    <w:rsid w:val="00F720A0"/>
    <w:rsid w:val="00F722A4"/>
    <w:rsid w:val="00F72352"/>
    <w:rsid w:val="00F72448"/>
    <w:rsid w:val="00F72D1A"/>
    <w:rsid w:val="00F72DA4"/>
    <w:rsid w:val="00F72ED7"/>
    <w:rsid w:val="00F730C4"/>
    <w:rsid w:val="00F730DB"/>
    <w:rsid w:val="00F73333"/>
    <w:rsid w:val="00F7333C"/>
    <w:rsid w:val="00F733F7"/>
    <w:rsid w:val="00F735D6"/>
    <w:rsid w:val="00F7360F"/>
    <w:rsid w:val="00F73615"/>
    <w:rsid w:val="00F7362B"/>
    <w:rsid w:val="00F736C2"/>
    <w:rsid w:val="00F73703"/>
    <w:rsid w:val="00F73930"/>
    <w:rsid w:val="00F73A0A"/>
    <w:rsid w:val="00F73AE9"/>
    <w:rsid w:val="00F73B54"/>
    <w:rsid w:val="00F73BB8"/>
    <w:rsid w:val="00F73C26"/>
    <w:rsid w:val="00F73EAF"/>
    <w:rsid w:val="00F73F26"/>
    <w:rsid w:val="00F73F4D"/>
    <w:rsid w:val="00F73F58"/>
    <w:rsid w:val="00F740E3"/>
    <w:rsid w:val="00F74311"/>
    <w:rsid w:val="00F74322"/>
    <w:rsid w:val="00F743B1"/>
    <w:rsid w:val="00F744A3"/>
    <w:rsid w:val="00F747A9"/>
    <w:rsid w:val="00F747B7"/>
    <w:rsid w:val="00F74AB7"/>
    <w:rsid w:val="00F74BE6"/>
    <w:rsid w:val="00F74C11"/>
    <w:rsid w:val="00F74CDB"/>
    <w:rsid w:val="00F74D11"/>
    <w:rsid w:val="00F74D1B"/>
    <w:rsid w:val="00F74DD2"/>
    <w:rsid w:val="00F74E1B"/>
    <w:rsid w:val="00F75122"/>
    <w:rsid w:val="00F75157"/>
    <w:rsid w:val="00F751D4"/>
    <w:rsid w:val="00F753C8"/>
    <w:rsid w:val="00F7545C"/>
    <w:rsid w:val="00F7562B"/>
    <w:rsid w:val="00F756B3"/>
    <w:rsid w:val="00F75745"/>
    <w:rsid w:val="00F757FB"/>
    <w:rsid w:val="00F7591F"/>
    <w:rsid w:val="00F75B2B"/>
    <w:rsid w:val="00F75B49"/>
    <w:rsid w:val="00F75C6C"/>
    <w:rsid w:val="00F75CCB"/>
    <w:rsid w:val="00F75D7F"/>
    <w:rsid w:val="00F75DFD"/>
    <w:rsid w:val="00F75F26"/>
    <w:rsid w:val="00F75FF6"/>
    <w:rsid w:val="00F760A3"/>
    <w:rsid w:val="00F762CE"/>
    <w:rsid w:val="00F763E8"/>
    <w:rsid w:val="00F76424"/>
    <w:rsid w:val="00F764AA"/>
    <w:rsid w:val="00F764D7"/>
    <w:rsid w:val="00F7651D"/>
    <w:rsid w:val="00F76628"/>
    <w:rsid w:val="00F766EB"/>
    <w:rsid w:val="00F768E1"/>
    <w:rsid w:val="00F76902"/>
    <w:rsid w:val="00F76AD8"/>
    <w:rsid w:val="00F76AFF"/>
    <w:rsid w:val="00F76C88"/>
    <w:rsid w:val="00F76D4A"/>
    <w:rsid w:val="00F76DC9"/>
    <w:rsid w:val="00F76DD0"/>
    <w:rsid w:val="00F76F51"/>
    <w:rsid w:val="00F770BD"/>
    <w:rsid w:val="00F77203"/>
    <w:rsid w:val="00F77238"/>
    <w:rsid w:val="00F77595"/>
    <w:rsid w:val="00F776AB"/>
    <w:rsid w:val="00F778D0"/>
    <w:rsid w:val="00F7794D"/>
    <w:rsid w:val="00F77A3C"/>
    <w:rsid w:val="00F77A70"/>
    <w:rsid w:val="00F77AD5"/>
    <w:rsid w:val="00F77BFC"/>
    <w:rsid w:val="00F77C69"/>
    <w:rsid w:val="00F77E15"/>
    <w:rsid w:val="00F80073"/>
    <w:rsid w:val="00F800CE"/>
    <w:rsid w:val="00F801B4"/>
    <w:rsid w:val="00F8028C"/>
    <w:rsid w:val="00F803BE"/>
    <w:rsid w:val="00F806BE"/>
    <w:rsid w:val="00F80813"/>
    <w:rsid w:val="00F808B4"/>
    <w:rsid w:val="00F80A15"/>
    <w:rsid w:val="00F80E11"/>
    <w:rsid w:val="00F80E1B"/>
    <w:rsid w:val="00F80E68"/>
    <w:rsid w:val="00F80F19"/>
    <w:rsid w:val="00F80F37"/>
    <w:rsid w:val="00F80F5B"/>
    <w:rsid w:val="00F80FA5"/>
    <w:rsid w:val="00F81398"/>
    <w:rsid w:val="00F814B5"/>
    <w:rsid w:val="00F814DB"/>
    <w:rsid w:val="00F81550"/>
    <w:rsid w:val="00F816E6"/>
    <w:rsid w:val="00F81878"/>
    <w:rsid w:val="00F818B1"/>
    <w:rsid w:val="00F8197F"/>
    <w:rsid w:val="00F81A85"/>
    <w:rsid w:val="00F81BCA"/>
    <w:rsid w:val="00F81CD5"/>
    <w:rsid w:val="00F81D6A"/>
    <w:rsid w:val="00F81D72"/>
    <w:rsid w:val="00F81EF0"/>
    <w:rsid w:val="00F8202C"/>
    <w:rsid w:val="00F8208B"/>
    <w:rsid w:val="00F820BC"/>
    <w:rsid w:val="00F820EF"/>
    <w:rsid w:val="00F82139"/>
    <w:rsid w:val="00F82162"/>
    <w:rsid w:val="00F824D2"/>
    <w:rsid w:val="00F82572"/>
    <w:rsid w:val="00F82622"/>
    <w:rsid w:val="00F82739"/>
    <w:rsid w:val="00F8278E"/>
    <w:rsid w:val="00F828B8"/>
    <w:rsid w:val="00F82A0A"/>
    <w:rsid w:val="00F82B95"/>
    <w:rsid w:val="00F82C45"/>
    <w:rsid w:val="00F82C8C"/>
    <w:rsid w:val="00F82DC1"/>
    <w:rsid w:val="00F82E4B"/>
    <w:rsid w:val="00F82F91"/>
    <w:rsid w:val="00F8305D"/>
    <w:rsid w:val="00F83178"/>
    <w:rsid w:val="00F831DC"/>
    <w:rsid w:val="00F831DE"/>
    <w:rsid w:val="00F83317"/>
    <w:rsid w:val="00F8334E"/>
    <w:rsid w:val="00F833BE"/>
    <w:rsid w:val="00F834F8"/>
    <w:rsid w:val="00F83684"/>
    <w:rsid w:val="00F836CB"/>
    <w:rsid w:val="00F8370A"/>
    <w:rsid w:val="00F8375E"/>
    <w:rsid w:val="00F837ED"/>
    <w:rsid w:val="00F83942"/>
    <w:rsid w:val="00F8394A"/>
    <w:rsid w:val="00F83EF3"/>
    <w:rsid w:val="00F840D3"/>
    <w:rsid w:val="00F841AA"/>
    <w:rsid w:val="00F84215"/>
    <w:rsid w:val="00F842F5"/>
    <w:rsid w:val="00F84336"/>
    <w:rsid w:val="00F844A4"/>
    <w:rsid w:val="00F84536"/>
    <w:rsid w:val="00F845E0"/>
    <w:rsid w:val="00F84614"/>
    <w:rsid w:val="00F8467A"/>
    <w:rsid w:val="00F8478C"/>
    <w:rsid w:val="00F847D1"/>
    <w:rsid w:val="00F84898"/>
    <w:rsid w:val="00F8491A"/>
    <w:rsid w:val="00F84AAD"/>
    <w:rsid w:val="00F84AE2"/>
    <w:rsid w:val="00F84EFF"/>
    <w:rsid w:val="00F84F71"/>
    <w:rsid w:val="00F85132"/>
    <w:rsid w:val="00F85554"/>
    <w:rsid w:val="00F8555C"/>
    <w:rsid w:val="00F855BC"/>
    <w:rsid w:val="00F855E3"/>
    <w:rsid w:val="00F855EB"/>
    <w:rsid w:val="00F85797"/>
    <w:rsid w:val="00F85861"/>
    <w:rsid w:val="00F858E2"/>
    <w:rsid w:val="00F859A3"/>
    <w:rsid w:val="00F85DB5"/>
    <w:rsid w:val="00F85EA0"/>
    <w:rsid w:val="00F85FE6"/>
    <w:rsid w:val="00F86001"/>
    <w:rsid w:val="00F86239"/>
    <w:rsid w:val="00F863BC"/>
    <w:rsid w:val="00F8644F"/>
    <w:rsid w:val="00F86490"/>
    <w:rsid w:val="00F86644"/>
    <w:rsid w:val="00F8674F"/>
    <w:rsid w:val="00F86876"/>
    <w:rsid w:val="00F8691D"/>
    <w:rsid w:val="00F869E0"/>
    <w:rsid w:val="00F86A4C"/>
    <w:rsid w:val="00F86AE3"/>
    <w:rsid w:val="00F86BB3"/>
    <w:rsid w:val="00F86BB4"/>
    <w:rsid w:val="00F86D53"/>
    <w:rsid w:val="00F8719A"/>
    <w:rsid w:val="00F871F7"/>
    <w:rsid w:val="00F87294"/>
    <w:rsid w:val="00F87305"/>
    <w:rsid w:val="00F87488"/>
    <w:rsid w:val="00F874DF"/>
    <w:rsid w:val="00F8772F"/>
    <w:rsid w:val="00F87763"/>
    <w:rsid w:val="00F87789"/>
    <w:rsid w:val="00F8797B"/>
    <w:rsid w:val="00F87AB3"/>
    <w:rsid w:val="00F87B34"/>
    <w:rsid w:val="00F87B83"/>
    <w:rsid w:val="00F87C2C"/>
    <w:rsid w:val="00F87F25"/>
    <w:rsid w:val="00F8FF39"/>
    <w:rsid w:val="00F90353"/>
    <w:rsid w:val="00F9047F"/>
    <w:rsid w:val="00F90660"/>
    <w:rsid w:val="00F90A04"/>
    <w:rsid w:val="00F90D6A"/>
    <w:rsid w:val="00F90DFA"/>
    <w:rsid w:val="00F90E28"/>
    <w:rsid w:val="00F90EC9"/>
    <w:rsid w:val="00F9102A"/>
    <w:rsid w:val="00F910AF"/>
    <w:rsid w:val="00F91402"/>
    <w:rsid w:val="00F9151C"/>
    <w:rsid w:val="00F9154A"/>
    <w:rsid w:val="00F91911"/>
    <w:rsid w:val="00F919E4"/>
    <w:rsid w:val="00F91A10"/>
    <w:rsid w:val="00F91AD0"/>
    <w:rsid w:val="00F91CCC"/>
    <w:rsid w:val="00F91DD2"/>
    <w:rsid w:val="00F91E36"/>
    <w:rsid w:val="00F91E38"/>
    <w:rsid w:val="00F91EAE"/>
    <w:rsid w:val="00F91EB3"/>
    <w:rsid w:val="00F91F8F"/>
    <w:rsid w:val="00F9224B"/>
    <w:rsid w:val="00F922A7"/>
    <w:rsid w:val="00F92348"/>
    <w:rsid w:val="00F9238D"/>
    <w:rsid w:val="00F9244D"/>
    <w:rsid w:val="00F9246E"/>
    <w:rsid w:val="00F9248D"/>
    <w:rsid w:val="00F92496"/>
    <w:rsid w:val="00F924D7"/>
    <w:rsid w:val="00F926D7"/>
    <w:rsid w:val="00F927B6"/>
    <w:rsid w:val="00F9299E"/>
    <w:rsid w:val="00F92D2F"/>
    <w:rsid w:val="00F92D73"/>
    <w:rsid w:val="00F92D7C"/>
    <w:rsid w:val="00F92E3B"/>
    <w:rsid w:val="00F92EAE"/>
    <w:rsid w:val="00F92F1B"/>
    <w:rsid w:val="00F92F66"/>
    <w:rsid w:val="00F9315E"/>
    <w:rsid w:val="00F931E1"/>
    <w:rsid w:val="00F93224"/>
    <w:rsid w:val="00F93383"/>
    <w:rsid w:val="00F93387"/>
    <w:rsid w:val="00F93418"/>
    <w:rsid w:val="00F934A7"/>
    <w:rsid w:val="00F9357D"/>
    <w:rsid w:val="00F936F3"/>
    <w:rsid w:val="00F937DE"/>
    <w:rsid w:val="00F9390A"/>
    <w:rsid w:val="00F9393D"/>
    <w:rsid w:val="00F93CED"/>
    <w:rsid w:val="00F93D71"/>
    <w:rsid w:val="00F93DF5"/>
    <w:rsid w:val="00F93EFA"/>
    <w:rsid w:val="00F93FD4"/>
    <w:rsid w:val="00F940C6"/>
    <w:rsid w:val="00F9422F"/>
    <w:rsid w:val="00F94258"/>
    <w:rsid w:val="00F9443C"/>
    <w:rsid w:val="00F94708"/>
    <w:rsid w:val="00F94816"/>
    <w:rsid w:val="00F948A7"/>
    <w:rsid w:val="00F9495E"/>
    <w:rsid w:val="00F94A61"/>
    <w:rsid w:val="00F94C7E"/>
    <w:rsid w:val="00F94CC7"/>
    <w:rsid w:val="00F94D5A"/>
    <w:rsid w:val="00F94D86"/>
    <w:rsid w:val="00F94DBD"/>
    <w:rsid w:val="00F94E3E"/>
    <w:rsid w:val="00F94E7D"/>
    <w:rsid w:val="00F95138"/>
    <w:rsid w:val="00F9535B"/>
    <w:rsid w:val="00F95429"/>
    <w:rsid w:val="00F955CE"/>
    <w:rsid w:val="00F9584C"/>
    <w:rsid w:val="00F95CAD"/>
    <w:rsid w:val="00F95D3F"/>
    <w:rsid w:val="00F95E14"/>
    <w:rsid w:val="00F96037"/>
    <w:rsid w:val="00F96071"/>
    <w:rsid w:val="00F960FC"/>
    <w:rsid w:val="00F96393"/>
    <w:rsid w:val="00F963B2"/>
    <w:rsid w:val="00F9667B"/>
    <w:rsid w:val="00F96811"/>
    <w:rsid w:val="00F96914"/>
    <w:rsid w:val="00F96950"/>
    <w:rsid w:val="00F96A8C"/>
    <w:rsid w:val="00F96D2E"/>
    <w:rsid w:val="00F96E6B"/>
    <w:rsid w:val="00F970BB"/>
    <w:rsid w:val="00F970C6"/>
    <w:rsid w:val="00F97145"/>
    <w:rsid w:val="00F9738A"/>
    <w:rsid w:val="00F973C6"/>
    <w:rsid w:val="00F97427"/>
    <w:rsid w:val="00F974B1"/>
    <w:rsid w:val="00F97656"/>
    <w:rsid w:val="00F97792"/>
    <w:rsid w:val="00F977A2"/>
    <w:rsid w:val="00F9787E"/>
    <w:rsid w:val="00F9797F"/>
    <w:rsid w:val="00F979A6"/>
    <w:rsid w:val="00F97A15"/>
    <w:rsid w:val="00F97A65"/>
    <w:rsid w:val="00F97ABA"/>
    <w:rsid w:val="00F97C6D"/>
    <w:rsid w:val="00F97D9F"/>
    <w:rsid w:val="00F97DA5"/>
    <w:rsid w:val="00F97E77"/>
    <w:rsid w:val="00F97E92"/>
    <w:rsid w:val="00F97F6A"/>
    <w:rsid w:val="00F97F8C"/>
    <w:rsid w:val="00FA0193"/>
    <w:rsid w:val="00FA048A"/>
    <w:rsid w:val="00FA05E8"/>
    <w:rsid w:val="00FA05F4"/>
    <w:rsid w:val="00FA0667"/>
    <w:rsid w:val="00FA08BC"/>
    <w:rsid w:val="00FA08DA"/>
    <w:rsid w:val="00FA09CF"/>
    <w:rsid w:val="00FA0B4D"/>
    <w:rsid w:val="00FA0C57"/>
    <w:rsid w:val="00FA0C8E"/>
    <w:rsid w:val="00FA0C90"/>
    <w:rsid w:val="00FA0D65"/>
    <w:rsid w:val="00FA0D66"/>
    <w:rsid w:val="00FA0E13"/>
    <w:rsid w:val="00FA1024"/>
    <w:rsid w:val="00FA1072"/>
    <w:rsid w:val="00FA115F"/>
    <w:rsid w:val="00FA129F"/>
    <w:rsid w:val="00FA1392"/>
    <w:rsid w:val="00FA151C"/>
    <w:rsid w:val="00FA155F"/>
    <w:rsid w:val="00FA16E4"/>
    <w:rsid w:val="00FA1857"/>
    <w:rsid w:val="00FA1A94"/>
    <w:rsid w:val="00FA1BB5"/>
    <w:rsid w:val="00FA1CF7"/>
    <w:rsid w:val="00FA1E0C"/>
    <w:rsid w:val="00FA1ED1"/>
    <w:rsid w:val="00FA1F40"/>
    <w:rsid w:val="00FA203C"/>
    <w:rsid w:val="00FA2091"/>
    <w:rsid w:val="00FA2135"/>
    <w:rsid w:val="00FA21C3"/>
    <w:rsid w:val="00FA231E"/>
    <w:rsid w:val="00FA236C"/>
    <w:rsid w:val="00FA23A2"/>
    <w:rsid w:val="00FA26FD"/>
    <w:rsid w:val="00FA277F"/>
    <w:rsid w:val="00FA2969"/>
    <w:rsid w:val="00FA2BAE"/>
    <w:rsid w:val="00FA3229"/>
    <w:rsid w:val="00FA34D0"/>
    <w:rsid w:val="00FA3521"/>
    <w:rsid w:val="00FA365C"/>
    <w:rsid w:val="00FA36BA"/>
    <w:rsid w:val="00FA36C3"/>
    <w:rsid w:val="00FA375B"/>
    <w:rsid w:val="00FA3808"/>
    <w:rsid w:val="00FA39DD"/>
    <w:rsid w:val="00FA3ABB"/>
    <w:rsid w:val="00FA3AF2"/>
    <w:rsid w:val="00FA3DF7"/>
    <w:rsid w:val="00FA40C7"/>
    <w:rsid w:val="00FA40E7"/>
    <w:rsid w:val="00FA4190"/>
    <w:rsid w:val="00FA4350"/>
    <w:rsid w:val="00FA4468"/>
    <w:rsid w:val="00FA453E"/>
    <w:rsid w:val="00FA46C2"/>
    <w:rsid w:val="00FA4874"/>
    <w:rsid w:val="00FA4979"/>
    <w:rsid w:val="00FA4A4B"/>
    <w:rsid w:val="00FA4AFD"/>
    <w:rsid w:val="00FA4B1B"/>
    <w:rsid w:val="00FA4BF7"/>
    <w:rsid w:val="00FA4D49"/>
    <w:rsid w:val="00FA4D88"/>
    <w:rsid w:val="00FA4E8F"/>
    <w:rsid w:val="00FA5144"/>
    <w:rsid w:val="00FA527F"/>
    <w:rsid w:val="00FA5318"/>
    <w:rsid w:val="00FA535F"/>
    <w:rsid w:val="00FA53D7"/>
    <w:rsid w:val="00FA56E0"/>
    <w:rsid w:val="00FA5710"/>
    <w:rsid w:val="00FA5896"/>
    <w:rsid w:val="00FA59CE"/>
    <w:rsid w:val="00FA5ABC"/>
    <w:rsid w:val="00FA5B3B"/>
    <w:rsid w:val="00FA5FC5"/>
    <w:rsid w:val="00FA6116"/>
    <w:rsid w:val="00FA6245"/>
    <w:rsid w:val="00FA62B0"/>
    <w:rsid w:val="00FA6301"/>
    <w:rsid w:val="00FA6431"/>
    <w:rsid w:val="00FA670E"/>
    <w:rsid w:val="00FA67C5"/>
    <w:rsid w:val="00FA686F"/>
    <w:rsid w:val="00FA6A48"/>
    <w:rsid w:val="00FA6B17"/>
    <w:rsid w:val="00FA6B7A"/>
    <w:rsid w:val="00FA6BAB"/>
    <w:rsid w:val="00FA6BCB"/>
    <w:rsid w:val="00FA6EA7"/>
    <w:rsid w:val="00FA6F3F"/>
    <w:rsid w:val="00FA6F4C"/>
    <w:rsid w:val="00FA6F5E"/>
    <w:rsid w:val="00FA716A"/>
    <w:rsid w:val="00FA7236"/>
    <w:rsid w:val="00FA73B6"/>
    <w:rsid w:val="00FA73C8"/>
    <w:rsid w:val="00FA73F9"/>
    <w:rsid w:val="00FA758F"/>
    <w:rsid w:val="00FA7612"/>
    <w:rsid w:val="00FA7627"/>
    <w:rsid w:val="00FA7643"/>
    <w:rsid w:val="00FA7960"/>
    <w:rsid w:val="00FA7A0B"/>
    <w:rsid w:val="00FA7BAA"/>
    <w:rsid w:val="00FA7CE5"/>
    <w:rsid w:val="00FA7DAB"/>
    <w:rsid w:val="00FA7EE8"/>
    <w:rsid w:val="00FA7F11"/>
    <w:rsid w:val="00FB00A8"/>
    <w:rsid w:val="00FB0301"/>
    <w:rsid w:val="00FB03D5"/>
    <w:rsid w:val="00FB0475"/>
    <w:rsid w:val="00FB06A6"/>
    <w:rsid w:val="00FB06C0"/>
    <w:rsid w:val="00FB07AF"/>
    <w:rsid w:val="00FB07CD"/>
    <w:rsid w:val="00FB083C"/>
    <w:rsid w:val="00FB0920"/>
    <w:rsid w:val="00FB0932"/>
    <w:rsid w:val="00FB096F"/>
    <w:rsid w:val="00FB0AE0"/>
    <w:rsid w:val="00FB0CB9"/>
    <w:rsid w:val="00FB0D73"/>
    <w:rsid w:val="00FB0DE7"/>
    <w:rsid w:val="00FB0E95"/>
    <w:rsid w:val="00FB0F42"/>
    <w:rsid w:val="00FB0F74"/>
    <w:rsid w:val="00FB101B"/>
    <w:rsid w:val="00FB10B0"/>
    <w:rsid w:val="00FB1206"/>
    <w:rsid w:val="00FB1308"/>
    <w:rsid w:val="00FB135C"/>
    <w:rsid w:val="00FB1469"/>
    <w:rsid w:val="00FB1629"/>
    <w:rsid w:val="00FB1642"/>
    <w:rsid w:val="00FB1757"/>
    <w:rsid w:val="00FB1781"/>
    <w:rsid w:val="00FB1790"/>
    <w:rsid w:val="00FB188D"/>
    <w:rsid w:val="00FB1A37"/>
    <w:rsid w:val="00FB20F5"/>
    <w:rsid w:val="00FB237E"/>
    <w:rsid w:val="00FB23C6"/>
    <w:rsid w:val="00FB2614"/>
    <w:rsid w:val="00FB2848"/>
    <w:rsid w:val="00FB294A"/>
    <w:rsid w:val="00FB2960"/>
    <w:rsid w:val="00FB2CCC"/>
    <w:rsid w:val="00FB2FBE"/>
    <w:rsid w:val="00FB3058"/>
    <w:rsid w:val="00FB30E4"/>
    <w:rsid w:val="00FB3342"/>
    <w:rsid w:val="00FB3412"/>
    <w:rsid w:val="00FB349A"/>
    <w:rsid w:val="00FB383D"/>
    <w:rsid w:val="00FB392B"/>
    <w:rsid w:val="00FB3B21"/>
    <w:rsid w:val="00FB3EEC"/>
    <w:rsid w:val="00FB46B1"/>
    <w:rsid w:val="00FB4B91"/>
    <w:rsid w:val="00FB4EFC"/>
    <w:rsid w:val="00FB4EFE"/>
    <w:rsid w:val="00FB5091"/>
    <w:rsid w:val="00FB5213"/>
    <w:rsid w:val="00FB531E"/>
    <w:rsid w:val="00FB5332"/>
    <w:rsid w:val="00FB53D5"/>
    <w:rsid w:val="00FB546C"/>
    <w:rsid w:val="00FB54DD"/>
    <w:rsid w:val="00FB5710"/>
    <w:rsid w:val="00FB5928"/>
    <w:rsid w:val="00FB595C"/>
    <w:rsid w:val="00FB5A20"/>
    <w:rsid w:val="00FB5AE0"/>
    <w:rsid w:val="00FB5B9C"/>
    <w:rsid w:val="00FB5C19"/>
    <w:rsid w:val="00FB5D6D"/>
    <w:rsid w:val="00FB5D76"/>
    <w:rsid w:val="00FB5E39"/>
    <w:rsid w:val="00FB5ED0"/>
    <w:rsid w:val="00FB5EDD"/>
    <w:rsid w:val="00FB5EE5"/>
    <w:rsid w:val="00FB6139"/>
    <w:rsid w:val="00FB6296"/>
    <w:rsid w:val="00FB6314"/>
    <w:rsid w:val="00FB6382"/>
    <w:rsid w:val="00FB6887"/>
    <w:rsid w:val="00FB692D"/>
    <w:rsid w:val="00FB6A58"/>
    <w:rsid w:val="00FB6D8F"/>
    <w:rsid w:val="00FB6ED0"/>
    <w:rsid w:val="00FB701C"/>
    <w:rsid w:val="00FB714E"/>
    <w:rsid w:val="00FB718D"/>
    <w:rsid w:val="00FB732A"/>
    <w:rsid w:val="00FB7333"/>
    <w:rsid w:val="00FB755B"/>
    <w:rsid w:val="00FB7590"/>
    <w:rsid w:val="00FB75C2"/>
    <w:rsid w:val="00FB75C5"/>
    <w:rsid w:val="00FB767D"/>
    <w:rsid w:val="00FB772D"/>
    <w:rsid w:val="00FB7A6C"/>
    <w:rsid w:val="00FB7B5F"/>
    <w:rsid w:val="00FB7B6D"/>
    <w:rsid w:val="00FB7B98"/>
    <w:rsid w:val="00FB7CAC"/>
    <w:rsid w:val="00FB7F29"/>
    <w:rsid w:val="00FB7FB2"/>
    <w:rsid w:val="00FC007D"/>
    <w:rsid w:val="00FC00CE"/>
    <w:rsid w:val="00FC01CE"/>
    <w:rsid w:val="00FC06A9"/>
    <w:rsid w:val="00FC075E"/>
    <w:rsid w:val="00FC0923"/>
    <w:rsid w:val="00FC0931"/>
    <w:rsid w:val="00FC096B"/>
    <w:rsid w:val="00FC0D36"/>
    <w:rsid w:val="00FC0EE2"/>
    <w:rsid w:val="00FC1094"/>
    <w:rsid w:val="00FC12DB"/>
    <w:rsid w:val="00FC147B"/>
    <w:rsid w:val="00FC1612"/>
    <w:rsid w:val="00FC178D"/>
    <w:rsid w:val="00FC1973"/>
    <w:rsid w:val="00FC199C"/>
    <w:rsid w:val="00FC19C0"/>
    <w:rsid w:val="00FC19D9"/>
    <w:rsid w:val="00FC1A5B"/>
    <w:rsid w:val="00FC1C26"/>
    <w:rsid w:val="00FC1C97"/>
    <w:rsid w:val="00FC1F12"/>
    <w:rsid w:val="00FC1FEB"/>
    <w:rsid w:val="00FC221A"/>
    <w:rsid w:val="00FC22A3"/>
    <w:rsid w:val="00FC2668"/>
    <w:rsid w:val="00FC28E3"/>
    <w:rsid w:val="00FC2A1A"/>
    <w:rsid w:val="00FC2C7F"/>
    <w:rsid w:val="00FC2DCE"/>
    <w:rsid w:val="00FC2EDD"/>
    <w:rsid w:val="00FC303A"/>
    <w:rsid w:val="00FC30C8"/>
    <w:rsid w:val="00FC31F2"/>
    <w:rsid w:val="00FC3343"/>
    <w:rsid w:val="00FC355E"/>
    <w:rsid w:val="00FC35E4"/>
    <w:rsid w:val="00FC37CE"/>
    <w:rsid w:val="00FC38A7"/>
    <w:rsid w:val="00FC39F6"/>
    <w:rsid w:val="00FC3AB5"/>
    <w:rsid w:val="00FC3C0A"/>
    <w:rsid w:val="00FC3E92"/>
    <w:rsid w:val="00FC3EC1"/>
    <w:rsid w:val="00FC3FBA"/>
    <w:rsid w:val="00FC4089"/>
    <w:rsid w:val="00FC4150"/>
    <w:rsid w:val="00FC453D"/>
    <w:rsid w:val="00FC459E"/>
    <w:rsid w:val="00FC4753"/>
    <w:rsid w:val="00FC47A1"/>
    <w:rsid w:val="00FC47A4"/>
    <w:rsid w:val="00FC4874"/>
    <w:rsid w:val="00FC4882"/>
    <w:rsid w:val="00FC48A4"/>
    <w:rsid w:val="00FC49C7"/>
    <w:rsid w:val="00FC49D1"/>
    <w:rsid w:val="00FC4AA2"/>
    <w:rsid w:val="00FC4FD1"/>
    <w:rsid w:val="00FC52F0"/>
    <w:rsid w:val="00FC559C"/>
    <w:rsid w:val="00FC57BA"/>
    <w:rsid w:val="00FC5831"/>
    <w:rsid w:val="00FC5AAE"/>
    <w:rsid w:val="00FC5AC4"/>
    <w:rsid w:val="00FC5BFC"/>
    <w:rsid w:val="00FC5C18"/>
    <w:rsid w:val="00FC5C32"/>
    <w:rsid w:val="00FC5CF2"/>
    <w:rsid w:val="00FC5D00"/>
    <w:rsid w:val="00FC5DDD"/>
    <w:rsid w:val="00FC5E52"/>
    <w:rsid w:val="00FC5F0A"/>
    <w:rsid w:val="00FC5FE3"/>
    <w:rsid w:val="00FC60FD"/>
    <w:rsid w:val="00FC621E"/>
    <w:rsid w:val="00FC649E"/>
    <w:rsid w:val="00FC64FE"/>
    <w:rsid w:val="00FC67F1"/>
    <w:rsid w:val="00FC6A34"/>
    <w:rsid w:val="00FC6B6C"/>
    <w:rsid w:val="00FC6E12"/>
    <w:rsid w:val="00FC6F15"/>
    <w:rsid w:val="00FC6F34"/>
    <w:rsid w:val="00FC6FA6"/>
    <w:rsid w:val="00FC700E"/>
    <w:rsid w:val="00FC7203"/>
    <w:rsid w:val="00FC7304"/>
    <w:rsid w:val="00FC7322"/>
    <w:rsid w:val="00FC740D"/>
    <w:rsid w:val="00FC74EB"/>
    <w:rsid w:val="00FC74FB"/>
    <w:rsid w:val="00FC750A"/>
    <w:rsid w:val="00FC7604"/>
    <w:rsid w:val="00FC76E1"/>
    <w:rsid w:val="00FC781B"/>
    <w:rsid w:val="00FC7849"/>
    <w:rsid w:val="00FC79B0"/>
    <w:rsid w:val="00FC79F6"/>
    <w:rsid w:val="00FC7AC3"/>
    <w:rsid w:val="00FC7B57"/>
    <w:rsid w:val="00FC7DE8"/>
    <w:rsid w:val="00FC7EFF"/>
    <w:rsid w:val="00FC7F4A"/>
    <w:rsid w:val="00FC7FDB"/>
    <w:rsid w:val="00FD01D2"/>
    <w:rsid w:val="00FD02A3"/>
    <w:rsid w:val="00FD0345"/>
    <w:rsid w:val="00FD039A"/>
    <w:rsid w:val="00FD0441"/>
    <w:rsid w:val="00FD0519"/>
    <w:rsid w:val="00FD054A"/>
    <w:rsid w:val="00FD0567"/>
    <w:rsid w:val="00FD063A"/>
    <w:rsid w:val="00FD0716"/>
    <w:rsid w:val="00FD0754"/>
    <w:rsid w:val="00FD0756"/>
    <w:rsid w:val="00FD090F"/>
    <w:rsid w:val="00FD0919"/>
    <w:rsid w:val="00FD0A22"/>
    <w:rsid w:val="00FD0B32"/>
    <w:rsid w:val="00FD0B58"/>
    <w:rsid w:val="00FD0CBA"/>
    <w:rsid w:val="00FD0CC0"/>
    <w:rsid w:val="00FD0D25"/>
    <w:rsid w:val="00FD0E10"/>
    <w:rsid w:val="00FD0F5F"/>
    <w:rsid w:val="00FD0F71"/>
    <w:rsid w:val="00FD0FB4"/>
    <w:rsid w:val="00FD11C9"/>
    <w:rsid w:val="00FD15D2"/>
    <w:rsid w:val="00FD1611"/>
    <w:rsid w:val="00FD16DA"/>
    <w:rsid w:val="00FD177B"/>
    <w:rsid w:val="00FD18A0"/>
    <w:rsid w:val="00FD1952"/>
    <w:rsid w:val="00FD1A32"/>
    <w:rsid w:val="00FD1A93"/>
    <w:rsid w:val="00FD1CFE"/>
    <w:rsid w:val="00FD1DA3"/>
    <w:rsid w:val="00FD1E4B"/>
    <w:rsid w:val="00FD1F24"/>
    <w:rsid w:val="00FD231A"/>
    <w:rsid w:val="00FD247E"/>
    <w:rsid w:val="00FD26F2"/>
    <w:rsid w:val="00FD2740"/>
    <w:rsid w:val="00FD2882"/>
    <w:rsid w:val="00FD29C7"/>
    <w:rsid w:val="00FD2C33"/>
    <w:rsid w:val="00FD2EF0"/>
    <w:rsid w:val="00FD2EF7"/>
    <w:rsid w:val="00FD2F7C"/>
    <w:rsid w:val="00FD3050"/>
    <w:rsid w:val="00FD30A6"/>
    <w:rsid w:val="00FD31E5"/>
    <w:rsid w:val="00FD3257"/>
    <w:rsid w:val="00FD32DA"/>
    <w:rsid w:val="00FD3734"/>
    <w:rsid w:val="00FD37B1"/>
    <w:rsid w:val="00FD3961"/>
    <w:rsid w:val="00FD39FF"/>
    <w:rsid w:val="00FD3AEE"/>
    <w:rsid w:val="00FD3C6E"/>
    <w:rsid w:val="00FD3DF5"/>
    <w:rsid w:val="00FD3F4A"/>
    <w:rsid w:val="00FD3F4E"/>
    <w:rsid w:val="00FD3F6F"/>
    <w:rsid w:val="00FD408F"/>
    <w:rsid w:val="00FD4216"/>
    <w:rsid w:val="00FD4282"/>
    <w:rsid w:val="00FD4301"/>
    <w:rsid w:val="00FD43FA"/>
    <w:rsid w:val="00FD4569"/>
    <w:rsid w:val="00FD4576"/>
    <w:rsid w:val="00FD45B3"/>
    <w:rsid w:val="00FD4797"/>
    <w:rsid w:val="00FD4891"/>
    <w:rsid w:val="00FD4B70"/>
    <w:rsid w:val="00FD4C3F"/>
    <w:rsid w:val="00FD4E57"/>
    <w:rsid w:val="00FD4F11"/>
    <w:rsid w:val="00FD5008"/>
    <w:rsid w:val="00FD507D"/>
    <w:rsid w:val="00FD5168"/>
    <w:rsid w:val="00FD51FF"/>
    <w:rsid w:val="00FD5407"/>
    <w:rsid w:val="00FD552F"/>
    <w:rsid w:val="00FD56F9"/>
    <w:rsid w:val="00FD5741"/>
    <w:rsid w:val="00FD5762"/>
    <w:rsid w:val="00FD5995"/>
    <w:rsid w:val="00FD5A08"/>
    <w:rsid w:val="00FD5AE0"/>
    <w:rsid w:val="00FD5BFC"/>
    <w:rsid w:val="00FD5CDA"/>
    <w:rsid w:val="00FD6170"/>
    <w:rsid w:val="00FD61FA"/>
    <w:rsid w:val="00FD6298"/>
    <w:rsid w:val="00FD62A1"/>
    <w:rsid w:val="00FD6304"/>
    <w:rsid w:val="00FD65C9"/>
    <w:rsid w:val="00FD6788"/>
    <w:rsid w:val="00FD6860"/>
    <w:rsid w:val="00FD68EA"/>
    <w:rsid w:val="00FD68F8"/>
    <w:rsid w:val="00FD6937"/>
    <w:rsid w:val="00FD69B2"/>
    <w:rsid w:val="00FD6A6B"/>
    <w:rsid w:val="00FD6ADF"/>
    <w:rsid w:val="00FD6B60"/>
    <w:rsid w:val="00FD6C04"/>
    <w:rsid w:val="00FD6D6F"/>
    <w:rsid w:val="00FD6E72"/>
    <w:rsid w:val="00FD6E9E"/>
    <w:rsid w:val="00FD6F5B"/>
    <w:rsid w:val="00FD7085"/>
    <w:rsid w:val="00FD7336"/>
    <w:rsid w:val="00FD741B"/>
    <w:rsid w:val="00FD7460"/>
    <w:rsid w:val="00FD74FF"/>
    <w:rsid w:val="00FD76C1"/>
    <w:rsid w:val="00FD76C5"/>
    <w:rsid w:val="00FD76FA"/>
    <w:rsid w:val="00FD7771"/>
    <w:rsid w:val="00FD7788"/>
    <w:rsid w:val="00FD77B5"/>
    <w:rsid w:val="00FD780A"/>
    <w:rsid w:val="00FD7A90"/>
    <w:rsid w:val="00FD7CEB"/>
    <w:rsid w:val="00FD7D0B"/>
    <w:rsid w:val="00FD7D2D"/>
    <w:rsid w:val="00FD7E1B"/>
    <w:rsid w:val="00FD7F54"/>
    <w:rsid w:val="00FE0028"/>
    <w:rsid w:val="00FE014D"/>
    <w:rsid w:val="00FE04A3"/>
    <w:rsid w:val="00FE04AF"/>
    <w:rsid w:val="00FE0673"/>
    <w:rsid w:val="00FE06AE"/>
    <w:rsid w:val="00FE06E8"/>
    <w:rsid w:val="00FE06EE"/>
    <w:rsid w:val="00FE074B"/>
    <w:rsid w:val="00FE09D7"/>
    <w:rsid w:val="00FE0AA2"/>
    <w:rsid w:val="00FE0AA7"/>
    <w:rsid w:val="00FE0E42"/>
    <w:rsid w:val="00FE11DE"/>
    <w:rsid w:val="00FE1211"/>
    <w:rsid w:val="00FE162E"/>
    <w:rsid w:val="00FE16F9"/>
    <w:rsid w:val="00FE17B5"/>
    <w:rsid w:val="00FE17D9"/>
    <w:rsid w:val="00FE18FD"/>
    <w:rsid w:val="00FE1A89"/>
    <w:rsid w:val="00FE1D49"/>
    <w:rsid w:val="00FE1E3F"/>
    <w:rsid w:val="00FE20A5"/>
    <w:rsid w:val="00FE20CE"/>
    <w:rsid w:val="00FE2160"/>
    <w:rsid w:val="00FE2204"/>
    <w:rsid w:val="00FE223B"/>
    <w:rsid w:val="00FE2411"/>
    <w:rsid w:val="00FE24E5"/>
    <w:rsid w:val="00FE24F3"/>
    <w:rsid w:val="00FE2546"/>
    <w:rsid w:val="00FE2686"/>
    <w:rsid w:val="00FE27BA"/>
    <w:rsid w:val="00FE2855"/>
    <w:rsid w:val="00FE29E2"/>
    <w:rsid w:val="00FE2B1F"/>
    <w:rsid w:val="00FE2BF6"/>
    <w:rsid w:val="00FE2D19"/>
    <w:rsid w:val="00FE2D57"/>
    <w:rsid w:val="00FE2DAE"/>
    <w:rsid w:val="00FE2E88"/>
    <w:rsid w:val="00FE2F57"/>
    <w:rsid w:val="00FE31C5"/>
    <w:rsid w:val="00FE31CD"/>
    <w:rsid w:val="00FE328E"/>
    <w:rsid w:val="00FE3312"/>
    <w:rsid w:val="00FE3324"/>
    <w:rsid w:val="00FE337E"/>
    <w:rsid w:val="00FE33E1"/>
    <w:rsid w:val="00FE342C"/>
    <w:rsid w:val="00FE34CF"/>
    <w:rsid w:val="00FE3551"/>
    <w:rsid w:val="00FE35A4"/>
    <w:rsid w:val="00FE35AA"/>
    <w:rsid w:val="00FE3B7B"/>
    <w:rsid w:val="00FE3BE1"/>
    <w:rsid w:val="00FE3D8E"/>
    <w:rsid w:val="00FE3DDB"/>
    <w:rsid w:val="00FE3DE3"/>
    <w:rsid w:val="00FE3F29"/>
    <w:rsid w:val="00FE3FE0"/>
    <w:rsid w:val="00FE3FE2"/>
    <w:rsid w:val="00FE4114"/>
    <w:rsid w:val="00FE42E5"/>
    <w:rsid w:val="00FE438E"/>
    <w:rsid w:val="00FE4549"/>
    <w:rsid w:val="00FE4700"/>
    <w:rsid w:val="00FE47D0"/>
    <w:rsid w:val="00FE48DE"/>
    <w:rsid w:val="00FE48EC"/>
    <w:rsid w:val="00FE4B89"/>
    <w:rsid w:val="00FE4EA7"/>
    <w:rsid w:val="00FE4F05"/>
    <w:rsid w:val="00FE4FFB"/>
    <w:rsid w:val="00FE505E"/>
    <w:rsid w:val="00FE510F"/>
    <w:rsid w:val="00FE5125"/>
    <w:rsid w:val="00FE5203"/>
    <w:rsid w:val="00FE52BA"/>
    <w:rsid w:val="00FE5334"/>
    <w:rsid w:val="00FE54AD"/>
    <w:rsid w:val="00FE55A5"/>
    <w:rsid w:val="00FE55E6"/>
    <w:rsid w:val="00FE56AA"/>
    <w:rsid w:val="00FE5770"/>
    <w:rsid w:val="00FE58E0"/>
    <w:rsid w:val="00FE5BA2"/>
    <w:rsid w:val="00FE5CDC"/>
    <w:rsid w:val="00FE5EE3"/>
    <w:rsid w:val="00FE5FC7"/>
    <w:rsid w:val="00FE5FE2"/>
    <w:rsid w:val="00FE6149"/>
    <w:rsid w:val="00FE6272"/>
    <w:rsid w:val="00FE649B"/>
    <w:rsid w:val="00FE66F2"/>
    <w:rsid w:val="00FE6719"/>
    <w:rsid w:val="00FE6BA5"/>
    <w:rsid w:val="00FE6C31"/>
    <w:rsid w:val="00FE6D89"/>
    <w:rsid w:val="00FE6FA3"/>
    <w:rsid w:val="00FE700B"/>
    <w:rsid w:val="00FE721C"/>
    <w:rsid w:val="00FE72F3"/>
    <w:rsid w:val="00FE7323"/>
    <w:rsid w:val="00FE7752"/>
    <w:rsid w:val="00FE7759"/>
    <w:rsid w:val="00FE7764"/>
    <w:rsid w:val="00FE7986"/>
    <w:rsid w:val="00FE79D6"/>
    <w:rsid w:val="00FE7A3F"/>
    <w:rsid w:val="00FE7A44"/>
    <w:rsid w:val="00FE7A6D"/>
    <w:rsid w:val="00FE7C00"/>
    <w:rsid w:val="00FE7D21"/>
    <w:rsid w:val="00FE7E2C"/>
    <w:rsid w:val="00FE7F41"/>
    <w:rsid w:val="00FF0125"/>
    <w:rsid w:val="00FF0276"/>
    <w:rsid w:val="00FF02FA"/>
    <w:rsid w:val="00FF0397"/>
    <w:rsid w:val="00FF0657"/>
    <w:rsid w:val="00FF07AF"/>
    <w:rsid w:val="00FF07E9"/>
    <w:rsid w:val="00FF09DC"/>
    <w:rsid w:val="00FF0A09"/>
    <w:rsid w:val="00FF0A9C"/>
    <w:rsid w:val="00FF0C29"/>
    <w:rsid w:val="00FF0DAE"/>
    <w:rsid w:val="00FF1076"/>
    <w:rsid w:val="00FF10D6"/>
    <w:rsid w:val="00FF1232"/>
    <w:rsid w:val="00FF12FA"/>
    <w:rsid w:val="00FF132C"/>
    <w:rsid w:val="00FF1354"/>
    <w:rsid w:val="00FF140E"/>
    <w:rsid w:val="00FF1434"/>
    <w:rsid w:val="00FF1493"/>
    <w:rsid w:val="00FF1605"/>
    <w:rsid w:val="00FF16AC"/>
    <w:rsid w:val="00FF1790"/>
    <w:rsid w:val="00FF1904"/>
    <w:rsid w:val="00FF1998"/>
    <w:rsid w:val="00FF19B4"/>
    <w:rsid w:val="00FF19E5"/>
    <w:rsid w:val="00FF1B92"/>
    <w:rsid w:val="00FF1C61"/>
    <w:rsid w:val="00FF1E29"/>
    <w:rsid w:val="00FF1E91"/>
    <w:rsid w:val="00FF1FC8"/>
    <w:rsid w:val="00FF204C"/>
    <w:rsid w:val="00FF20FC"/>
    <w:rsid w:val="00FF213D"/>
    <w:rsid w:val="00FF254C"/>
    <w:rsid w:val="00FF25C3"/>
    <w:rsid w:val="00FF27F1"/>
    <w:rsid w:val="00FF281E"/>
    <w:rsid w:val="00FF28D3"/>
    <w:rsid w:val="00FF29AB"/>
    <w:rsid w:val="00FF2BCB"/>
    <w:rsid w:val="00FF2D03"/>
    <w:rsid w:val="00FF2D22"/>
    <w:rsid w:val="00FF2D4D"/>
    <w:rsid w:val="00FF2D9E"/>
    <w:rsid w:val="00FF2EA6"/>
    <w:rsid w:val="00FF2F0C"/>
    <w:rsid w:val="00FF2FFB"/>
    <w:rsid w:val="00FF30FD"/>
    <w:rsid w:val="00FF3257"/>
    <w:rsid w:val="00FF3350"/>
    <w:rsid w:val="00FF3520"/>
    <w:rsid w:val="00FF356C"/>
    <w:rsid w:val="00FF36AD"/>
    <w:rsid w:val="00FF36EF"/>
    <w:rsid w:val="00FF38B0"/>
    <w:rsid w:val="00FF3CCE"/>
    <w:rsid w:val="00FF3CF1"/>
    <w:rsid w:val="00FF3F98"/>
    <w:rsid w:val="00FF4071"/>
    <w:rsid w:val="00FF4387"/>
    <w:rsid w:val="00FF44F3"/>
    <w:rsid w:val="00FF450D"/>
    <w:rsid w:val="00FF4510"/>
    <w:rsid w:val="00FF4568"/>
    <w:rsid w:val="00FF4737"/>
    <w:rsid w:val="00FF4769"/>
    <w:rsid w:val="00FF47FE"/>
    <w:rsid w:val="00FF48B1"/>
    <w:rsid w:val="00FF48B2"/>
    <w:rsid w:val="00FF4D82"/>
    <w:rsid w:val="00FF4E76"/>
    <w:rsid w:val="00FF5118"/>
    <w:rsid w:val="00FF52D8"/>
    <w:rsid w:val="00FF533A"/>
    <w:rsid w:val="00FF5666"/>
    <w:rsid w:val="00FF581F"/>
    <w:rsid w:val="00FF5825"/>
    <w:rsid w:val="00FF58CE"/>
    <w:rsid w:val="00FF5916"/>
    <w:rsid w:val="00FF5970"/>
    <w:rsid w:val="00FF59A6"/>
    <w:rsid w:val="00FF5A45"/>
    <w:rsid w:val="00FF5A4F"/>
    <w:rsid w:val="00FF5ADD"/>
    <w:rsid w:val="00FF5CCC"/>
    <w:rsid w:val="00FF5D32"/>
    <w:rsid w:val="00FF5E47"/>
    <w:rsid w:val="00FF5EC4"/>
    <w:rsid w:val="00FF6238"/>
    <w:rsid w:val="00FF637E"/>
    <w:rsid w:val="00FF63AA"/>
    <w:rsid w:val="00FF65F6"/>
    <w:rsid w:val="00FF6970"/>
    <w:rsid w:val="00FF69A6"/>
    <w:rsid w:val="00FF6B41"/>
    <w:rsid w:val="00FF6BCF"/>
    <w:rsid w:val="00FF6BEA"/>
    <w:rsid w:val="00FF6D15"/>
    <w:rsid w:val="00FF70BB"/>
    <w:rsid w:val="00FF71CD"/>
    <w:rsid w:val="00FF7218"/>
    <w:rsid w:val="00FF75B4"/>
    <w:rsid w:val="00FF75B5"/>
    <w:rsid w:val="00FF760E"/>
    <w:rsid w:val="00FF764B"/>
    <w:rsid w:val="00FF76C1"/>
    <w:rsid w:val="00FF7847"/>
    <w:rsid w:val="00FF7961"/>
    <w:rsid w:val="00FF7999"/>
    <w:rsid w:val="00FF7A58"/>
    <w:rsid w:val="00FF7B71"/>
    <w:rsid w:val="00FF7C4A"/>
    <w:rsid w:val="00FF7E6A"/>
    <w:rsid w:val="00FF7F1F"/>
    <w:rsid w:val="0105FE8E"/>
    <w:rsid w:val="01077699"/>
    <w:rsid w:val="01097665"/>
    <w:rsid w:val="010CB3E0"/>
    <w:rsid w:val="0114C1CC"/>
    <w:rsid w:val="0114CBB7"/>
    <w:rsid w:val="011501D2"/>
    <w:rsid w:val="011FEA5D"/>
    <w:rsid w:val="0122118A"/>
    <w:rsid w:val="01287337"/>
    <w:rsid w:val="0129DACC"/>
    <w:rsid w:val="012C8798"/>
    <w:rsid w:val="012EE698"/>
    <w:rsid w:val="012FAF5D"/>
    <w:rsid w:val="013A22F4"/>
    <w:rsid w:val="01451302"/>
    <w:rsid w:val="014CC16F"/>
    <w:rsid w:val="01509F6B"/>
    <w:rsid w:val="015EE2C1"/>
    <w:rsid w:val="015F36C0"/>
    <w:rsid w:val="01603C94"/>
    <w:rsid w:val="01609EFF"/>
    <w:rsid w:val="01688181"/>
    <w:rsid w:val="016DB731"/>
    <w:rsid w:val="016F2E04"/>
    <w:rsid w:val="01719C4F"/>
    <w:rsid w:val="0172E7BA"/>
    <w:rsid w:val="0173CFDC"/>
    <w:rsid w:val="01750022"/>
    <w:rsid w:val="01779AE7"/>
    <w:rsid w:val="01788161"/>
    <w:rsid w:val="0180983A"/>
    <w:rsid w:val="01810323"/>
    <w:rsid w:val="0181B4FE"/>
    <w:rsid w:val="018510B3"/>
    <w:rsid w:val="018542CC"/>
    <w:rsid w:val="01877243"/>
    <w:rsid w:val="018B0A5B"/>
    <w:rsid w:val="018FB749"/>
    <w:rsid w:val="0195B14E"/>
    <w:rsid w:val="01967F1B"/>
    <w:rsid w:val="019B3DEE"/>
    <w:rsid w:val="019CC970"/>
    <w:rsid w:val="019FA2BA"/>
    <w:rsid w:val="019FCD2F"/>
    <w:rsid w:val="01A47BB3"/>
    <w:rsid w:val="01A61A1C"/>
    <w:rsid w:val="01A7C999"/>
    <w:rsid w:val="01A98D49"/>
    <w:rsid w:val="01AEC5D6"/>
    <w:rsid w:val="01BB7251"/>
    <w:rsid w:val="01BB8BA9"/>
    <w:rsid w:val="01BF6A29"/>
    <w:rsid w:val="01C944A2"/>
    <w:rsid w:val="01D08925"/>
    <w:rsid w:val="01D0EE0F"/>
    <w:rsid w:val="01D1679B"/>
    <w:rsid w:val="01DA1DA4"/>
    <w:rsid w:val="01DF417A"/>
    <w:rsid w:val="01E21804"/>
    <w:rsid w:val="01E4F6D6"/>
    <w:rsid w:val="01E58634"/>
    <w:rsid w:val="01EA361D"/>
    <w:rsid w:val="01EC01B9"/>
    <w:rsid w:val="01EC15A8"/>
    <w:rsid w:val="01F1AC80"/>
    <w:rsid w:val="01F1C1C5"/>
    <w:rsid w:val="01F7343A"/>
    <w:rsid w:val="01F76666"/>
    <w:rsid w:val="0201FECA"/>
    <w:rsid w:val="0207AC8D"/>
    <w:rsid w:val="020C2962"/>
    <w:rsid w:val="02101D29"/>
    <w:rsid w:val="0212B5A7"/>
    <w:rsid w:val="02145DD5"/>
    <w:rsid w:val="02191FE3"/>
    <w:rsid w:val="021B1A6D"/>
    <w:rsid w:val="021DECE5"/>
    <w:rsid w:val="021FD081"/>
    <w:rsid w:val="0220754E"/>
    <w:rsid w:val="022394A7"/>
    <w:rsid w:val="0225E9BE"/>
    <w:rsid w:val="0229E6B3"/>
    <w:rsid w:val="0229ED77"/>
    <w:rsid w:val="022A2A26"/>
    <w:rsid w:val="022FAF07"/>
    <w:rsid w:val="02336676"/>
    <w:rsid w:val="02371337"/>
    <w:rsid w:val="0239E56D"/>
    <w:rsid w:val="023C2ED0"/>
    <w:rsid w:val="023D67FD"/>
    <w:rsid w:val="023E14E3"/>
    <w:rsid w:val="02425AD0"/>
    <w:rsid w:val="0242A6F7"/>
    <w:rsid w:val="02459B29"/>
    <w:rsid w:val="0247A3D6"/>
    <w:rsid w:val="024E5950"/>
    <w:rsid w:val="02559632"/>
    <w:rsid w:val="025626C4"/>
    <w:rsid w:val="0256C9E2"/>
    <w:rsid w:val="02664BC2"/>
    <w:rsid w:val="026CF802"/>
    <w:rsid w:val="026E1D67"/>
    <w:rsid w:val="026E7B1B"/>
    <w:rsid w:val="027D51CB"/>
    <w:rsid w:val="027D8DC1"/>
    <w:rsid w:val="027DE6D1"/>
    <w:rsid w:val="027EC0DF"/>
    <w:rsid w:val="027FF494"/>
    <w:rsid w:val="028248AB"/>
    <w:rsid w:val="0282DA2F"/>
    <w:rsid w:val="0286FDB6"/>
    <w:rsid w:val="02870D0E"/>
    <w:rsid w:val="0288B490"/>
    <w:rsid w:val="02986B49"/>
    <w:rsid w:val="029AC2C3"/>
    <w:rsid w:val="029D6FA9"/>
    <w:rsid w:val="029D72FE"/>
    <w:rsid w:val="02A1D25F"/>
    <w:rsid w:val="02A3F7BD"/>
    <w:rsid w:val="02A56816"/>
    <w:rsid w:val="02A679B8"/>
    <w:rsid w:val="02A98B61"/>
    <w:rsid w:val="02ABFEB0"/>
    <w:rsid w:val="02AC4E3D"/>
    <w:rsid w:val="02AD5071"/>
    <w:rsid w:val="02AECF94"/>
    <w:rsid w:val="02AF6D50"/>
    <w:rsid w:val="02C0C3BC"/>
    <w:rsid w:val="02C24F4C"/>
    <w:rsid w:val="02C5D472"/>
    <w:rsid w:val="02CBC278"/>
    <w:rsid w:val="02D41726"/>
    <w:rsid w:val="02D41D6C"/>
    <w:rsid w:val="02D43685"/>
    <w:rsid w:val="02DC0F3F"/>
    <w:rsid w:val="02EE495E"/>
    <w:rsid w:val="02F026C4"/>
    <w:rsid w:val="02F18024"/>
    <w:rsid w:val="02F4C7DE"/>
    <w:rsid w:val="02FD80DC"/>
    <w:rsid w:val="02FDEA6B"/>
    <w:rsid w:val="03020599"/>
    <w:rsid w:val="030299C2"/>
    <w:rsid w:val="0304D500"/>
    <w:rsid w:val="030509C1"/>
    <w:rsid w:val="030B5906"/>
    <w:rsid w:val="030BF70C"/>
    <w:rsid w:val="030CDD72"/>
    <w:rsid w:val="030FC24F"/>
    <w:rsid w:val="0315C2AC"/>
    <w:rsid w:val="0319405B"/>
    <w:rsid w:val="031955AF"/>
    <w:rsid w:val="0319CCC3"/>
    <w:rsid w:val="031C8DDF"/>
    <w:rsid w:val="031E66A2"/>
    <w:rsid w:val="03205067"/>
    <w:rsid w:val="03210736"/>
    <w:rsid w:val="03217F3C"/>
    <w:rsid w:val="03266121"/>
    <w:rsid w:val="032A05D3"/>
    <w:rsid w:val="032C84CA"/>
    <w:rsid w:val="032CE036"/>
    <w:rsid w:val="032F47F0"/>
    <w:rsid w:val="033178A3"/>
    <w:rsid w:val="03322921"/>
    <w:rsid w:val="033425FF"/>
    <w:rsid w:val="033BEBE3"/>
    <w:rsid w:val="033DFBCC"/>
    <w:rsid w:val="03473FBE"/>
    <w:rsid w:val="03477AA7"/>
    <w:rsid w:val="034B2A02"/>
    <w:rsid w:val="0353B188"/>
    <w:rsid w:val="0353E4E7"/>
    <w:rsid w:val="035AD027"/>
    <w:rsid w:val="036846CA"/>
    <w:rsid w:val="036E6876"/>
    <w:rsid w:val="03712A0B"/>
    <w:rsid w:val="0371B82F"/>
    <w:rsid w:val="037992C9"/>
    <w:rsid w:val="037D63B0"/>
    <w:rsid w:val="0381E2CE"/>
    <w:rsid w:val="0385221D"/>
    <w:rsid w:val="0387C75E"/>
    <w:rsid w:val="03881923"/>
    <w:rsid w:val="038C974D"/>
    <w:rsid w:val="038FDA0F"/>
    <w:rsid w:val="03928151"/>
    <w:rsid w:val="0397115B"/>
    <w:rsid w:val="039872B2"/>
    <w:rsid w:val="0398B824"/>
    <w:rsid w:val="039D1A08"/>
    <w:rsid w:val="039DF943"/>
    <w:rsid w:val="039E5C90"/>
    <w:rsid w:val="03A58047"/>
    <w:rsid w:val="03A58BD3"/>
    <w:rsid w:val="03A67743"/>
    <w:rsid w:val="03AC7415"/>
    <w:rsid w:val="03B7E75E"/>
    <w:rsid w:val="03B99E6C"/>
    <w:rsid w:val="03B9F1D7"/>
    <w:rsid w:val="03BD2846"/>
    <w:rsid w:val="03BE0DD8"/>
    <w:rsid w:val="03CD7C00"/>
    <w:rsid w:val="03CDBF95"/>
    <w:rsid w:val="03CEBB52"/>
    <w:rsid w:val="03D0DCB5"/>
    <w:rsid w:val="03D298D2"/>
    <w:rsid w:val="03D484BB"/>
    <w:rsid w:val="03D5C0DF"/>
    <w:rsid w:val="03DB06AA"/>
    <w:rsid w:val="03EA7604"/>
    <w:rsid w:val="03ED226E"/>
    <w:rsid w:val="03F38F48"/>
    <w:rsid w:val="03F80C39"/>
    <w:rsid w:val="03FA5D4A"/>
    <w:rsid w:val="03FAC5D2"/>
    <w:rsid w:val="03FB163F"/>
    <w:rsid w:val="04044CD4"/>
    <w:rsid w:val="0405F02C"/>
    <w:rsid w:val="0408CAC9"/>
    <w:rsid w:val="0409090F"/>
    <w:rsid w:val="040D3E1D"/>
    <w:rsid w:val="040E61D4"/>
    <w:rsid w:val="040F3CC4"/>
    <w:rsid w:val="041AFE36"/>
    <w:rsid w:val="041D76EC"/>
    <w:rsid w:val="041ECDB0"/>
    <w:rsid w:val="041EEBF0"/>
    <w:rsid w:val="0424D98A"/>
    <w:rsid w:val="0425B03C"/>
    <w:rsid w:val="042658EF"/>
    <w:rsid w:val="042D12C8"/>
    <w:rsid w:val="042F91F2"/>
    <w:rsid w:val="043032CE"/>
    <w:rsid w:val="0432C121"/>
    <w:rsid w:val="043473CF"/>
    <w:rsid w:val="0436B471"/>
    <w:rsid w:val="043935EA"/>
    <w:rsid w:val="04430E43"/>
    <w:rsid w:val="04440E7E"/>
    <w:rsid w:val="0444E314"/>
    <w:rsid w:val="0446173C"/>
    <w:rsid w:val="044E1941"/>
    <w:rsid w:val="0452E259"/>
    <w:rsid w:val="0453C330"/>
    <w:rsid w:val="0457037B"/>
    <w:rsid w:val="045B7341"/>
    <w:rsid w:val="045D7EA0"/>
    <w:rsid w:val="046081D3"/>
    <w:rsid w:val="04618EA8"/>
    <w:rsid w:val="0461F8E8"/>
    <w:rsid w:val="0464C6EF"/>
    <w:rsid w:val="04663857"/>
    <w:rsid w:val="04676A24"/>
    <w:rsid w:val="04686EA0"/>
    <w:rsid w:val="046E2809"/>
    <w:rsid w:val="04705D4B"/>
    <w:rsid w:val="0476A23A"/>
    <w:rsid w:val="0476BC6D"/>
    <w:rsid w:val="04779583"/>
    <w:rsid w:val="047FAFC3"/>
    <w:rsid w:val="0482348E"/>
    <w:rsid w:val="04825E49"/>
    <w:rsid w:val="0485372D"/>
    <w:rsid w:val="048A0103"/>
    <w:rsid w:val="048D4227"/>
    <w:rsid w:val="049F2204"/>
    <w:rsid w:val="04A2DE99"/>
    <w:rsid w:val="04A4DEBB"/>
    <w:rsid w:val="04A63DA5"/>
    <w:rsid w:val="04A6B39B"/>
    <w:rsid w:val="04AAC5C1"/>
    <w:rsid w:val="04AC2EE8"/>
    <w:rsid w:val="04B0F7F4"/>
    <w:rsid w:val="04B1560A"/>
    <w:rsid w:val="04B1CBFA"/>
    <w:rsid w:val="04B5A5F5"/>
    <w:rsid w:val="04BB1764"/>
    <w:rsid w:val="04BD4D22"/>
    <w:rsid w:val="04BFA412"/>
    <w:rsid w:val="04BFEA8A"/>
    <w:rsid w:val="04C18F4B"/>
    <w:rsid w:val="04C1A612"/>
    <w:rsid w:val="04C3C580"/>
    <w:rsid w:val="04CC7B2E"/>
    <w:rsid w:val="04D08817"/>
    <w:rsid w:val="04D1193C"/>
    <w:rsid w:val="04D1BEE8"/>
    <w:rsid w:val="04D4EF44"/>
    <w:rsid w:val="04DC6890"/>
    <w:rsid w:val="04DCA625"/>
    <w:rsid w:val="04DD06D3"/>
    <w:rsid w:val="04E2E33A"/>
    <w:rsid w:val="04E6798D"/>
    <w:rsid w:val="04E7D371"/>
    <w:rsid w:val="04E7DD3B"/>
    <w:rsid w:val="04EA89D4"/>
    <w:rsid w:val="04EA9A39"/>
    <w:rsid w:val="04EE20E3"/>
    <w:rsid w:val="04F015AC"/>
    <w:rsid w:val="04F66560"/>
    <w:rsid w:val="04F879DC"/>
    <w:rsid w:val="04F96FA3"/>
    <w:rsid w:val="04FB8578"/>
    <w:rsid w:val="04FDECA4"/>
    <w:rsid w:val="0505DD22"/>
    <w:rsid w:val="050904CE"/>
    <w:rsid w:val="050DA016"/>
    <w:rsid w:val="0516A6C1"/>
    <w:rsid w:val="0518F31B"/>
    <w:rsid w:val="051BADEB"/>
    <w:rsid w:val="051F5A51"/>
    <w:rsid w:val="0523A3C8"/>
    <w:rsid w:val="05274F26"/>
    <w:rsid w:val="0529D32B"/>
    <w:rsid w:val="052BC29E"/>
    <w:rsid w:val="052FB85F"/>
    <w:rsid w:val="0537DABD"/>
    <w:rsid w:val="053C8560"/>
    <w:rsid w:val="053F828D"/>
    <w:rsid w:val="053FD03B"/>
    <w:rsid w:val="054DECA3"/>
    <w:rsid w:val="05553B01"/>
    <w:rsid w:val="05555648"/>
    <w:rsid w:val="0556F9F2"/>
    <w:rsid w:val="0558FDE6"/>
    <w:rsid w:val="055E125B"/>
    <w:rsid w:val="05652151"/>
    <w:rsid w:val="05666C29"/>
    <w:rsid w:val="056E5DE5"/>
    <w:rsid w:val="056E6302"/>
    <w:rsid w:val="0571E126"/>
    <w:rsid w:val="0577CB6E"/>
    <w:rsid w:val="057F2688"/>
    <w:rsid w:val="05801E3E"/>
    <w:rsid w:val="0582F7D3"/>
    <w:rsid w:val="0583306F"/>
    <w:rsid w:val="058729DB"/>
    <w:rsid w:val="05894238"/>
    <w:rsid w:val="058A7591"/>
    <w:rsid w:val="058B5650"/>
    <w:rsid w:val="058F6DF4"/>
    <w:rsid w:val="0590C652"/>
    <w:rsid w:val="059182BB"/>
    <w:rsid w:val="05926ECC"/>
    <w:rsid w:val="059320D3"/>
    <w:rsid w:val="05960B92"/>
    <w:rsid w:val="05991D7C"/>
    <w:rsid w:val="05996519"/>
    <w:rsid w:val="059993FE"/>
    <w:rsid w:val="05999FE7"/>
    <w:rsid w:val="059A5CCB"/>
    <w:rsid w:val="059B2392"/>
    <w:rsid w:val="059C1633"/>
    <w:rsid w:val="059C52A5"/>
    <w:rsid w:val="059F8D16"/>
    <w:rsid w:val="05A029ED"/>
    <w:rsid w:val="05A2626A"/>
    <w:rsid w:val="05A58585"/>
    <w:rsid w:val="05A964BB"/>
    <w:rsid w:val="05AA6DD2"/>
    <w:rsid w:val="05ACF4D7"/>
    <w:rsid w:val="05AE66B9"/>
    <w:rsid w:val="05B08E77"/>
    <w:rsid w:val="05B3D779"/>
    <w:rsid w:val="05B87920"/>
    <w:rsid w:val="05BBFCE0"/>
    <w:rsid w:val="05C2A742"/>
    <w:rsid w:val="05C2B20C"/>
    <w:rsid w:val="05C647E8"/>
    <w:rsid w:val="05C83A64"/>
    <w:rsid w:val="05C85F9A"/>
    <w:rsid w:val="05CCD07D"/>
    <w:rsid w:val="05CEEA40"/>
    <w:rsid w:val="05D05156"/>
    <w:rsid w:val="05D22A30"/>
    <w:rsid w:val="05D65810"/>
    <w:rsid w:val="05D7AA10"/>
    <w:rsid w:val="05DC9148"/>
    <w:rsid w:val="05E1E5C4"/>
    <w:rsid w:val="05E6137F"/>
    <w:rsid w:val="05EE1512"/>
    <w:rsid w:val="05EE2E79"/>
    <w:rsid w:val="05EED8E7"/>
    <w:rsid w:val="05F054D7"/>
    <w:rsid w:val="05F209F2"/>
    <w:rsid w:val="05F53765"/>
    <w:rsid w:val="05F9BB7C"/>
    <w:rsid w:val="05FB3D35"/>
    <w:rsid w:val="05FC3107"/>
    <w:rsid w:val="05FCFB52"/>
    <w:rsid w:val="05FD7FC7"/>
    <w:rsid w:val="06026C71"/>
    <w:rsid w:val="0602A3F3"/>
    <w:rsid w:val="06057241"/>
    <w:rsid w:val="06084C8C"/>
    <w:rsid w:val="0608CC38"/>
    <w:rsid w:val="060BEB9B"/>
    <w:rsid w:val="060CCA19"/>
    <w:rsid w:val="0610F13A"/>
    <w:rsid w:val="0612D0EF"/>
    <w:rsid w:val="0613B9C2"/>
    <w:rsid w:val="06153457"/>
    <w:rsid w:val="061D9EA7"/>
    <w:rsid w:val="06253A62"/>
    <w:rsid w:val="0627A6C4"/>
    <w:rsid w:val="06293D7C"/>
    <w:rsid w:val="0629A789"/>
    <w:rsid w:val="062C27ED"/>
    <w:rsid w:val="063693DC"/>
    <w:rsid w:val="063D4241"/>
    <w:rsid w:val="0642C9DC"/>
    <w:rsid w:val="0646719A"/>
    <w:rsid w:val="064A3FF2"/>
    <w:rsid w:val="064D54E9"/>
    <w:rsid w:val="064DFBBF"/>
    <w:rsid w:val="064E8E81"/>
    <w:rsid w:val="06504ABA"/>
    <w:rsid w:val="06523CAA"/>
    <w:rsid w:val="06563A30"/>
    <w:rsid w:val="065B2DAD"/>
    <w:rsid w:val="065C2DA7"/>
    <w:rsid w:val="066243D6"/>
    <w:rsid w:val="06659D0F"/>
    <w:rsid w:val="066679B6"/>
    <w:rsid w:val="06698AE9"/>
    <w:rsid w:val="066D1869"/>
    <w:rsid w:val="066E5346"/>
    <w:rsid w:val="067079AC"/>
    <w:rsid w:val="0677836F"/>
    <w:rsid w:val="067B053C"/>
    <w:rsid w:val="067F872D"/>
    <w:rsid w:val="06836FA5"/>
    <w:rsid w:val="0687754F"/>
    <w:rsid w:val="068C6F4F"/>
    <w:rsid w:val="068CBA24"/>
    <w:rsid w:val="068FE046"/>
    <w:rsid w:val="0693394B"/>
    <w:rsid w:val="06941CFE"/>
    <w:rsid w:val="06951904"/>
    <w:rsid w:val="069660FA"/>
    <w:rsid w:val="06981515"/>
    <w:rsid w:val="069C1B1D"/>
    <w:rsid w:val="069D0B19"/>
    <w:rsid w:val="06AA1BAB"/>
    <w:rsid w:val="06AF5E76"/>
    <w:rsid w:val="06B04E55"/>
    <w:rsid w:val="06B78C4E"/>
    <w:rsid w:val="06BB4388"/>
    <w:rsid w:val="06BFE7D4"/>
    <w:rsid w:val="06C28063"/>
    <w:rsid w:val="06D6CBBE"/>
    <w:rsid w:val="06D7B910"/>
    <w:rsid w:val="06DE5328"/>
    <w:rsid w:val="06DFC3E2"/>
    <w:rsid w:val="06E31D2B"/>
    <w:rsid w:val="06E4AC1C"/>
    <w:rsid w:val="06E8BC00"/>
    <w:rsid w:val="06E9DBC3"/>
    <w:rsid w:val="06EBDB7A"/>
    <w:rsid w:val="06EF9142"/>
    <w:rsid w:val="06F2099B"/>
    <w:rsid w:val="06F9255A"/>
    <w:rsid w:val="06FC7D52"/>
    <w:rsid w:val="06FDCF6E"/>
    <w:rsid w:val="06FEDEEF"/>
    <w:rsid w:val="07093B41"/>
    <w:rsid w:val="070A4B6C"/>
    <w:rsid w:val="070A6C2C"/>
    <w:rsid w:val="070B2774"/>
    <w:rsid w:val="070B6362"/>
    <w:rsid w:val="070FF118"/>
    <w:rsid w:val="07100A41"/>
    <w:rsid w:val="071489EF"/>
    <w:rsid w:val="0714E39D"/>
    <w:rsid w:val="071A7FAA"/>
    <w:rsid w:val="071BA245"/>
    <w:rsid w:val="071DAFFA"/>
    <w:rsid w:val="071E4CFE"/>
    <w:rsid w:val="071FBAB1"/>
    <w:rsid w:val="07268736"/>
    <w:rsid w:val="072A920B"/>
    <w:rsid w:val="07301E59"/>
    <w:rsid w:val="07306001"/>
    <w:rsid w:val="0731AF2C"/>
    <w:rsid w:val="07320057"/>
    <w:rsid w:val="07335575"/>
    <w:rsid w:val="0739948A"/>
    <w:rsid w:val="073BB72B"/>
    <w:rsid w:val="073EA6A5"/>
    <w:rsid w:val="07456B38"/>
    <w:rsid w:val="0749D540"/>
    <w:rsid w:val="074C253D"/>
    <w:rsid w:val="074F3490"/>
    <w:rsid w:val="07569728"/>
    <w:rsid w:val="07571DFF"/>
    <w:rsid w:val="075A35E8"/>
    <w:rsid w:val="075C0D30"/>
    <w:rsid w:val="075F0AC0"/>
    <w:rsid w:val="076347C8"/>
    <w:rsid w:val="0763642B"/>
    <w:rsid w:val="0763BE2A"/>
    <w:rsid w:val="0766FC63"/>
    <w:rsid w:val="0769A867"/>
    <w:rsid w:val="0769F35E"/>
    <w:rsid w:val="076C3564"/>
    <w:rsid w:val="076F9986"/>
    <w:rsid w:val="07707E8E"/>
    <w:rsid w:val="0775F563"/>
    <w:rsid w:val="07789D60"/>
    <w:rsid w:val="07792C1B"/>
    <w:rsid w:val="077A2501"/>
    <w:rsid w:val="078056E0"/>
    <w:rsid w:val="0786A651"/>
    <w:rsid w:val="0787DCAB"/>
    <w:rsid w:val="0788D8A6"/>
    <w:rsid w:val="07891655"/>
    <w:rsid w:val="07949668"/>
    <w:rsid w:val="0797733D"/>
    <w:rsid w:val="079C0148"/>
    <w:rsid w:val="07A4157F"/>
    <w:rsid w:val="07A7075F"/>
    <w:rsid w:val="07AA5632"/>
    <w:rsid w:val="07AE74A0"/>
    <w:rsid w:val="07AF28A2"/>
    <w:rsid w:val="07B07F36"/>
    <w:rsid w:val="07B273BB"/>
    <w:rsid w:val="07B2CF51"/>
    <w:rsid w:val="07B86D86"/>
    <w:rsid w:val="07B9BA5D"/>
    <w:rsid w:val="07BB703C"/>
    <w:rsid w:val="07BD40A2"/>
    <w:rsid w:val="07BD548D"/>
    <w:rsid w:val="07C15330"/>
    <w:rsid w:val="07C1C3D3"/>
    <w:rsid w:val="07C4615D"/>
    <w:rsid w:val="07C4730D"/>
    <w:rsid w:val="07C71255"/>
    <w:rsid w:val="07CC92FF"/>
    <w:rsid w:val="07CCAD4D"/>
    <w:rsid w:val="07CD6117"/>
    <w:rsid w:val="07CE0F39"/>
    <w:rsid w:val="07D18EE5"/>
    <w:rsid w:val="07DE795E"/>
    <w:rsid w:val="07E1B2D2"/>
    <w:rsid w:val="07E4A486"/>
    <w:rsid w:val="07E511E7"/>
    <w:rsid w:val="07E60F5C"/>
    <w:rsid w:val="07E8442D"/>
    <w:rsid w:val="07EA1651"/>
    <w:rsid w:val="07EA8FB0"/>
    <w:rsid w:val="07F0C2A0"/>
    <w:rsid w:val="07F15FB2"/>
    <w:rsid w:val="07F4F071"/>
    <w:rsid w:val="07F9C3C3"/>
    <w:rsid w:val="07F9CD60"/>
    <w:rsid w:val="07FA837A"/>
    <w:rsid w:val="07FB2CDA"/>
    <w:rsid w:val="08056163"/>
    <w:rsid w:val="0806734B"/>
    <w:rsid w:val="080AA157"/>
    <w:rsid w:val="08130B73"/>
    <w:rsid w:val="081772D5"/>
    <w:rsid w:val="081832E7"/>
    <w:rsid w:val="0818B535"/>
    <w:rsid w:val="081F301C"/>
    <w:rsid w:val="081FDC88"/>
    <w:rsid w:val="081FE7BA"/>
    <w:rsid w:val="0821B577"/>
    <w:rsid w:val="08228F62"/>
    <w:rsid w:val="0824B771"/>
    <w:rsid w:val="0825B659"/>
    <w:rsid w:val="08269EF4"/>
    <w:rsid w:val="082A2403"/>
    <w:rsid w:val="082FEF4A"/>
    <w:rsid w:val="08357680"/>
    <w:rsid w:val="0836C5BA"/>
    <w:rsid w:val="0837C09B"/>
    <w:rsid w:val="083BBCED"/>
    <w:rsid w:val="0841339D"/>
    <w:rsid w:val="084C8265"/>
    <w:rsid w:val="0854D804"/>
    <w:rsid w:val="085DE4CA"/>
    <w:rsid w:val="0863EC40"/>
    <w:rsid w:val="086C3724"/>
    <w:rsid w:val="086CC0AE"/>
    <w:rsid w:val="086E3B87"/>
    <w:rsid w:val="0872737D"/>
    <w:rsid w:val="0874B539"/>
    <w:rsid w:val="087556C6"/>
    <w:rsid w:val="08766EEC"/>
    <w:rsid w:val="087751DC"/>
    <w:rsid w:val="087B5A86"/>
    <w:rsid w:val="087D24D6"/>
    <w:rsid w:val="08915DD1"/>
    <w:rsid w:val="08931E01"/>
    <w:rsid w:val="089338B9"/>
    <w:rsid w:val="0896C366"/>
    <w:rsid w:val="0899E6F7"/>
    <w:rsid w:val="089D3846"/>
    <w:rsid w:val="08A07C7D"/>
    <w:rsid w:val="08A27FAA"/>
    <w:rsid w:val="08AA7687"/>
    <w:rsid w:val="08AB5B56"/>
    <w:rsid w:val="08AE5200"/>
    <w:rsid w:val="08B03A25"/>
    <w:rsid w:val="08B1031F"/>
    <w:rsid w:val="08B20AC3"/>
    <w:rsid w:val="08B8DF2C"/>
    <w:rsid w:val="08BA6542"/>
    <w:rsid w:val="08C84562"/>
    <w:rsid w:val="08C90E80"/>
    <w:rsid w:val="08CA4285"/>
    <w:rsid w:val="08CE2340"/>
    <w:rsid w:val="08CE89E0"/>
    <w:rsid w:val="08CF28AB"/>
    <w:rsid w:val="08D05A56"/>
    <w:rsid w:val="08D28CB0"/>
    <w:rsid w:val="08D77CD2"/>
    <w:rsid w:val="08DA1DD4"/>
    <w:rsid w:val="08DAA224"/>
    <w:rsid w:val="08DE285F"/>
    <w:rsid w:val="08DE65B7"/>
    <w:rsid w:val="08E0C54B"/>
    <w:rsid w:val="08E29204"/>
    <w:rsid w:val="08E4657F"/>
    <w:rsid w:val="08E774BF"/>
    <w:rsid w:val="08E90382"/>
    <w:rsid w:val="08EE311B"/>
    <w:rsid w:val="08EE6903"/>
    <w:rsid w:val="08F7CAA9"/>
    <w:rsid w:val="08F836F6"/>
    <w:rsid w:val="08F9E4B5"/>
    <w:rsid w:val="08FC6AC7"/>
    <w:rsid w:val="09002EE9"/>
    <w:rsid w:val="090295F8"/>
    <w:rsid w:val="090502CB"/>
    <w:rsid w:val="09057E56"/>
    <w:rsid w:val="090670FB"/>
    <w:rsid w:val="0906D586"/>
    <w:rsid w:val="090AE694"/>
    <w:rsid w:val="091309AA"/>
    <w:rsid w:val="0914E83A"/>
    <w:rsid w:val="091739B1"/>
    <w:rsid w:val="091CA932"/>
    <w:rsid w:val="092234A9"/>
    <w:rsid w:val="09231770"/>
    <w:rsid w:val="09248412"/>
    <w:rsid w:val="09296B48"/>
    <w:rsid w:val="092E0803"/>
    <w:rsid w:val="092F2722"/>
    <w:rsid w:val="092FE5EC"/>
    <w:rsid w:val="09378963"/>
    <w:rsid w:val="09388518"/>
    <w:rsid w:val="093CD2DF"/>
    <w:rsid w:val="09400D3F"/>
    <w:rsid w:val="09415629"/>
    <w:rsid w:val="09427932"/>
    <w:rsid w:val="09493BA6"/>
    <w:rsid w:val="094F1FD0"/>
    <w:rsid w:val="09520FF1"/>
    <w:rsid w:val="095D39B8"/>
    <w:rsid w:val="09645DCE"/>
    <w:rsid w:val="096A13C0"/>
    <w:rsid w:val="096FB141"/>
    <w:rsid w:val="0973120F"/>
    <w:rsid w:val="0975171C"/>
    <w:rsid w:val="097DEB48"/>
    <w:rsid w:val="09832C24"/>
    <w:rsid w:val="0985B336"/>
    <w:rsid w:val="0985CA38"/>
    <w:rsid w:val="0987D8F1"/>
    <w:rsid w:val="098FE971"/>
    <w:rsid w:val="09940E3C"/>
    <w:rsid w:val="0999D15D"/>
    <w:rsid w:val="099A7E5C"/>
    <w:rsid w:val="099B99F7"/>
    <w:rsid w:val="099BA66D"/>
    <w:rsid w:val="099E9E1B"/>
    <w:rsid w:val="09A53755"/>
    <w:rsid w:val="09A57C1B"/>
    <w:rsid w:val="09A901E5"/>
    <w:rsid w:val="09AB86C2"/>
    <w:rsid w:val="09ACE5A7"/>
    <w:rsid w:val="09B2B2D8"/>
    <w:rsid w:val="09B2C9FE"/>
    <w:rsid w:val="09B308B6"/>
    <w:rsid w:val="09B58F89"/>
    <w:rsid w:val="09B9320B"/>
    <w:rsid w:val="09B938CA"/>
    <w:rsid w:val="09BAA484"/>
    <w:rsid w:val="09BC6CDB"/>
    <w:rsid w:val="09BC89E4"/>
    <w:rsid w:val="09C3A1E4"/>
    <w:rsid w:val="09C443D0"/>
    <w:rsid w:val="09C63956"/>
    <w:rsid w:val="09C734CA"/>
    <w:rsid w:val="09C8F3DD"/>
    <w:rsid w:val="09C9ECCB"/>
    <w:rsid w:val="09CBFD18"/>
    <w:rsid w:val="09CCFFBE"/>
    <w:rsid w:val="09CEBA56"/>
    <w:rsid w:val="09DB4738"/>
    <w:rsid w:val="09DE1E5D"/>
    <w:rsid w:val="09DE57D7"/>
    <w:rsid w:val="09E01025"/>
    <w:rsid w:val="09E6E5DD"/>
    <w:rsid w:val="09E7C0FB"/>
    <w:rsid w:val="09E85F65"/>
    <w:rsid w:val="09EA8C80"/>
    <w:rsid w:val="09ECA8C9"/>
    <w:rsid w:val="09ECF753"/>
    <w:rsid w:val="09EEA03B"/>
    <w:rsid w:val="09EF9DDB"/>
    <w:rsid w:val="09EFB222"/>
    <w:rsid w:val="09F16024"/>
    <w:rsid w:val="09F8FA96"/>
    <w:rsid w:val="09FB3AB5"/>
    <w:rsid w:val="09FBAF17"/>
    <w:rsid w:val="09FFBFE7"/>
    <w:rsid w:val="0A009265"/>
    <w:rsid w:val="0A02C87F"/>
    <w:rsid w:val="0A0D7295"/>
    <w:rsid w:val="0A10655E"/>
    <w:rsid w:val="0A159F34"/>
    <w:rsid w:val="0A17FE08"/>
    <w:rsid w:val="0A182780"/>
    <w:rsid w:val="0A183050"/>
    <w:rsid w:val="0A1E6D5D"/>
    <w:rsid w:val="0A200DF3"/>
    <w:rsid w:val="0A2077BE"/>
    <w:rsid w:val="0A245D74"/>
    <w:rsid w:val="0A2791E2"/>
    <w:rsid w:val="0A28FCB1"/>
    <w:rsid w:val="0A2C781B"/>
    <w:rsid w:val="0A2D79C0"/>
    <w:rsid w:val="0A2D96A6"/>
    <w:rsid w:val="0A3062B5"/>
    <w:rsid w:val="0A30E28C"/>
    <w:rsid w:val="0A3456C8"/>
    <w:rsid w:val="0A34C004"/>
    <w:rsid w:val="0A37841C"/>
    <w:rsid w:val="0A37C266"/>
    <w:rsid w:val="0A399D6E"/>
    <w:rsid w:val="0A43CF47"/>
    <w:rsid w:val="0A4D5A17"/>
    <w:rsid w:val="0A4DE773"/>
    <w:rsid w:val="0A4EA41C"/>
    <w:rsid w:val="0A503BB7"/>
    <w:rsid w:val="0A514E7E"/>
    <w:rsid w:val="0A57FBE7"/>
    <w:rsid w:val="0A58E0D5"/>
    <w:rsid w:val="0A5920AF"/>
    <w:rsid w:val="0A5A11EA"/>
    <w:rsid w:val="0A5FDFC4"/>
    <w:rsid w:val="0A60AFF7"/>
    <w:rsid w:val="0A610424"/>
    <w:rsid w:val="0A6175DD"/>
    <w:rsid w:val="0A633483"/>
    <w:rsid w:val="0A64880A"/>
    <w:rsid w:val="0A66030E"/>
    <w:rsid w:val="0A66C3C0"/>
    <w:rsid w:val="0A6BB63E"/>
    <w:rsid w:val="0A713836"/>
    <w:rsid w:val="0A77BE39"/>
    <w:rsid w:val="0A7E947E"/>
    <w:rsid w:val="0A826F32"/>
    <w:rsid w:val="0A87B82F"/>
    <w:rsid w:val="0A88C10E"/>
    <w:rsid w:val="0A896DB1"/>
    <w:rsid w:val="0A8FCDAC"/>
    <w:rsid w:val="0A951B30"/>
    <w:rsid w:val="0A9F0DD5"/>
    <w:rsid w:val="0A9FF70D"/>
    <w:rsid w:val="0AAA7F62"/>
    <w:rsid w:val="0AAC19E6"/>
    <w:rsid w:val="0AB077CD"/>
    <w:rsid w:val="0AB17222"/>
    <w:rsid w:val="0AB3D887"/>
    <w:rsid w:val="0AB449B7"/>
    <w:rsid w:val="0AB8BE04"/>
    <w:rsid w:val="0AC16DFB"/>
    <w:rsid w:val="0AC57AC0"/>
    <w:rsid w:val="0AC9A77A"/>
    <w:rsid w:val="0ACAB746"/>
    <w:rsid w:val="0ACB507C"/>
    <w:rsid w:val="0ACC6E2E"/>
    <w:rsid w:val="0AD0F40D"/>
    <w:rsid w:val="0AD8F9D7"/>
    <w:rsid w:val="0ADBBCE1"/>
    <w:rsid w:val="0ADEAD5F"/>
    <w:rsid w:val="0AE12467"/>
    <w:rsid w:val="0AE4FCC7"/>
    <w:rsid w:val="0AEA7090"/>
    <w:rsid w:val="0AEAA654"/>
    <w:rsid w:val="0AEAA986"/>
    <w:rsid w:val="0AEACAF0"/>
    <w:rsid w:val="0AF2DC19"/>
    <w:rsid w:val="0AF7013D"/>
    <w:rsid w:val="0AFADAD1"/>
    <w:rsid w:val="0AFB7304"/>
    <w:rsid w:val="0AFD127C"/>
    <w:rsid w:val="0AFDD9C2"/>
    <w:rsid w:val="0B03A3E4"/>
    <w:rsid w:val="0B0835CA"/>
    <w:rsid w:val="0B0958BC"/>
    <w:rsid w:val="0B0F5F76"/>
    <w:rsid w:val="0B10440D"/>
    <w:rsid w:val="0B127FE6"/>
    <w:rsid w:val="0B178D7C"/>
    <w:rsid w:val="0B1A8EE2"/>
    <w:rsid w:val="0B1CCB74"/>
    <w:rsid w:val="0B20DB4B"/>
    <w:rsid w:val="0B2127AB"/>
    <w:rsid w:val="0B21D9B2"/>
    <w:rsid w:val="0B27D738"/>
    <w:rsid w:val="0B288DDA"/>
    <w:rsid w:val="0B2BDEC1"/>
    <w:rsid w:val="0B2CB861"/>
    <w:rsid w:val="0B2E1B26"/>
    <w:rsid w:val="0B2EE1D6"/>
    <w:rsid w:val="0B3388E1"/>
    <w:rsid w:val="0B3421B5"/>
    <w:rsid w:val="0B37D95D"/>
    <w:rsid w:val="0B3F257C"/>
    <w:rsid w:val="0B40DC5A"/>
    <w:rsid w:val="0B4101B0"/>
    <w:rsid w:val="0B4B4685"/>
    <w:rsid w:val="0B4B5B53"/>
    <w:rsid w:val="0B4CC33B"/>
    <w:rsid w:val="0B4F7E55"/>
    <w:rsid w:val="0B4FA19C"/>
    <w:rsid w:val="0B56929A"/>
    <w:rsid w:val="0B56D8AB"/>
    <w:rsid w:val="0B5A85BA"/>
    <w:rsid w:val="0B62EA3F"/>
    <w:rsid w:val="0B6898DF"/>
    <w:rsid w:val="0B6B4833"/>
    <w:rsid w:val="0B6D86CE"/>
    <w:rsid w:val="0B6E0BE5"/>
    <w:rsid w:val="0B7322AF"/>
    <w:rsid w:val="0B745C70"/>
    <w:rsid w:val="0B7469EA"/>
    <w:rsid w:val="0B7685B7"/>
    <w:rsid w:val="0B7C127F"/>
    <w:rsid w:val="0B7EF241"/>
    <w:rsid w:val="0B803CC5"/>
    <w:rsid w:val="0B806196"/>
    <w:rsid w:val="0B835FFB"/>
    <w:rsid w:val="0B88C081"/>
    <w:rsid w:val="0B8A31E6"/>
    <w:rsid w:val="0B8A4B4E"/>
    <w:rsid w:val="0B9024E4"/>
    <w:rsid w:val="0B912A78"/>
    <w:rsid w:val="0B9383F2"/>
    <w:rsid w:val="0B95F981"/>
    <w:rsid w:val="0B980E52"/>
    <w:rsid w:val="0B9B677D"/>
    <w:rsid w:val="0B9C28FC"/>
    <w:rsid w:val="0B9D130E"/>
    <w:rsid w:val="0B9D3CAE"/>
    <w:rsid w:val="0B9DB51C"/>
    <w:rsid w:val="0B9F2A63"/>
    <w:rsid w:val="0BA1D429"/>
    <w:rsid w:val="0BA50604"/>
    <w:rsid w:val="0BB18DAE"/>
    <w:rsid w:val="0BB49AFD"/>
    <w:rsid w:val="0BB69159"/>
    <w:rsid w:val="0BB8FF1F"/>
    <w:rsid w:val="0BBABD9E"/>
    <w:rsid w:val="0BBE484C"/>
    <w:rsid w:val="0BBE8171"/>
    <w:rsid w:val="0BC1A03C"/>
    <w:rsid w:val="0BC33AF2"/>
    <w:rsid w:val="0BC667D8"/>
    <w:rsid w:val="0BCA69F2"/>
    <w:rsid w:val="0BCB3B2F"/>
    <w:rsid w:val="0BCDAAA1"/>
    <w:rsid w:val="0BD36826"/>
    <w:rsid w:val="0BD43384"/>
    <w:rsid w:val="0BE37C8C"/>
    <w:rsid w:val="0BE5D252"/>
    <w:rsid w:val="0BE9CCF6"/>
    <w:rsid w:val="0BEC2D94"/>
    <w:rsid w:val="0BEC5CD2"/>
    <w:rsid w:val="0BF04041"/>
    <w:rsid w:val="0BF1D73A"/>
    <w:rsid w:val="0BF53514"/>
    <w:rsid w:val="0BF61CCF"/>
    <w:rsid w:val="0BF958EB"/>
    <w:rsid w:val="0BFE4B37"/>
    <w:rsid w:val="0C004CD8"/>
    <w:rsid w:val="0C07E8BB"/>
    <w:rsid w:val="0C08039B"/>
    <w:rsid w:val="0C0B41DC"/>
    <w:rsid w:val="0C0B424F"/>
    <w:rsid w:val="0C14DC9B"/>
    <w:rsid w:val="0C153F5D"/>
    <w:rsid w:val="0C166B2F"/>
    <w:rsid w:val="0C16F15C"/>
    <w:rsid w:val="0C228456"/>
    <w:rsid w:val="0C2D9499"/>
    <w:rsid w:val="0C345D4F"/>
    <w:rsid w:val="0C3874CD"/>
    <w:rsid w:val="0C389668"/>
    <w:rsid w:val="0C39C006"/>
    <w:rsid w:val="0C3D229A"/>
    <w:rsid w:val="0C40C7E2"/>
    <w:rsid w:val="0C4146AD"/>
    <w:rsid w:val="0C417D65"/>
    <w:rsid w:val="0C4271DA"/>
    <w:rsid w:val="0C441B93"/>
    <w:rsid w:val="0C48BC7D"/>
    <w:rsid w:val="0C49663F"/>
    <w:rsid w:val="0C49BAD1"/>
    <w:rsid w:val="0C4CD301"/>
    <w:rsid w:val="0C50B130"/>
    <w:rsid w:val="0C50BEBE"/>
    <w:rsid w:val="0C53943D"/>
    <w:rsid w:val="0C5952CF"/>
    <w:rsid w:val="0C5A1B17"/>
    <w:rsid w:val="0C5DFF4D"/>
    <w:rsid w:val="0C609E79"/>
    <w:rsid w:val="0C60E14F"/>
    <w:rsid w:val="0C626C44"/>
    <w:rsid w:val="0C690763"/>
    <w:rsid w:val="0C6C62F1"/>
    <w:rsid w:val="0C6CF119"/>
    <w:rsid w:val="0C719509"/>
    <w:rsid w:val="0C7313E9"/>
    <w:rsid w:val="0C7920B7"/>
    <w:rsid w:val="0C835308"/>
    <w:rsid w:val="0C843196"/>
    <w:rsid w:val="0C8799D2"/>
    <w:rsid w:val="0C8C9E53"/>
    <w:rsid w:val="0C9085C9"/>
    <w:rsid w:val="0C943CE3"/>
    <w:rsid w:val="0C96CE6C"/>
    <w:rsid w:val="0C97A92E"/>
    <w:rsid w:val="0CA5CD58"/>
    <w:rsid w:val="0CA8226D"/>
    <w:rsid w:val="0CAD21D8"/>
    <w:rsid w:val="0CB34AD2"/>
    <w:rsid w:val="0CB6D83A"/>
    <w:rsid w:val="0CB72717"/>
    <w:rsid w:val="0CBAC28F"/>
    <w:rsid w:val="0CBBE626"/>
    <w:rsid w:val="0CBD505A"/>
    <w:rsid w:val="0CBF5B3E"/>
    <w:rsid w:val="0CC80C6A"/>
    <w:rsid w:val="0CC99048"/>
    <w:rsid w:val="0CCB5FE2"/>
    <w:rsid w:val="0CCBEF10"/>
    <w:rsid w:val="0CD01731"/>
    <w:rsid w:val="0CD597B4"/>
    <w:rsid w:val="0CD8325F"/>
    <w:rsid w:val="0CDBE8E2"/>
    <w:rsid w:val="0CE7DBD0"/>
    <w:rsid w:val="0CE86765"/>
    <w:rsid w:val="0CE9FA02"/>
    <w:rsid w:val="0CEAD4BC"/>
    <w:rsid w:val="0CEB2A02"/>
    <w:rsid w:val="0CEEDE3D"/>
    <w:rsid w:val="0CF2FB68"/>
    <w:rsid w:val="0CF32D2C"/>
    <w:rsid w:val="0CF7D26B"/>
    <w:rsid w:val="0CF82858"/>
    <w:rsid w:val="0CFB99F5"/>
    <w:rsid w:val="0CFE1F4D"/>
    <w:rsid w:val="0CFFA680"/>
    <w:rsid w:val="0D088A8E"/>
    <w:rsid w:val="0D09036F"/>
    <w:rsid w:val="0D09CA69"/>
    <w:rsid w:val="0D0ACB0E"/>
    <w:rsid w:val="0D0CB2D3"/>
    <w:rsid w:val="0D11F7C4"/>
    <w:rsid w:val="0D1360D1"/>
    <w:rsid w:val="0D151234"/>
    <w:rsid w:val="0D15D2A7"/>
    <w:rsid w:val="0D160D81"/>
    <w:rsid w:val="0D1F9193"/>
    <w:rsid w:val="0D1FF516"/>
    <w:rsid w:val="0D204655"/>
    <w:rsid w:val="0D23400E"/>
    <w:rsid w:val="0D2B0AD6"/>
    <w:rsid w:val="0D2B73E6"/>
    <w:rsid w:val="0D2D8E74"/>
    <w:rsid w:val="0D2E320A"/>
    <w:rsid w:val="0D2FA376"/>
    <w:rsid w:val="0D3684C5"/>
    <w:rsid w:val="0D3AA377"/>
    <w:rsid w:val="0D3B5BD9"/>
    <w:rsid w:val="0D426D39"/>
    <w:rsid w:val="0D44D374"/>
    <w:rsid w:val="0D45A2CE"/>
    <w:rsid w:val="0D4A2FAD"/>
    <w:rsid w:val="0D4C66CE"/>
    <w:rsid w:val="0D4F40DD"/>
    <w:rsid w:val="0D4F7816"/>
    <w:rsid w:val="0D506554"/>
    <w:rsid w:val="0D51BD63"/>
    <w:rsid w:val="0D5D09D0"/>
    <w:rsid w:val="0D64A027"/>
    <w:rsid w:val="0D65B915"/>
    <w:rsid w:val="0D69ECD0"/>
    <w:rsid w:val="0D70ED6F"/>
    <w:rsid w:val="0D7A6C09"/>
    <w:rsid w:val="0D7CF240"/>
    <w:rsid w:val="0D7D0DCE"/>
    <w:rsid w:val="0D7D9612"/>
    <w:rsid w:val="0D7E258C"/>
    <w:rsid w:val="0D7EAC52"/>
    <w:rsid w:val="0D9265AB"/>
    <w:rsid w:val="0D955629"/>
    <w:rsid w:val="0D96280B"/>
    <w:rsid w:val="0D98473E"/>
    <w:rsid w:val="0D9A026E"/>
    <w:rsid w:val="0D9BBCE1"/>
    <w:rsid w:val="0DA01715"/>
    <w:rsid w:val="0DA7F7BC"/>
    <w:rsid w:val="0DB18BE5"/>
    <w:rsid w:val="0DB4BAAA"/>
    <w:rsid w:val="0DBB4922"/>
    <w:rsid w:val="0DC14CB5"/>
    <w:rsid w:val="0DC4D193"/>
    <w:rsid w:val="0DCBA002"/>
    <w:rsid w:val="0DCF8777"/>
    <w:rsid w:val="0DD2476B"/>
    <w:rsid w:val="0DD39763"/>
    <w:rsid w:val="0DD594AF"/>
    <w:rsid w:val="0DDC1A01"/>
    <w:rsid w:val="0DEC46F5"/>
    <w:rsid w:val="0DEFF256"/>
    <w:rsid w:val="0DF20B88"/>
    <w:rsid w:val="0DF2B615"/>
    <w:rsid w:val="0DF51C53"/>
    <w:rsid w:val="0DF73CD0"/>
    <w:rsid w:val="0DF97D97"/>
    <w:rsid w:val="0DF9A779"/>
    <w:rsid w:val="0DFC7EBB"/>
    <w:rsid w:val="0DFD4A2C"/>
    <w:rsid w:val="0DFDA91B"/>
    <w:rsid w:val="0DFE070B"/>
    <w:rsid w:val="0DFE6EAA"/>
    <w:rsid w:val="0E09558F"/>
    <w:rsid w:val="0E0CA35C"/>
    <w:rsid w:val="0E0DE966"/>
    <w:rsid w:val="0E0F4D45"/>
    <w:rsid w:val="0E18D81C"/>
    <w:rsid w:val="0E24E411"/>
    <w:rsid w:val="0E2F1E11"/>
    <w:rsid w:val="0E329C4E"/>
    <w:rsid w:val="0E342AA6"/>
    <w:rsid w:val="0E359E6A"/>
    <w:rsid w:val="0E376E09"/>
    <w:rsid w:val="0E3AB49F"/>
    <w:rsid w:val="0E3C12BD"/>
    <w:rsid w:val="0E3DFB2F"/>
    <w:rsid w:val="0E4542D0"/>
    <w:rsid w:val="0E470BB8"/>
    <w:rsid w:val="0E4DC847"/>
    <w:rsid w:val="0E53AB45"/>
    <w:rsid w:val="0E58D364"/>
    <w:rsid w:val="0E592BCE"/>
    <w:rsid w:val="0E5A1AD5"/>
    <w:rsid w:val="0E5BB8FF"/>
    <w:rsid w:val="0E5BC089"/>
    <w:rsid w:val="0E5C2C01"/>
    <w:rsid w:val="0E5CA933"/>
    <w:rsid w:val="0E5CC1E6"/>
    <w:rsid w:val="0E5D45E8"/>
    <w:rsid w:val="0E5FD55D"/>
    <w:rsid w:val="0E612BE9"/>
    <w:rsid w:val="0E6319BA"/>
    <w:rsid w:val="0E64FADE"/>
    <w:rsid w:val="0E652C5B"/>
    <w:rsid w:val="0E6B3941"/>
    <w:rsid w:val="0E6D893C"/>
    <w:rsid w:val="0E70B45C"/>
    <w:rsid w:val="0E7263AD"/>
    <w:rsid w:val="0E73FA59"/>
    <w:rsid w:val="0E765983"/>
    <w:rsid w:val="0E7B705A"/>
    <w:rsid w:val="0E7C9FCB"/>
    <w:rsid w:val="0E7E8D5A"/>
    <w:rsid w:val="0E7F7AAA"/>
    <w:rsid w:val="0E8225E0"/>
    <w:rsid w:val="0E827A32"/>
    <w:rsid w:val="0E8296E3"/>
    <w:rsid w:val="0E8622CA"/>
    <w:rsid w:val="0E8949F4"/>
    <w:rsid w:val="0E8A384D"/>
    <w:rsid w:val="0E8B5983"/>
    <w:rsid w:val="0E8C2949"/>
    <w:rsid w:val="0E8DD4C8"/>
    <w:rsid w:val="0E916514"/>
    <w:rsid w:val="0E97BCB7"/>
    <w:rsid w:val="0E9AB017"/>
    <w:rsid w:val="0E9D9A37"/>
    <w:rsid w:val="0EA321BB"/>
    <w:rsid w:val="0EA5AEC4"/>
    <w:rsid w:val="0EA72137"/>
    <w:rsid w:val="0EA726B6"/>
    <w:rsid w:val="0EA7D0C5"/>
    <w:rsid w:val="0EAC76C2"/>
    <w:rsid w:val="0EAD3673"/>
    <w:rsid w:val="0EB52E96"/>
    <w:rsid w:val="0EBFEF7B"/>
    <w:rsid w:val="0EC4F35E"/>
    <w:rsid w:val="0EC88BA7"/>
    <w:rsid w:val="0ECC926C"/>
    <w:rsid w:val="0ECE8E42"/>
    <w:rsid w:val="0ED36671"/>
    <w:rsid w:val="0ED3742A"/>
    <w:rsid w:val="0ED3A5DD"/>
    <w:rsid w:val="0EDA041D"/>
    <w:rsid w:val="0EE6674B"/>
    <w:rsid w:val="0EEA0189"/>
    <w:rsid w:val="0EEC7B05"/>
    <w:rsid w:val="0EEE83B9"/>
    <w:rsid w:val="0EF385DC"/>
    <w:rsid w:val="0EF841FD"/>
    <w:rsid w:val="0EF92AAB"/>
    <w:rsid w:val="0EFB4115"/>
    <w:rsid w:val="0EFB4780"/>
    <w:rsid w:val="0EFB6E2D"/>
    <w:rsid w:val="0F011A68"/>
    <w:rsid w:val="0F05EEB4"/>
    <w:rsid w:val="0F0659FA"/>
    <w:rsid w:val="0F0B8504"/>
    <w:rsid w:val="0F0C35D1"/>
    <w:rsid w:val="0F0E8136"/>
    <w:rsid w:val="0F0F64A5"/>
    <w:rsid w:val="0F0FAA76"/>
    <w:rsid w:val="0F152540"/>
    <w:rsid w:val="0F181C1E"/>
    <w:rsid w:val="0F26129F"/>
    <w:rsid w:val="0F289CF9"/>
    <w:rsid w:val="0F29028A"/>
    <w:rsid w:val="0F2E5710"/>
    <w:rsid w:val="0F325F62"/>
    <w:rsid w:val="0F332018"/>
    <w:rsid w:val="0F355DEE"/>
    <w:rsid w:val="0F35A8EC"/>
    <w:rsid w:val="0F39B377"/>
    <w:rsid w:val="0F3DCEFA"/>
    <w:rsid w:val="0F3EA094"/>
    <w:rsid w:val="0F3F120A"/>
    <w:rsid w:val="0F411BFE"/>
    <w:rsid w:val="0F416408"/>
    <w:rsid w:val="0F42D27D"/>
    <w:rsid w:val="0F4473D1"/>
    <w:rsid w:val="0F52D1C7"/>
    <w:rsid w:val="0F553236"/>
    <w:rsid w:val="0F5606B6"/>
    <w:rsid w:val="0F5EF9E9"/>
    <w:rsid w:val="0F5FF682"/>
    <w:rsid w:val="0F644A06"/>
    <w:rsid w:val="0F66A494"/>
    <w:rsid w:val="0F6BF7BE"/>
    <w:rsid w:val="0F6E839C"/>
    <w:rsid w:val="0F6F11D6"/>
    <w:rsid w:val="0F75602D"/>
    <w:rsid w:val="0F79220C"/>
    <w:rsid w:val="0F8512B5"/>
    <w:rsid w:val="0F85278F"/>
    <w:rsid w:val="0F86073F"/>
    <w:rsid w:val="0F8A6584"/>
    <w:rsid w:val="0F8E9D50"/>
    <w:rsid w:val="0F910F4D"/>
    <w:rsid w:val="0F941A28"/>
    <w:rsid w:val="0F947FA7"/>
    <w:rsid w:val="0F95D0CF"/>
    <w:rsid w:val="0F969BA0"/>
    <w:rsid w:val="0F9977C1"/>
    <w:rsid w:val="0F9A9580"/>
    <w:rsid w:val="0F9B5FF9"/>
    <w:rsid w:val="0F9D3EEB"/>
    <w:rsid w:val="0F9F3FA1"/>
    <w:rsid w:val="0F9FB37C"/>
    <w:rsid w:val="0FA2CC17"/>
    <w:rsid w:val="0FA3E799"/>
    <w:rsid w:val="0FA7A659"/>
    <w:rsid w:val="0FAA456B"/>
    <w:rsid w:val="0FAD85F3"/>
    <w:rsid w:val="0FAD951F"/>
    <w:rsid w:val="0FB52595"/>
    <w:rsid w:val="0FBC46BC"/>
    <w:rsid w:val="0FBD507F"/>
    <w:rsid w:val="0FBFF314"/>
    <w:rsid w:val="0FC2ACAD"/>
    <w:rsid w:val="0FC70E00"/>
    <w:rsid w:val="0FC7B7FA"/>
    <w:rsid w:val="0FC7FE49"/>
    <w:rsid w:val="0FCD6164"/>
    <w:rsid w:val="0FCF24FE"/>
    <w:rsid w:val="0FCF4D3E"/>
    <w:rsid w:val="0FD25495"/>
    <w:rsid w:val="0FDB099A"/>
    <w:rsid w:val="0FDB95AE"/>
    <w:rsid w:val="0FDDBBE2"/>
    <w:rsid w:val="0FDE4C7C"/>
    <w:rsid w:val="0FDFAB5C"/>
    <w:rsid w:val="0FE438FF"/>
    <w:rsid w:val="0FEAC7C5"/>
    <w:rsid w:val="0FF0D13F"/>
    <w:rsid w:val="0FF31119"/>
    <w:rsid w:val="0FF34A01"/>
    <w:rsid w:val="0FF6A0FB"/>
    <w:rsid w:val="0FF77215"/>
    <w:rsid w:val="0FFBC1FF"/>
    <w:rsid w:val="0FFD9847"/>
    <w:rsid w:val="10000F52"/>
    <w:rsid w:val="10003C2A"/>
    <w:rsid w:val="1001996D"/>
    <w:rsid w:val="100B13FD"/>
    <w:rsid w:val="100C9C86"/>
    <w:rsid w:val="100F69B2"/>
    <w:rsid w:val="101195A2"/>
    <w:rsid w:val="1011FA1F"/>
    <w:rsid w:val="1012CF7A"/>
    <w:rsid w:val="1013B6BA"/>
    <w:rsid w:val="1016156C"/>
    <w:rsid w:val="1017135A"/>
    <w:rsid w:val="101BD42A"/>
    <w:rsid w:val="101D98F8"/>
    <w:rsid w:val="101FAC3B"/>
    <w:rsid w:val="1023A5DA"/>
    <w:rsid w:val="1027F216"/>
    <w:rsid w:val="1028D4AB"/>
    <w:rsid w:val="102BAC46"/>
    <w:rsid w:val="1030A461"/>
    <w:rsid w:val="10324113"/>
    <w:rsid w:val="10346661"/>
    <w:rsid w:val="1039CF88"/>
    <w:rsid w:val="103BB222"/>
    <w:rsid w:val="103BCD61"/>
    <w:rsid w:val="103BD5BE"/>
    <w:rsid w:val="103EA20F"/>
    <w:rsid w:val="10406A5A"/>
    <w:rsid w:val="1040A658"/>
    <w:rsid w:val="1041616B"/>
    <w:rsid w:val="1041A219"/>
    <w:rsid w:val="10434BF0"/>
    <w:rsid w:val="104C5FB1"/>
    <w:rsid w:val="104F2088"/>
    <w:rsid w:val="10522F6B"/>
    <w:rsid w:val="105A9D75"/>
    <w:rsid w:val="105CFA6C"/>
    <w:rsid w:val="105D0380"/>
    <w:rsid w:val="105E7040"/>
    <w:rsid w:val="10607572"/>
    <w:rsid w:val="1068B55D"/>
    <w:rsid w:val="106E13FD"/>
    <w:rsid w:val="107014BE"/>
    <w:rsid w:val="1071A4A0"/>
    <w:rsid w:val="10778FBE"/>
    <w:rsid w:val="1079EB86"/>
    <w:rsid w:val="107D433C"/>
    <w:rsid w:val="10809E49"/>
    <w:rsid w:val="10851AD6"/>
    <w:rsid w:val="108B100C"/>
    <w:rsid w:val="108D819D"/>
    <w:rsid w:val="1091BA4E"/>
    <w:rsid w:val="1095BADA"/>
    <w:rsid w:val="10960AD0"/>
    <w:rsid w:val="1097C33C"/>
    <w:rsid w:val="1098752D"/>
    <w:rsid w:val="109C2C49"/>
    <w:rsid w:val="109C4B1B"/>
    <w:rsid w:val="109EDEB8"/>
    <w:rsid w:val="109F35A1"/>
    <w:rsid w:val="10A08999"/>
    <w:rsid w:val="10A36FA0"/>
    <w:rsid w:val="10A499D1"/>
    <w:rsid w:val="10A8688B"/>
    <w:rsid w:val="10A96052"/>
    <w:rsid w:val="10A9ED77"/>
    <w:rsid w:val="10AA416F"/>
    <w:rsid w:val="10AAE4CC"/>
    <w:rsid w:val="10B42674"/>
    <w:rsid w:val="10B9B44D"/>
    <w:rsid w:val="10BCC69E"/>
    <w:rsid w:val="10BE2002"/>
    <w:rsid w:val="10BF496F"/>
    <w:rsid w:val="10BFF304"/>
    <w:rsid w:val="10CBD2B9"/>
    <w:rsid w:val="10CD5176"/>
    <w:rsid w:val="10D1F6B0"/>
    <w:rsid w:val="10E29702"/>
    <w:rsid w:val="10E66798"/>
    <w:rsid w:val="10E86A36"/>
    <w:rsid w:val="10EA65E1"/>
    <w:rsid w:val="10EC091E"/>
    <w:rsid w:val="10EC6B17"/>
    <w:rsid w:val="10EDD102"/>
    <w:rsid w:val="10EFDD94"/>
    <w:rsid w:val="10F07333"/>
    <w:rsid w:val="10F2D7CA"/>
    <w:rsid w:val="10F85E1A"/>
    <w:rsid w:val="10FE75A4"/>
    <w:rsid w:val="10FE93C6"/>
    <w:rsid w:val="10FF1C3E"/>
    <w:rsid w:val="11017D41"/>
    <w:rsid w:val="11083EC8"/>
    <w:rsid w:val="11148BA2"/>
    <w:rsid w:val="111883DB"/>
    <w:rsid w:val="11188D62"/>
    <w:rsid w:val="111ECFEF"/>
    <w:rsid w:val="1121405E"/>
    <w:rsid w:val="11236306"/>
    <w:rsid w:val="1128D67D"/>
    <w:rsid w:val="112B61EC"/>
    <w:rsid w:val="112C3228"/>
    <w:rsid w:val="11337D03"/>
    <w:rsid w:val="1137B050"/>
    <w:rsid w:val="1137DEB7"/>
    <w:rsid w:val="11383AD8"/>
    <w:rsid w:val="113CA0C4"/>
    <w:rsid w:val="1141296B"/>
    <w:rsid w:val="11495961"/>
    <w:rsid w:val="1149734C"/>
    <w:rsid w:val="11538D3F"/>
    <w:rsid w:val="115491A8"/>
    <w:rsid w:val="1155BD6B"/>
    <w:rsid w:val="1157090E"/>
    <w:rsid w:val="115E83A9"/>
    <w:rsid w:val="1177B306"/>
    <w:rsid w:val="117B1A37"/>
    <w:rsid w:val="117B7387"/>
    <w:rsid w:val="1184767A"/>
    <w:rsid w:val="1186E756"/>
    <w:rsid w:val="11875CF1"/>
    <w:rsid w:val="1187E4C3"/>
    <w:rsid w:val="118BB562"/>
    <w:rsid w:val="118BDE71"/>
    <w:rsid w:val="11957B08"/>
    <w:rsid w:val="119598BD"/>
    <w:rsid w:val="119667C0"/>
    <w:rsid w:val="1196A15B"/>
    <w:rsid w:val="11995293"/>
    <w:rsid w:val="119AFB2D"/>
    <w:rsid w:val="119CD615"/>
    <w:rsid w:val="11A38D5B"/>
    <w:rsid w:val="11A49CB4"/>
    <w:rsid w:val="11A4C000"/>
    <w:rsid w:val="11A5DA5D"/>
    <w:rsid w:val="11A906A1"/>
    <w:rsid w:val="11AB00AF"/>
    <w:rsid w:val="11AB07BA"/>
    <w:rsid w:val="11ADBB54"/>
    <w:rsid w:val="11AF92C5"/>
    <w:rsid w:val="11AFE4D0"/>
    <w:rsid w:val="11B1363C"/>
    <w:rsid w:val="11B52ABA"/>
    <w:rsid w:val="11B544C5"/>
    <w:rsid w:val="11B87D90"/>
    <w:rsid w:val="11BAF33D"/>
    <w:rsid w:val="11BEFBBF"/>
    <w:rsid w:val="11BF42CD"/>
    <w:rsid w:val="11C3C25A"/>
    <w:rsid w:val="11C66A4D"/>
    <w:rsid w:val="11CA930E"/>
    <w:rsid w:val="11CB43A1"/>
    <w:rsid w:val="11CBC992"/>
    <w:rsid w:val="11DB541E"/>
    <w:rsid w:val="11DBBF8D"/>
    <w:rsid w:val="11E17298"/>
    <w:rsid w:val="11E44EBD"/>
    <w:rsid w:val="11EA74ED"/>
    <w:rsid w:val="11F0E7F0"/>
    <w:rsid w:val="11F280CE"/>
    <w:rsid w:val="11F6EFE9"/>
    <w:rsid w:val="11FEEB1D"/>
    <w:rsid w:val="12018DCE"/>
    <w:rsid w:val="120454C6"/>
    <w:rsid w:val="120694C8"/>
    <w:rsid w:val="12116C88"/>
    <w:rsid w:val="121616DF"/>
    <w:rsid w:val="12197E84"/>
    <w:rsid w:val="121DA0C7"/>
    <w:rsid w:val="121E5714"/>
    <w:rsid w:val="1220A2D3"/>
    <w:rsid w:val="12221B8B"/>
    <w:rsid w:val="122F1F6E"/>
    <w:rsid w:val="1231966B"/>
    <w:rsid w:val="12354912"/>
    <w:rsid w:val="1238078B"/>
    <w:rsid w:val="1238305E"/>
    <w:rsid w:val="123A1E60"/>
    <w:rsid w:val="123E89AA"/>
    <w:rsid w:val="12418A3F"/>
    <w:rsid w:val="12419963"/>
    <w:rsid w:val="1242DE6D"/>
    <w:rsid w:val="1243A12B"/>
    <w:rsid w:val="1243C00C"/>
    <w:rsid w:val="1246906B"/>
    <w:rsid w:val="124BA0C9"/>
    <w:rsid w:val="124EBB2C"/>
    <w:rsid w:val="1250C783"/>
    <w:rsid w:val="1250D02C"/>
    <w:rsid w:val="12541FB3"/>
    <w:rsid w:val="12558F14"/>
    <w:rsid w:val="12578DFA"/>
    <w:rsid w:val="1259265F"/>
    <w:rsid w:val="125936C8"/>
    <w:rsid w:val="12598352"/>
    <w:rsid w:val="125A4856"/>
    <w:rsid w:val="125B98F9"/>
    <w:rsid w:val="125EFE45"/>
    <w:rsid w:val="1267C480"/>
    <w:rsid w:val="126936C7"/>
    <w:rsid w:val="12698619"/>
    <w:rsid w:val="126A9868"/>
    <w:rsid w:val="127265EC"/>
    <w:rsid w:val="1274C30D"/>
    <w:rsid w:val="127947CD"/>
    <w:rsid w:val="127988D4"/>
    <w:rsid w:val="127AC722"/>
    <w:rsid w:val="127F071D"/>
    <w:rsid w:val="1280BED9"/>
    <w:rsid w:val="12838F85"/>
    <w:rsid w:val="1288F593"/>
    <w:rsid w:val="12890124"/>
    <w:rsid w:val="128E7968"/>
    <w:rsid w:val="12983886"/>
    <w:rsid w:val="12990B80"/>
    <w:rsid w:val="12991B03"/>
    <w:rsid w:val="129A2EFD"/>
    <w:rsid w:val="129AC2C7"/>
    <w:rsid w:val="129B02A5"/>
    <w:rsid w:val="12A2AB44"/>
    <w:rsid w:val="12A5AEC2"/>
    <w:rsid w:val="12A634B8"/>
    <w:rsid w:val="12A6F468"/>
    <w:rsid w:val="12A8E2A3"/>
    <w:rsid w:val="12AC3FEA"/>
    <w:rsid w:val="12AC8259"/>
    <w:rsid w:val="12AD2FF5"/>
    <w:rsid w:val="12AE9D07"/>
    <w:rsid w:val="12B1AAEF"/>
    <w:rsid w:val="12B26725"/>
    <w:rsid w:val="12B91A25"/>
    <w:rsid w:val="12BD2F4C"/>
    <w:rsid w:val="12BFBC77"/>
    <w:rsid w:val="12C2705B"/>
    <w:rsid w:val="12C3C2E5"/>
    <w:rsid w:val="12C731BD"/>
    <w:rsid w:val="12D4BAF4"/>
    <w:rsid w:val="12D7BFE7"/>
    <w:rsid w:val="12DC07F9"/>
    <w:rsid w:val="12DE67F5"/>
    <w:rsid w:val="12E62A1A"/>
    <w:rsid w:val="12E9C1C4"/>
    <w:rsid w:val="12EAAF93"/>
    <w:rsid w:val="12EB9CED"/>
    <w:rsid w:val="12F056FD"/>
    <w:rsid w:val="12F4150A"/>
    <w:rsid w:val="12F6C860"/>
    <w:rsid w:val="12F7201D"/>
    <w:rsid w:val="12FB2044"/>
    <w:rsid w:val="12FBC490"/>
    <w:rsid w:val="13033678"/>
    <w:rsid w:val="13043AF1"/>
    <w:rsid w:val="1304CAD5"/>
    <w:rsid w:val="13061F58"/>
    <w:rsid w:val="13080E89"/>
    <w:rsid w:val="1308338A"/>
    <w:rsid w:val="130A66D0"/>
    <w:rsid w:val="130B2D89"/>
    <w:rsid w:val="130BBF67"/>
    <w:rsid w:val="130CA18A"/>
    <w:rsid w:val="130D45D2"/>
    <w:rsid w:val="130DC6E6"/>
    <w:rsid w:val="1310F9AF"/>
    <w:rsid w:val="1312DAD9"/>
    <w:rsid w:val="13148864"/>
    <w:rsid w:val="13180C02"/>
    <w:rsid w:val="131AF353"/>
    <w:rsid w:val="131CFAFC"/>
    <w:rsid w:val="1324F4A4"/>
    <w:rsid w:val="13260A3B"/>
    <w:rsid w:val="132A05F5"/>
    <w:rsid w:val="132A92A4"/>
    <w:rsid w:val="132BA653"/>
    <w:rsid w:val="132FC16F"/>
    <w:rsid w:val="13307331"/>
    <w:rsid w:val="1330C513"/>
    <w:rsid w:val="1331AE10"/>
    <w:rsid w:val="133599B7"/>
    <w:rsid w:val="1338E130"/>
    <w:rsid w:val="134AA850"/>
    <w:rsid w:val="134C8855"/>
    <w:rsid w:val="134DEA43"/>
    <w:rsid w:val="134ED663"/>
    <w:rsid w:val="13527219"/>
    <w:rsid w:val="1353C82F"/>
    <w:rsid w:val="1353E428"/>
    <w:rsid w:val="1355D2E3"/>
    <w:rsid w:val="13564AD8"/>
    <w:rsid w:val="13577BA5"/>
    <w:rsid w:val="13587A76"/>
    <w:rsid w:val="135E7F76"/>
    <w:rsid w:val="1360E12A"/>
    <w:rsid w:val="13615ABA"/>
    <w:rsid w:val="1368D766"/>
    <w:rsid w:val="1369B165"/>
    <w:rsid w:val="136BFCB6"/>
    <w:rsid w:val="136DE7B1"/>
    <w:rsid w:val="136E887E"/>
    <w:rsid w:val="13729624"/>
    <w:rsid w:val="13732D61"/>
    <w:rsid w:val="13738EA6"/>
    <w:rsid w:val="137B13EC"/>
    <w:rsid w:val="137E2821"/>
    <w:rsid w:val="137EB3AA"/>
    <w:rsid w:val="138383AC"/>
    <w:rsid w:val="1386B6FE"/>
    <w:rsid w:val="1387C07A"/>
    <w:rsid w:val="138F386E"/>
    <w:rsid w:val="1391F182"/>
    <w:rsid w:val="1393BF3D"/>
    <w:rsid w:val="13981315"/>
    <w:rsid w:val="139E4059"/>
    <w:rsid w:val="13A1C325"/>
    <w:rsid w:val="13A8C99B"/>
    <w:rsid w:val="13AACE63"/>
    <w:rsid w:val="13AF1421"/>
    <w:rsid w:val="13AF3347"/>
    <w:rsid w:val="13B2836E"/>
    <w:rsid w:val="13B9AC85"/>
    <w:rsid w:val="13BDB52F"/>
    <w:rsid w:val="13C31A9D"/>
    <w:rsid w:val="13C5487C"/>
    <w:rsid w:val="13C8CC4E"/>
    <w:rsid w:val="13CE188B"/>
    <w:rsid w:val="13CE222D"/>
    <w:rsid w:val="13D0DF39"/>
    <w:rsid w:val="13D1898C"/>
    <w:rsid w:val="13D3CB78"/>
    <w:rsid w:val="13D605EB"/>
    <w:rsid w:val="13DB2CD7"/>
    <w:rsid w:val="13DB4E3E"/>
    <w:rsid w:val="13DE1421"/>
    <w:rsid w:val="13E02AFE"/>
    <w:rsid w:val="13E09673"/>
    <w:rsid w:val="13E15196"/>
    <w:rsid w:val="13E71504"/>
    <w:rsid w:val="13E9F772"/>
    <w:rsid w:val="13EAB619"/>
    <w:rsid w:val="13EB9AF0"/>
    <w:rsid w:val="13EC96F3"/>
    <w:rsid w:val="13EEEA82"/>
    <w:rsid w:val="13F0B3BE"/>
    <w:rsid w:val="13F29EE7"/>
    <w:rsid w:val="13F5ECA3"/>
    <w:rsid w:val="13FC28BA"/>
    <w:rsid w:val="13FD3A82"/>
    <w:rsid w:val="13FD85AB"/>
    <w:rsid w:val="13FF3D2C"/>
    <w:rsid w:val="1404B034"/>
    <w:rsid w:val="1405F589"/>
    <w:rsid w:val="14060E5F"/>
    <w:rsid w:val="140682E6"/>
    <w:rsid w:val="1409AA42"/>
    <w:rsid w:val="140B2C64"/>
    <w:rsid w:val="140BD4B7"/>
    <w:rsid w:val="140E0E99"/>
    <w:rsid w:val="14152A57"/>
    <w:rsid w:val="1416CE75"/>
    <w:rsid w:val="14173F46"/>
    <w:rsid w:val="1417693C"/>
    <w:rsid w:val="141C372D"/>
    <w:rsid w:val="141EF6BB"/>
    <w:rsid w:val="142220D5"/>
    <w:rsid w:val="14234A75"/>
    <w:rsid w:val="14241969"/>
    <w:rsid w:val="142BD830"/>
    <w:rsid w:val="142D3C4A"/>
    <w:rsid w:val="142F25E3"/>
    <w:rsid w:val="14337725"/>
    <w:rsid w:val="1434786F"/>
    <w:rsid w:val="14372E8D"/>
    <w:rsid w:val="143F19B1"/>
    <w:rsid w:val="1440008D"/>
    <w:rsid w:val="14425E71"/>
    <w:rsid w:val="14446BBE"/>
    <w:rsid w:val="144AD896"/>
    <w:rsid w:val="144B147B"/>
    <w:rsid w:val="144C7D21"/>
    <w:rsid w:val="144E9B7C"/>
    <w:rsid w:val="145C3D0A"/>
    <w:rsid w:val="145D680F"/>
    <w:rsid w:val="145E41EC"/>
    <w:rsid w:val="145E9312"/>
    <w:rsid w:val="145F9400"/>
    <w:rsid w:val="14610BED"/>
    <w:rsid w:val="1463776F"/>
    <w:rsid w:val="146B700F"/>
    <w:rsid w:val="146DD6A8"/>
    <w:rsid w:val="146FF880"/>
    <w:rsid w:val="14718252"/>
    <w:rsid w:val="1471A3B8"/>
    <w:rsid w:val="14746822"/>
    <w:rsid w:val="14767DD3"/>
    <w:rsid w:val="1485E464"/>
    <w:rsid w:val="148A00C1"/>
    <w:rsid w:val="148DADF3"/>
    <w:rsid w:val="148EA630"/>
    <w:rsid w:val="14943EE0"/>
    <w:rsid w:val="1498305F"/>
    <w:rsid w:val="149B3659"/>
    <w:rsid w:val="14A067BE"/>
    <w:rsid w:val="14A1922F"/>
    <w:rsid w:val="14A94A5C"/>
    <w:rsid w:val="14AC5088"/>
    <w:rsid w:val="14AF0240"/>
    <w:rsid w:val="14B5D6B4"/>
    <w:rsid w:val="14BAA4C5"/>
    <w:rsid w:val="14BAAC75"/>
    <w:rsid w:val="14BD3C74"/>
    <w:rsid w:val="14C44667"/>
    <w:rsid w:val="14C821EA"/>
    <w:rsid w:val="14CB7C22"/>
    <w:rsid w:val="14CD7243"/>
    <w:rsid w:val="14D5FA02"/>
    <w:rsid w:val="14DB0A63"/>
    <w:rsid w:val="14DBB439"/>
    <w:rsid w:val="14DE52B5"/>
    <w:rsid w:val="14E595B9"/>
    <w:rsid w:val="14E8D385"/>
    <w:rsid w:val="14EAC685"/>
    <w:rsid w:val="14ED6A0E"/>
    <w:rsid w:val="14F03D16"/>
    <w:rsid w:val="14F5D69C"/>
    <w:rsid w:val="14FBD45B"/>
    <w:rsid w:val="14FD8E79"/>
    <w:rsid w:val="14FF4573"/>
    <w:rsid w:val="1501819B"/>
    <w:rsid w:val="150809A7"/>
    <w:rsid w:val="15082D3E"/>
    <w:rsid w:val="15087229"/>
    <w:rsid w:val="1509EFD8"/>
    <w:rsid w:val="150B0D20"/>
    <w:rsid w:val="150B9961"/>
    <w:rsid w:val="150BC5DB"/>
    <w:rsid w:val="150E8B89"/>
    <w:rsid w:val="1514C665"/>
    <w:rsid w:val="1515C275"/>
    <w:rsid w:val="15161472"/>
    <w:rsid w:val="15180D6F"/>
    <w:rsid w:val="151B0831"/>
    <w:rsid w:val="152DBDCF"/>
    <w:rsid w:val="152EB596"/>
    <w:rsid w:val="15309E0E"/>
    <w:rsid w:val="1532C948"/>
    <w:rsid w:val="1533D78B"/>
    <w:rsid w:val="1533E717"/>
    <w:rsid w:val="1535C65B"/>
    <w:rsid w:val="153A46C3"/>
    <w:rsid w:val="153B011C"/>
    <w:rsid w:val="153C1B3F"/>
    <w:rsid w:val="153E1652"/>
    <w:rsid w:val="154D5044"/>
    <w:rsid w:val="154E3114"/>
    <w:rsid w:val="154EC198"/>
    <w:rsid w:val="15535A02"/>
    <w:rsid w:val="1557B770"/>
    <w:rsid w:val="15592FED"/>
    <w:rsid w:val="15593BE2"/>
    <w:rsid w:val="155F25C4"/>
    <w:rsid w:val="155F35CB"/>
    <w:rsid w:val="155F9DB1"/>
    <w:rsid w:val="1568822D"/>
    <w:rsid w:val="1568FC17"/>
    <w:rsid w:val="15699E88"/>
    <w:rsid w:val="156AE8B8"/>
    <w:rsid w:val="1571D33E"/>
    <w:rsid w:val="15761F8A"/>
    <w:rsid w:val="157AC400"/>
    <w:rsid w:val="157D0361"/>
    <w:rsid w:val="15824A74"/>
    <w:rsid w:val="15827104"/>
    <w:rsid w:val="1582F727"/>
    <w:rsid w:val="158758C8"/>
    <w:rsid w:val="15884AA5"/>
    <w:rsid w:val="158C7DC2"/>
    <w:rsid w:val="158FC24C"/>
    <w:rsid w:val="15966209"/>
    <w:rsid w:val="159AF62D"/>
    <w:rsid w:val="159D8496"/>
    <w:rsid w:val="15A0AA55"/>
    <w:rsid w:val="15A283CC"/>
    <w:rsid w:val="15A2E86E"/>
    <w:rsid w:val="15AC1047"/>
    <w:rsid w:val="15ACB53D"/>
    <w:rsid w:val="15AD47FD"/>
    <w:rsid w:val="15AE23E5"/>
    <w:rsid w:val="15B89C21"/>
    <w:rsid w:val="15B9F72C"/>
    <w:rsid w:val="15BA4C38"/>
    <w:rsid w:val="15BC3CAA"/>
    <w:rsid w:val="15BDF6F2"/>
    <w:rsid w:val="15C0BFE6"/>
    <w:rsid w:val="15C4A8F2"/>
    <w:rsid w:val="15C663C8"/>
    <w:rsid w:val="15C86757"/>
    <w:rsid w:val="15CE1EA5"/>
    <w:rsid w:val="15CF0AA7"/>
    <w:rsid w:val="15D0AABE"/>
    <w:rsid w:val="15D52160"/>
    <w:rsid w:val="15D84883"/>
    <w:rsid w:val="15D99BFD"/>
    <w:rsid w:val="15DA9DB9"/>
    <w:rsid w:val="15DC9CD1"/>
    <w:rsid w:val="15DD6539"/>
    <w:rsid w:val="15EACF29"/>
    <w:rsid w:val="15EEDB68"/>
    <w:rsid w:val="15F07BFE"/>
    <w:rsid w:val="15F2E23A"/>
    <w:rsid w:val="15F3FD80"/>
    <w:rsid w:val="15F40FAA"/>
    <w:rsid w:val="15F526D8"/>
    <w:rsid w:val="15F6A9A4"/>
    <w:rsid w:val="15F8157E"/>
    <w:rsid w:val="15F8A206"/>
    <w:rsid w:val="15F923CB"/>
    <w:rsid w:val="15F96056"/>
    <w:rsid w:val="15FE579E"/>
    <w:rsid w:val="15FE603A"/>
    <w:rsid w:val="15FED388"/>
    <w:rsid w:val="16095A04"/>
    <w:rsid w:val="16099869"/>
    <w:rsid w:val="160DB1ED"/>
    <w:rsid w:val="16176A7C"/>
    <w:rsid w:val="1617948C"/>
    <w:rsid w:val="161DB611"/>
    <w:rsid w:val="1630CE1A"/>
    <w:rsid w:val="1632B3DE"/>
    <w:rsid w:val="1633E8D5"/>
    <w:rsid w:val="16381482"/>
    <w:rsid w:val="163D4014"/>
    <w:rsid w:val="163F0D54"/>
    <w:rsid w:val="163F397E"/>
    <w:rsid w:val="163F661A"/>
    <w:rsid w:val="164107BE"/>
    <w:rsid w:val="16424859"/>
    <w:rsid w:val="164470C5"/>
    <w:rsid w:val="164480DF"/>
    <w:rsid w:val="16448B74"/>
    <w:rsid w:val="1644FBCE"/>
    <w:rsid w:val="1644FE5C"/>
    <w:rsid w:val="164B41B6"/>
    <w:rsid w:val="164B51D5"/>
    <w:rsid w:val="164EA746"/>
    <w:rsid w:val="165D3668"/>
    <w:rsid w:val="1660588E"/>
    <w:rsid w:val="16657AF3"/>
    <w:rsid w:val="16675E01"/>
    <w:rsid w:val="166F93D9"/>
    <w:rsid w:val="166FDC45"/>
    <w:rsid w:val="16703A48"/>
    <w:rsid w:val="1670B262"/>
    <w:rsid w:val="1676E23F"/>
    <w:rsid w:val="1676F8F1"/>
    <w:rsid w:val="16819309"/>
    <w:rsid w:val="1682079F"/>
    <w:rsid w:val="169258E0"/>
    <w:rsid w:val="1693B0AB"/>
    <w:rsid w:val="1693B5B1"/>
    <w:rsid w:val="1693F684"/>
    <w:rsid w:val="1695B513"/>
    <w:rsid w:val="169DC189"/>
    <w:rsid w:val="16A0B7D0"/>
    <w:rsid w:val="16A1FA3C"/>
    <w:rsid w:val="16A31092"/>
    <w:rsid w:val="16AA577B"/>
    <w:rsid w:val="16AF924E"/>
    <w:rsid w:val="16B01FC4"/>
    <w:rsid w:val="16B0ABF7"/>
    <w:rsid w:val="16B17185"/>
    <w:rsid w:val="16B23245"/>
    <w:rsid w:val="16B77218"/>
    <w:rsid w:val="16B82E4F"/>
    <w:rsid w:val="16C3881A"/>
    <w:rsid w:val="16C3D88D"/>
    <w:rsid w:val="16C3FE1E"/>
    <w:rsid w:val="16CFE1E7"/>
    <w:rsid w:val="16D29A02"/>
    <w:rsid w:val="16D34D46"/>
    <w:rsid w:val="16D841FF"/>
    <w:rsid w:val="16DDF881"/>
    <w:rsid w:val="16DE4D43"/>
    <w:rsid w:val="16DEF429"/>
    <w:rsid w:val="16EBA2E0"/>
    <w:rsid w:val="16EBB0CC"/>
    <w:rsid w:val="16EBC21A"/>
    <w:rsid w:val="16F0FC11"/>
    <w:rsid w:val="16F20392"/>
    <w:rsid w:val="16F969B7"/>
    <w:rsid w:val="16F9CB05"/>
    <w:rsid w:val="16FA9871"/>
    <w:rsid w:val="1704B9A1"/>
    <w:rsid w:val="1706AF57"/>
    <w:rsid w:val="17098B48"/>
    <w:rsid w:val="170AA290"/>
    <w:rsid w:val="1713AD31"/>
    <w:rsid w:val="17179ABE"/>
    <w:rsid w:val="171CA8E8"/>
    <w:rsid w:val="171E2E87"/>
    <w:rsid w:val="171FF698"/>
    <w:rsid w:val="17226E63"/>
    <w:rsid w:val="1722AE36"/>
    <w:rsid w:val="17286556"/>
    <w:rsid w:val="172E1312"/>
    <w:rsid w:val="1737A83E"/>
    <w:rsid w:val="173AF465"/>
    <w:rsid w:val="173BD3F1"/>
    <w:rsid w:val="173C7980"/>
    <w:rsid w:val="173F47C9"/>
    <w:rsid w:val="17413020"/>
    <w:rsid w:val="17471499"/>
    <w:rsid w:val="17473692"/>
    <w:rsid w:val="17489B60"/>
    <w:rsid w:val="1750EABE"/>
    <w:rsid w:val="17523A6A"/>
    <w:rsid w:val="1752C2F8"/>
    <w:rsid w:val="1756861F"/>
    <w:rsid w:val="17584675"/>
    <w:rsid w:val="175A5602"/>
    <w:rsid w:val="175C6B05"/>
    <w:rsid w:val="175DE1B2"/>
    <w:rsid w:val="17634315"/>
    <w:rsid w:val="1767150F"/>
    <w:rsid w:val="176AC660"/>
    <w:rsid w:val="176B3380"/>
    <w:rsid w:val="176CC0D4"/>
    <w:rsid w:val="176CF602"/>
    <w:rsid w:val="176D8840"/>
    <w:rsid w:val="176FF34B"/>
    <w:rsid w:val="17707343"/>
    <w:rsid w:val="17735920"/>
    <w:rsid w:val="177864B9"/>
    <w:rsid w:val="177901DD"/>
    <w:rsid w:val="1780FE41"/>
    <w:rsid w:val="178508E3"/>
    <w:rsid w:val="178ACEFE"/>
    <w:rsid w:val="178C114A"/>
    <w:rsid w:val="178D0D50"/>
    <w:rsid w:val="178EEED0"/>
    <w:rsid w:val="178F04EF"/>
    <w:rsid w:val="1795EB66"/>
    <w:rsid w:val="1798F503"/>
    <w:rsid w:val="179AE47B"/>
    <w:rsid w:val="179F7C13"/>
    <w:rsid w:val="17A8FE6E"/>
    <w:rsid w:val="17AC9B0F"/>
    <w:rsid w:val="17AD3E5C"/>
    <w:rsid w:val="17B70044"/>
    <w:rsid w:val="17BDAD75"/>
    <w:rsid w:val="17BDFE3D"/>
    <w:rsid w:val="17BFEB93"/>
    <w:rsid w:val="17C2A109"/>
    <w:rsid w:val="17C70BF5"/>
    <w:rsid w:val="17C7384A"/>
    <w:rsid w:val="17C79B75"/>
    <w:rsid w:val="17C947CB"/>
    <w:rsid w:val="17CD7D94"/>
    <w:rsid w:val="17CE13DE"/>
    <w:rsid w:val="17D1ABED"/>
    <w:rsid w:val="17D452A9"/>
    <w:rsid w:val="17D50F99"/>
    <w:rsid w:val="17D7390E"/>
    <w:rsid w:val="17D93D47"/>
    <w:rsid w:val="17DB98DA"/>
    <w:rsid w:val="17DD583A"/>
    <w:rsid w:val="17E17120"/>
    <w:rsid w:val="17E41E74"/>
    <w:rsid w:val="17E43DC4"/>
    <w:rsid w:val="17E6EDCC"/>
    <w:rsid w:val="17E8BF0F"/>
    <w:rsid w:val="17E9F6A6"/>
    <w:rsid w:val="17EC5114"/>
    <w:rsid w:val="17ECAF20"/>
    <w:rsid w:val="17EDE109"/>
    <w:rsid w:val="17F143E4"/>
    <w:rsid w:val="17F83049"/>
    <w:rsid w:val="17F83804"/>
    <w:rsid w:val="17F9A6F4"/>
    <w:rsid w:val="180913D4"/>
    <w:rsid w:val="180F5B87"/>
    <w:rsid w:val="1816FF8A"/>
    <w:rsid w:val="181A662D"/>
    <w:rsid w:val="181CF42C"/>
    <w:rsid w:val="181DAEBB"/>
    <w:rsid w:val="1822A749"/>
    <w:rsid w:val="1822ECF4"/>
    <w:rsid w:val="18242253"/>
    <w:rsid w:val="18271D8B"/>
    <w:rsid w:val="182DEE7F"/>
    <w:rsid w:val="182E10B7"/>
    <w:rsid w:val="1834149E"/>
    <w:rsid w:val="18371817"/>
    <w:rsid w:val="18392C8A"/>
    <w:rsid w:val="183EA01B"/>
    <w:rsid w:val="18445931"/>
    <w:rsid w:val="18447B40"/>
    <w:rsid w:val="1847FBE7"/>
    <w:rsid w:val="184905F5"/>
    <w:rsid w:val="185B754F"/>
    <w:rsid w:val="185BD961"/>
    <w:rsid w:val="185C30EA"/>
    <w:rsid w:val="185C4095"/>
    <w:rsid w:val="185DF870"/>
    <w:rsid w:val="185F55F7"/>
    <w:rsid w:val="185FC303"/>
    <w:rsid w:val="186339F0"/>
    <w:rsid w:val="18666CD2"/>
    <w:rsid w:val="1867B21B"/>
    <w:rsid w:val="186D1013"/>
    <w:rsid w:val="186F996B"/>
    <w:rsid w:val="1871B3BA"/>
    <w:rsid w:val="1876A900"/>
    <w:rsid w:val="1878206D"/>
    <w:rsid w:val="18791545"/>
    <w:rsid w:val="18794A74"/>
    <w:rsid w:val="187B82A0"/>
    <w:rsid w:val="187E6485"/>
    <w:rsid w:val="18842BD0"/>
    <w:rsid w:val="1884E9DD"/>
    <w:rsid w:val="18873CCC"/>
    <w:rsid w:val="188C5276"/>
    <w:rsid w:val="18903889"/>
    <w:rsid w:val="189142B4"/>
    <w:rsid w:val="1891FD86"/>
    <w:rsid w:val="1894C238"/>
    <w:rsid w:val="189F1CFF"/>
    <w:rsid w:val="189F9D61"/>
    <w:rsid w:val="18A1518F"/>
    <w:rsid w:val="18A454E4"/>
    <w:rsid w:val="18A708E8"/>
    <w:rsid w:val="18A7ABFC"/>
    <w:rsid w:val="18A92C30"/>
    <w:rsid w:val="18AA083C"/>
    <w:rsid w:val="18ACA4DC"/>
    <w:rsid w:val="18B51CF8"/>
    <w:rsid w:val="18B6C00F"/>
    <w:rsid w:val="18B7997F"/>
    <w:rsid w:val="18BB0BCF"/>
    <w:rsid w:val="18BE87E2"/>
    <w:rsid w:val="18D0C8D7"/>
    <w:rsid w:val="18D13DE1"/>
    <w:rsid w:val="18D7CB9E"/>
    <w:rsid w:val="18DA045E"/>
    <w:rsid w:val="18DA14CB"/>
    <w:rsid w:val="18DB8E6A"/>
    <w:rsid w:val="18DC73D2"/>
    <w:rsid w:val="18DEB0AA"/>
    <w:rsid w:val="18DF970C"/>
    <w:rsid w:val="18E13142"/>
    <w:rsid w:val="18E25BDB"/>
    <w:rsid w:val="18E34ADA"/>
    <w:rsid w:val="18E4FD54"/>
    <w:rsid w:val="18E90412"/>
    <w:rsid w:val="18E9CB95"/>
    <w:rsid w:val="18EBB1DA"/>
    <w:rsid w:val="18ED376C"/>
    <w:rsid w:val="18EE6E83"/>
    <w:rsid w:val="18F00399"/>
    <w:rsid w:val="18F320A2"/>
    <w:rsid w:val="18FA6D75"/>
    <w:rsid w:val="18FC0C7F"/>
    <w:rsid w:val="18FC6B1E"/>
    <w:rsid w:val="18FD4466"/>
    <w:rsid w:val="18FF6BDA"/>
    <w:rsid w:val="190112D5"/>
    <w:rsid w:val="19015C9B"/>
    <w:rsid w:val="19046E18"/>
    <w:rsid w:val="1904A241"/>
    <w:rsid w:val="19164EB5"/>
    <w:rsid w:val="191699F1"/>
    <w:rsid w:val="1918F291"/>
    <w:rsid w:val="1929278D"/>
    <w:rsid w:val="192CD958"/>
    <w:rsid w:val="192F6E9E"/>
    <w:rsid w:val="1932477E"/>
    <w:rsid w:val="1935EA2C"/>
    <w:rsid w:val="1938CC4C"/>
    <w:rsid w:val="193B4A45"/>
    <w:rsid w:val="193BFAF4"/>
    <w:rsid w:val="193C43A0"/>
    <w:rsid w:val="193DCB9C"/>
    <w:rsid w:val="19403CE6"/>
    <w:rsid w:val="19407907"/>
    <w:rsid w:val="194432E5"/>
    <w:rsid w:val="1953AB6D"/>
    <w:rsid w:val="1956A38E"/>
    <w:rsid w:val="195996F5"/>
    <w:rsid w:val="19642528"/>
    <w:rsid w:val="19643D34"/>
    <w:rsid w:val="1967D955"/>
    <w:rsid w:val="1968CFE9"/>
    <w:rsid w:val="196AD3D4"/>
    <w:rsid w:val="196F3EBC"/>
    <w:rsid w:val="19700CB0"/>
    <w:rsid w:val="19734D2F"/>
    <w:rsid w:val="19756E6A"/>
    <w:rsid w:val="197AC71F"/>
    <w:rsid w:val="197D6695"/>
    <w:rsid w:val="198AE790"/>
    <w:rsid w:val="198B0DE2"/>
    <w:rsid w:val="198C18A2"/>
    <w:rsid w:val="19903D06"/>
    <w:rsid w:val="199270BA"/>
    <w:rsid w:val="19976620"/>
    <w:rsid w:val="1998FD62"/>
    <w:rsid w:val="199C9FB3"/>
    <w:rsid w:val="19A0EA35"/>
    <w:rsid w:val="19A1859D"/>
    <w:rsid w:val="19A315B9"/>
    <w:rsid w:val="19A5888B"/>
    <w:rsid w:val="19A66067"/>
    <w:rsid w:val="19A6AC0B"/>
    <w:rsid w:val="19A75800"/>
    <w:rsid w:val="19A76D87"/>
    <w:rsid w:val="19AD99A7"/>
    <w:rsid w:val="19ADDEE2"/>
    <w:rsid w:val="19AF044C"/>
    <w:rsid w:val="19B1B9D1"/>
    <w:rsid w:val="19BA57CB"/>
    <w:rsid w:val="19BA625B"/>
    <w:rsid w:val="19C21E6D"/>
    <w:rsid w:val="19CF32A0"/>
    <w:rsid w:val="19D2809F"/>
    <w:rsid w:val="19DAC8A2"/>
    <w:rsid w:val="19EB3F35"/>
    <w:rsid w:val="19EB67AF"/>
    <w:rsid w:val="19EB8ABC"/>
    <w:rsid w:val="19F17803"/>
    <w:rsid w:val="1A01BD87"/>
    <w:rsid w:val="1A03D42F"/>
    <w:rsid w:val="1A055455"/>
    <w:rsid w:val="1A0C068D"/>
    <w:rsid w:val="1A11BB4D"/>
    <w:rsid w:val="1A1298D0"/>
    <w:rsid w:val="1A129A5D"/>
    <w:rsid w:val="1A12CA37"/>
    <w:rsid w:val="1A17BDF2"/>
    <w:rsid w:val="1A17F17C"/>
    <w:rsid w:val="1A18F055"/>
    <w:rsid w:val="1A1BF18B"/>
    <w:rsid w:val="1A2A8D34"/>
    <w:rsid w:val="1A32BBCF"/>
    <w:rsid w:val="1A33FCAF"/>
    <w:rsid w:val="1A394C71"/>
    <w:rsid w:val="1A3C93C9"/>
    <w:rsid w:val="1A3FC6EC"/>
    <w:rsid w:val="1A423F64"/>
    <w:rsid w:val="1A44FBDE"/>
    <w:rsid w:val="1A45300C"/>
    <w:rsid w:val="1A45BBCC"/>
    <w:rsid w:val="1A460386"/>
    <w:rsid w:val="1A4768EB"/>
    <w:rsid w:val="1A4DE6A3"/>
    <w:rsid w:val="1A55C368"/>
    <w:rsid w:val="1A5B697C"/>
    <w:rsid w:val="1A62F35F"/>
    <w:rsid w:val="1A64E01F"/>
    <w:rsid w:val="1A705A7A"/>
    <w:rsid w:val="1A722DC7"/>
    <w:rsid w:val="1A7508EB"/>
    <w:rsid w:val="1A756DD5"/>
    <w:rsid w:val="1A75F38E"/>
    <w:rsid w:val="1A7A4022"/>
    <w:rsid w:val="1A7D1F4F"/>
    <w:rsid w:val="1A7F5251"/>
    <w:rsid w:val="1A8003E9"/>
    <w:rsid w:val="1A89B81C"/>
    <w:rsid w:val="1A8B8E0C"/>
    <w:rsid w:val="1A9066D9"/>
    <w:rsid w:val="1A9364FB"/>
    <w:rsid w:val="1A96D1C2"/>
    <w:rsid w:val="1A9C0A2B"/>
    <w:rsid w:val="1A9FA29B"/>
    <w:rsid w:val="1AA36B72"/>
    <w:rsid w:val="1AA3EE1F"/>
    <w:rsid w:val="1AA613BE"/>
    <w:rsid w:val="1AA62109"/>
    <w:rsid w:val="1AB2807A"/>
    <w:rsid w:val="1AB3CC7D"/>
    <w:rsid w:val="1AB7D066"/>
    <w:rsid w:val="1AB83C89"/>
    <w:rsid w:val="1ABAA680"/>
    <w:rsid w:val="1ABACD93"/>
    <w:rsid w:val="1ABB103E"/>
    <w:rsid w:val="1ABDE010"/>
    <w:rsid w:val="1ABEB269"/>
    <w:rsid w:val="1ABF96AE"/>
    <w:rsid w:val="1ACAFED2"/>
    <w:rsid w:val="1AD33385"/>
    <w:rsid w:val="1AD41F6F"/>
    <w:rsid w:val="1AD5B0F8"/>
    <w:rsid w:val="1AD7D004"/>
    <w:rsid w:val="1AD7E7FF"/>
    <w:rsid w:val="1ADC0494"/>
    <w:rsid w:val="1ADFB745"/>
    <w:rsid w:val="1AE0C7C4"/>
    <w:rsid w:val="1AE25F2C"/>
    <w:rsid w:val="1AE3D601"/>
    <w:rsid w:val="1AE6EA54"/>
    <w:rsid w:val="1AEAD685"/>
    <w:rsid w:val="1AEBA72E"/>
    <w:rsid w:val="1AEBDA9A"/>
    <w:rsid w:val="1AEBFCFE"/>
    <w:rsid w:val="1AEF21A9"/>
    <w:rsid w:val="1AF56D4B"/>
    <w:rsid w:val="1AF5BB44"/>
    <w:rsid w:val="1AF5E4D8"/>
    <w:rsid w:val="1AF799F3"/>
    <w:rsid w:val="1AF9F6FA"/>
    <w:rsid w:val="1AFAD81A"/>
    <w:rsid w:val="1AFC73EB"/>
    <w:rsid w:val="1AFD5B15"/>
    <w:rsid w:val="1B02E9A5"/>
    <w:rsid w:val="1B057A2C"/>
    <w:rsid w:val="1B170D98"/>
    <w:rsid w:val="1B173C9A"/>
    <w:rsid w:val="1B176B88"/>
    <w:rsid w:val="1B1E3C5F"/>
    <w:rsid w:val="1B1FC934"/>
    <w:rsid w:val="1B203E7B"/>
    <w:rsid w:val="1B2125E4"/>
    <w:rsid w:val="1B26C407"/>
    <w:rsid w:val="1B2B48F6"/>
    <w:rsid w:val="1B2CBB05"/>
    <w:rsid w:val="1B2D7A82"/>
    <w:rsid w:val="1B309BFD"/>
    <w:rsid w:val="1B315B3B"/>
    <w:rsid w:val="1B32C010"/>
    <w:rsid w:val="1B34061A"/>
    <w:rsid w:val="1B37B6CC"/>
    <w:rsid w:val="1B3C75E5"/>
    <w:rsid w:val="1B3F85E4"/>
    <w:rsid w:val="1B44518D"/>
    <w:rsid w:val="1B4A2D56"/>
    <w:rsid w:val="1B4AF8D8"/>
    <w:rsid w:val="1B4C4E4A"/>
    <w:rsid w:val="1B4D0D3E"/>
    <w:rsid w:val="1B5042CF"/>
    <w:rsid w:val="1B5349A0"/>
    <w:rsid w:val="1B5438F9"/>
    <w:rsid w:val="1B592834"/>
    <w:rsid w:val="1B5B4BDB"/>
    <w:rsid w:val="1B6302CA"/>
    <w:rsid w:val="1B645320"/>
    <w:rsid w:val="1B687C96"/>
    <w:rsid w:val="1B6BD037"/>
    <w:rsid w:val="1B6E36EE"/>
    <w:rsid w:val="1B717878"/>
    <w:rsid w:val="1B75C2F6"/>
    <w:rsid w:val="1B7A5A85"/>
    <w:rsid w:val="1B7E4261"/>
    <w:rsid w:val="1B81E2C3"/>
    <w:rsid w:val="1B823A2F"/>
    <w:rsid w:val="1B844DB5"/>
    <w:rsid w:val="1B859498"/>
    <w:rsid w:val="1B8718D1"/>
    <w:rsid w:val="1B8DE357"/>
    <w:rsid w:val="1B903CE4"/>
    <w:rsid w:val="1B90B3E2"/>
    <w:rsid w:val="1B929ED8"/>
    <w:rsid w:val="1B94EC1D"/>
    <w:rsid w:val="1B9A7598"/>
    <w:rsid w:val="1BA4BC8D"/>
    <w:rsid w:val="1BA807C3"/>
    <w:rsid w:val="1BAD284E"/>
    <w:rsid w:val="1BAE67F1"/>
    <w:rsid w:val="1BB6CAA1"/>
    <w:rsid w:val="1BBB4459"/>
    <w:rsid w:val="1BC5A037"/>
    <w:rsid w:val="1BC62FE1"/>
    <w:rsid w:val="1BC9229C"/>
    <w:rsid w:val="1BD29A19"/>
    <w:rsid w:val="1BD56484"/>
    <w:rsid w:val="1BD920AA"/>
    <w:rsid w:val="1BDE5CAE"/>
    <w:rsid w:val="1BE2583D"/>
    <w:rsid w:val="1BE6E1A6"/>
    <w:rsid w:val="1BE9AFD7"/>
    <w:rsid w:val="1BEB64EB"/>
    <w:rsid w:val="1BEE4906"/>
    <w:rsid w:val="1BF0854D"/>
    <w:rsid w:val="1BF14EC0"/>
    <w:rsid w:val="1BF46EC0"/>
    <w:rsid w:val="1BFCFBBC"/>
    <w:rsid w:val="1BFE474B"/>
    <w:rsid w:val="1C0047D8"/>
    <w:rsid w:val="1C04B3FF"/>
    <w:rsid w:val="1C08DC67"/>
    <w:rsid w:val="1C093933"/>
    <w:rsid w:val="1C0A666A"/>
    <w:rsid w:val="1C0B8AC3"/>
    <w:rsid w:val="1C13450A"/>
    <w:rsid w:val="1C155C9F"/>
    <w:rsid w:val="1C15791C"/>
    <w:rsid w:val="1C22F07B"/>
    <w:rsid w:val="1C255AFF"/>
    <w:rsid w:val="1C297BD5"/>
    <w:rsid w:val="1C2A253B"/>
    <w:rsid w:val="1C2A35F4"/>
    <w:rsid w:val="1C2B9FC8"/>
    <w:rsid w:val="1C2CBF23"/>
    <w:rsid w:val="1C2F8CD9"/>
    <w:rsid w:val="1C33CB4E"/>
    <w:rsid w:val="1C410C62"/>
    <w:rsid w:val="1C411229"/>
    <w:rsid w:val="1C490231"/>
    <w:rsid w:val="1C49476D"/>
    <w:rsid w:val="1C4D68DA"/>
    <w:rsid w:val="1C4DC4B9"/>
    <w:rsid w:val="1C4FF932"/>
    <w:rsid w:val="1C5699C4"/>
    <w:rsid w:val="1C579EC8"/>
    <w:rsid w:val="1C590A50"/>
    <w:rsid w:val="1C5BF6AB"/>
    <w:rsid w:val="1C5D06DE"/>
    <w:rsid w:val="1C5DF4B3"/>
    <w:rsid w:val="1C6066BB"/>
    <w:rsid w:val="1C61BA5A"/>
    <w:rsid w:val="1C71480E"/>
    <w:rsid w:val="1C757EE0"/>
    <w:rsid w:val="1C771E2B"/>
    <w:rsid w:val="1C773AC5"/>
    <w:rsid w:val="1C795501"/>
    <w:rsid w:val="1C7B7E92"/>
    <w:rsid w:val="1C7FB5BB"/>
    <w:rsid w:val="1C81F8E3"/>
    <w:rsid w:val="1C8464F1"/>
    <w:rsid w:val="1C88B3DE"/>
    <w:rsid w:val="1C8A68A2"/>
    <w:rsid w:val="1C8BBADE"/>
    <w:rsid w:val="1C8FE8A2"/>
    <w:rsid w:val="1C919CDC"/>
    <w:rsid w:val="1C91AB8A"/>
    <w:rsid w:val="1C96382C"/>
    <w:rsid w:val="1C97ED2F"/>
    <w:rsid w:val="1C9C1F25"/>
    <w:rsid w:val="1C9C6492"/>
    <w:rsid w:val="1C9DB194"/>
    <w:rsid w:val="1C9F76A0"/>
    <w:rsid w:val="1CA097D4"/>
    <w:rsid w:val="1CA459F7"/>
    <w:rsid w:val="1CA92F39"/>
    <w:rsid w:val="1CA9E3EC"/>
    <w:rsid w:val="1CAF62FC"/>
    <w:rsid w:val="1CAF8353"/>
    <w:rsid w:val="1CB13B7A"/>
    <w:rsid w:val="1CB4087F"/>
    <w:rsid w:val="1CB8EF5B"/>
    <w:rsid w:val="1CBB7637"/>
    <w:rsid w:val="1CBBE4EB"/>
    <w:rsid w:val="1CBD8EEC"/>
    <w:rsid w:val="1CBFE6FA"/>
    <w:rsid w:val="1CC05400"/>
    <w:rsid w:val="1CC52979"/>
    <w:rsid w:val="1CC6385D"/>
    <w:rsid w:val="1CC7B776"/>
    <w:rsid w:val="1CC9A829"/>
    <w:rsid w:val="1CCD3856"/>
    <w:rsid w:val="1CD571BD"/>
    <w:rsid w:val="1CD77148"/>
    <w:rsid w:val="1CE56AFD"/>
    <w:rsid w:val="1CFC9A49"/>
    <w:rsid w:val="1CFDDEA8"/>
    <w:rsid w:val="1CFFD946"/>
    <w:rsid w:val="1D02C5B9"/>
    <w:rsid w:val="1D10E0D9"/>
    <w:rsid w:val="1D113DA6"/>
    <w:rsid w:val="1D17AF53"/>
    <w:rsid w:val="1D17BD67"/>
    <w:rsid w:val="1D1A7BEA"/>
    <w:rsid w:val="1D24198F"/>
    <w:rsid w:val="1D278A11"/>
    <w:rsid w:val="1D2BA9CA"/>
    <w:rsid w:val="1D2C95DB"/>
    <w:rsid w:val="1D30DF50"/>
    <w:rsid w:val="1D32CDD2"/>
    <w:rsid w:val="1D3362D5"/>
    <w:rsid w:val="1D3595C2"/>
    <w:rsid w:val="1D3E9054"/>
    <w:rsid w:val="1D4141EE"/>
    <w:rsid w:val="1D48A634"/>
    <w:rsid w:val="1D50E1BA"/>
    <w:rsid w:val="1D5107FC"/>
    <w:rsid w:val="1D521206"/>
    <w:rsid w:val="1D5235EA"/>
    <w:rsid w:val="1D57D95B"/>
    <w:rsid w:val="1D59D000"/>
    <w:rsid w:val="1D5D6BCA"/>
    <w:rsid w:val="1D5D9E1D"/>
    <w:rsid w:val="1D5EAFAC"/>
    <w:rsid w:val="1D6245F9"/>
    <w:rsid w:val="1D65844A"/>
    <w:rsid w:val="1D68E31F"/>
    <w:rsid w:val="1D6DFDBB"/>
    <w:rsid w:val="1D6DFF86"/>
    <w:rsid w:val="1D70B0C8"/>
    <w:rsid w:val="1D7189AE"/>
    <w:rsid w:val="1D725BB1"/>
    <w:rsid w:val="1D727660"/>
    <w:rsid w:val="1D78517E"/>
    <w:rsid w:val="1D7A0378"/>
    <w:rsid w:val="1D7EF2FB"/>
    <w:rsid w:val="1D82DB74"/>
    <w:rsid w:val="1D83ACDD"/>
    <w:rsid w:val="1D878765"/>
    <w:rsid w:val="1D889FD1"/>
    <w:rsid w:val="1D89A791"/>
    <w:rsid w:val="1D9107BF"/>
    <w:rsid w:val="1D932368"/>
    <w:rsid w:val="1D976D28"/>
    <w:rsid w:val="1DA2D7C2"/>
    <w:rsid w:val="1DA50174"/>
    <w:rsid w:val="1DA76879"/>
    <w:rsid w:val="1DADB152"/>
    <w:rsid w:val="1DAF20D6"/>
    <w:rsid w:val="1DB1F57D"/>
    <w:rsid w:val="1DB2B8A6"/>
    <w:rsid w:val="1DB4E908"/>
    <w:rsid w:val="1DB7E26C"/>
    <w:rsid w:val="1DB8813B"/>
    <w:rsid w:val="1DCB8E27"/>
    <w:rsid w:val="1DCE4F15"/>
    <w:rsid w:val="1DD17D6F"/>
    <w:rsid w:val="1DD8C275"/>
    <w:rsid w:val="1DDA1067"/>
    <w:rsid w:val="1DDB0EC1"/>
    <w:rsid w:val="1DDD8920"/>
    <w:rsid w:val="1DF0F780"/>
    <w:rsid w:val="1DFD8B33"/>
    <w:rsid w:val="1DFDED57"/>
    <w:rsid w:val="1E05D364"/>
    <w:rsid w:val="1E061CEF"/>
    <w:rsid w:val="1E0BFB0B"/>
    <w:rsid w:val="1E0C88AF"/>
    <w:rsid w:val="1E0CAB50"/>
    <w:rsid w:val="1E0D0789"/>
    <w:rsid w:val="1E0D8348"/>
    <w:rsid w:val="1E13C30D"/>
    <w:rsid w:val="1E1DA07D"/>
    <w:rsid w:val="1E2CEF90"/>
    <w:rsid w:val="1E2ECC1B"/>
    <w:rsid w:val="1E322D5D"/>
    <w:rsid w:val="1E33A0F5"/>
    <w:rsid w:val="1E35A6AD"/>
    <w:rsid w:val="1E35EEAE"/>
    <w:rsid w:val="1E3966A2"/>
    <w:rsid w:val="1E39678F"/>
    <w:rsid w:val="1E3A1F5F"/>
    <w:rsid w:val="1E3BD70F"/>
    <w:rsid w:val="1E3E0AA2"/>
    <w:rsid w:val="1E4254DA"/>
    <w:rsid w:val="1E42AC38"/>
    <w:rsid w:val="1E4377B4"/>
    <w:rsid w:val="1E496AA5"/>
    <w:rsid w:val="1E4A5BB5"/>
    <w:rsid w:val="1E4BBA09"/>
    <w:rsid w:val="1E4DCE69"/>
    <w:rsid w:val="1E4F2B75"/>
    <w:rsid w:val="1E506CD4"/>
    <w:rsid w:val="1E50D60B"/>
    <w:rsid w:val="1E51604E"/>
    <w:rsid w:val="1E545B71"/>
    <w:rsid w:val="1E5579EF"/>
    <w:rsid w:val="1E570EAF"/>
    <w:rsid w:val="1E5BCABB"/>
    <w:rsid w:val="1E5EA5D7"/>
    <w:rsid w:val="1E6CDF0F"/>
    <w:rsid w:val="1E6F6CDF"/>
    <w:rsid w:val="1E729196"/>
    <w:rsid w:val="1E729268"/>
    <w:rsid w:val="1E743931"/>
    <w:rsid w:val="1E76E8EB"/>
    <w:rsid w:val="1E7780B2"/>
    <w:rsid w:val="1E7AA292"/>
    <w:rsid w:val="1E7B3DCF"/>
    <w:rsid w:val="1E7D322D"/>
    <w:rsid w:val="1E821DF2"/>
    <w:rsid w:val="1E837929"/>
    <w:rsid w:val="1E8614CF"/>
    <w:rsid w:val="1E8938F2"/>
    <w:rsid w:val="1E8E2FB0"/>
    <w:rsid w:val="1E9A3C2D"/>
    <w:rsid w:val="1E9B86D3"/>
    <w:rsid w:val="1EA7895A"/>
    <w:rsid w:val="1EA7C3E1"/>
    <w:rsid w:val="1EA7DA9B"/>
    <w:rsid w:val="1EAA9401"/>
    <w:rsid w:val="1EAC5D8B"/>
    <w:rsid w:val="1EAE2C6C"/>
    <w:rsid w:val="1EB2ADE4"/>
    <w:rsid w:val="1EB3C5CF"/>
    <w:rsid w:val="1EB580C0"/>
    <w:rsid w:val="1EBC2207"/>
    <w:rsid w:val="1EBCBFB7"/>
    <w:rsid w:val="1EC00BD0"/>
    <w:rsid w:val="1EC620F6"/>
    <w:rsid w:val="1ECD3611"/>
    <w:rsid w:val="1ECDA545"/>
    <w:rsid w:val="1ECFD805"/>
    <w:rsid w:val="1EDAF040"/>
    <w:rsid w:val="1EDBC9DD"/>
    <w:rsid w:val="1EDCAF3F"/>
    <w:rsid w:val="1EDDE682"/>
    <w:rsid w:val="1EDF9561"/>
    <w:rsid w:val="1EE0F046"/>
    <w:rsid w:val="1EE652EC"/>
    <w:rsid w:val="1EE65F80"/>
    <w:rsid w:val="1EE7482E"/>
    <w:rsid w:val="1EE7CC92"/>
    <w:rsid w:val="1EE9277B"/>
    <w:rsid w:val="1EED4D59"/>
    <w:rsid w:val="1EEDEED7"/>
    <w:rsid w:val="1EF3A28E"/>
    <w:rsid w:val="1EF849B2"/>
    <w:rsid w:val="1F004B60"/>
    <w:rsid w:val="1F030D7F"/>
    <w:rsid w:val="1F054AF0"/>
    <w:rsid w:val="1F07D706"/>
    <w:rsid w:val="1F0860A2"/>
    <w:rsid w:val="1F09F5A7"/>
    <w:rsid w:val="1F0CCC06"/>
    <w:rsid w:val="1F15A3E7"/>
    <w:rsid w:val="1F199583"/>
    <w:rsid w:val="1F1F7234"/>
    <w:rsid w:val="1F202D60"/>
    <w:rsid w:val="1F20640B"/>
    <w:rsid w:val="1F21ED29"/>
    <w:rsid w:val="1F24A97C"/>
    <w:rsid w:val="1F268C48"/>
    <w:rsid w:val="1F3B5A0E"/>
    <w:rsid w:val="1F3B5A27"/>
    <w:rsid w:val="1F422FC3"/>
    <w:rsid w:val="1F494C8F"/>
    <w:rsid w:val="1F4FE4CF"/>
    <w:rsid w:val="1F53CCF0"/>
    <w:rsid w:val="1F542996"/>
    <w:rsid w:val="1F5632CF"/>
    <w:rsid w:val="1F574131"/>
    <w:rsid w:val="1F58A683"/>
    <w:rsid w:val="1F5A6C7A"/>
    <w:rsid w:val="1F5C126F"/>
    <w:rsid w:val="1F5FC5C7"/>
    <w:rsid w:val="1F6A1320"/>
    <w:rsid w:val="1F6A466B"/>
    <w:rsid w:val="1F6BEFE1"/>
    <w:rsid w:val="1F6C7473"/>
    <w:rsid w:val="1F71E63A"/>
    <w:rsid w:val="1F75C7E1"/>
    <w:rsid w:val="1F7831D9"/>
    <w:rsid w:val="1F7C3E03"/>
    <w:rsid w:val="1F7DA8E9"/>
    <w:rsid w:val="1F7DBC8D"/>
    <w:rsid w:val="1F808E55"/>
    <w:rsid w:val="1F8091BF"/>
    <w:rsid w:val="1F82FC92"/>
    <w:rsid w:val="1F8496C2"/>
    <w:rsid w:val="1F87B5FE"/>
    <w:rsid w:val="1F88532A"/>
    <w:rsid w:val="1F8B796F"/>
    <w:rsid w:val="1F949083"/>
    <w:rsid w:val="1FA1C29A"/>
    <w:rsid w:val="1FA26936"/>
    <w:rsid w:val="1FA62721"/>
    <w:rsid w:val="1FAA72DB"/>
    <w:rsid w:val="1FB05352"/>
    <w:rsid w:val="1FBC4B19"/>
    <w:rsid w:val="1FBDB9E4"/>
    <w:rsid w:val="1FBF9423"/>
    <w:rsid w:val="1FC3E52E"/>
    <w:rsid w:val="1FC9D4B8"/>
    <w:rsid w:val="1FCD616D"/>
    <w:rsid w:val="1FCFE0E9"/>
    <w:rsid w:val="1FD00379"/>
    <w:rsid w:val="1FD20D5B"/>
    <w:rsid w:val="1FD2E6D8"/>
    <w:rsid w:val="1FD374C5"/>
    <w:rsid w:val="1FDBFEFC"/>
    <w:rsid w:val="1FE1D38D"/>
    <w:rsid w:val="1FE2342C"/>
    <w:rsid w:val="1FE3C63E"/>
    <w:rsid w:val="1FE4CBAB"/>
    <w:rsid w:val="1FE8F29B"/>
    <w:rsid w:val="1FE95DE7"/>
    <w:rsid w:val="1FEB5A92"/>
    <w:rsid w:val="1FFBF4F0"/>
    <w:rsid w:val="1FFEA325"/>
    <w:rsid w:val="200148E6"/>
    <w:rsid w:val="2001D62B"/>
    <w:rsid w:val="2006212B"/>
    <w:rsid w:val="20088A3E"/>
    <w:rsid w:val="20089EBD"/>
    <w:rsid w:val="200AC9CC"/>
    <w:rsid w:val="20119441"/>
    <w:rsid w:val="2011C016"/>
    <w:rsid w:val="20159EB9"/>
    <w:rsid w:val="20187008"/>
    <w:rsid w:val="2018FC67"/>
    <w:rsid w:val="20190CAA"/>
    <w:rsid w:val="20204D18"/>
    <w:rsid w:val="20207402"/>
    <w:rsid w:val="20218213"/>
    <w:rsid w:val="2023EA3C"/>
    <w:rsid w:val="20265A93"/>
    <w:rsid w:val="202999D4"/>
    <w:rsid w:val="202A08CC"/>
    <w:rsid w:val="202E0664"/>
    <w:rsid w:val="202E16C6"/>
    <w:rsid w:val="202EBC5D"/>
    <w:rsid w:val="202EC49D"/>
    <w:rsid w:val="202ED5B3"/>
    <w:rsid w:val="20311685"/>
    <w:rsid w:val="20325B69"/>
    <w:rsid w:val="203BA169"/>
    <w:rsid w:val="203E9A6B"/>
    <w:rsid w:val="203F05F4"/>
    <w:rsid w:val="203F925B"/>
    <w:rsid w:val="20501E26"/>
    <w:rsid w:val="20580F35"/>
    <w:rsid w:val="20598FB9"/>
    <w:rsid w:val="20649572"/>
    <w:rsid w:val="2069199B"/>
    <w:rsid w:val="206D0002"/>
    <w:rsid w:val="207226EE"/>
    <w:rsid w:val="20741D70"/>
    <w:rsid w:val="2074D1D2"/>
    <w:rsid w:val="2076F40F"/>
    <w:rsid w:val="2078D0AA"/>
    <w:rsid w:val="2078FAC0"/>
    <w:rsid w:val="207ADC0E"/>
    <w:rsid w:val="207BB2AE"/>
    <w:rsid w:val="207DDE67"/>
    <w:rsid w:val="207F9835"/>
    <w:rsid w:val="208449E6"/>
    <w:rsid w:val="208CA1A9"/>
    <w:rsid w:val="208E6A4F"/>
    <w:rsid w:val="20927B9C"/>
    <w:rsid w:val="20932C51"/>
    <w:rsid w:val="2093A32E"/>
    <w:rsid w:val="209D8368"/>
    <w:rsid w:val="209E45FE"/>
    <w:rsid w:val="209E4622"/>
    <w:rsid w:val="209E8398"/>
    <w:rsid w:val="20A23AEB"/>
    <w:rsid w:val="20A66F56"/>
    <w:rsid w:val="20A8F32D"/>
    <w:rsid w:val="20B658A2"/>
    <w:rsid w:val="20BA68D9"/>
    <w:rsid w:val="20BC43D3"/>
    <w:rsid w:val="20C26D9A"/>
    <w:rsid w:val="20C303A4"/>
    <w:rsid w:val="20C3312E"/>
    <w:rsid w:val="20C6597C"/>
    <w:rsid w:val="20C75014"/>
    <w:rsid w:val="20C925EE"/>
    <w:rsid w:val="20CADE07"/>
    <w:rsid w:val="20CF2B6B"/>
    <w:rsid w:val="20D15BF0"/>
    <w:rsid w:val="20D50D73"/>
    <w:rsid w:val="20D7C880"/>
    <w:rsid w:val="20DD8FB9"/>
    <w:rsid w:val="20DDAFA3"/>
    <w:rsid w:val="20DF6737"/>
    <w:rsid w:val="20E0C1FF"/>
    <w:rsid w:val="20E974F3"/>
    <w:rsid w:val="20E98822"/>
    <w:rsid w:val="20EA4E6D"/>
    <w:rsid w:val="20EB0D02"/>
    <w:rsid w:val="20EEF749"/>
    <w:rsid w:val="20F5087D"/>
    <w:rsid w:val="20F79CB7"/>
    <w:rsid w:val="20F92DD3"/>
    <w:rsid w:val="20FEA6B0"/>
    <w:rsid w:val="20FECB15"/>
    <w:rsid w:val="20FFF7DF"/>
    <w:rsid w:val="2100C849"/>
    <w:rsid w:val="21014752"/>
    <w:rsid w:val="21022CD5"/>
    <w:rsid w:val="2105826D"/>
    <w:rsid w:val="21065A02"/>
    <w:rsid w:val="210766AE"/>
    <w:rsid w:val="21093CC6"/>
    <w:rsid w:val="21094526"/>
    <w:rsid w:val="210D83B1"/>
    <w:rsid w:val="21139A05"/>
    <w:rsid w:val="2113EC72"/>
    <w:rsid w:val="2113EDDA"/>
    <w:rsid w:val="2118B684"/>
    <w:rsid w:val="2123D7C0"/>
    <w:rsid w:val="21260ED8"/>
    <w:rsid w:val="2127EC0E"/>
    <w:rsid w:val="212B1944"/>
    <w:rsid w:val="212C09E9"/>
    <w:rsid w:val="212CC86A"/>
    <w:rsid w:val="21325DE5"/>
    <w:rsid w:val="2133EAEE"/>
    <w:rsid w:val="2138689C"/>
    <w:rsid w:val="213A3E50"/>
    <w:rsid w:val="213B8E40"/>
    <w:rsid w:val="2147516F"/>
    <w:rsid w:val="2147BA03"/>
    <w:rsid w:val="2148A44A"/>
    <w:rsid w:val="21496950"/>
    <w:rsid w:val="21499705"/>
    <w:rsid w:val="21514188"/>
    <w:rsid w:val="21543F61"/>
    <w:rsid w:val="215776D2"/>
    <w:rsid w:val="215B5448"/>
    <w:rsid w:val="21605396"/>
    <w:rsid w:val="2162F86A"/>
    <w:rsid w:val="216A561C"/>
    <w:rsid w:val="216E119D"/>
    <w:rsid w:val="216ED33F"/>
    <w:rsid w:val="216F0B5E"/>
    <w:rsid w:val="21716581"/>
    <w:rsid w:val="21728355"/>
    <w:rsid w:val="21729B0B"/>
    <w:rsid w:val="21734EFA"/>
    <w:rsid w:val="2173D48F"/>
    <w:rsid w:val="217504F9"/>
    <w:rsid w:val="217581B0"/>
    <w:rsid w:val="2183F72E"/>
    <w:rsid w:val="2184A27A"/>
    <w:rsid w:val="21858722"/>
    <w:rsid w:val="2186E90F"/>
    <w:rsid w:val="218EA527"/>
    <w:rsid w:val="21904473"/>
    <w:rsid w:val="21969E33"/>
    <w:rsid w:val="219A764B"/>
    <w:rsid w:val="219AAB2B"/>
    <w:rsid w:val="219C4462"/>
    <w:rsid w:val="219E4C86"/>
    <w:rsid w:val="21A33A33"/>
    <w:rsid w:val="21A433E7"/>
    <w:rsid w:val="21A7D1C1"/>
    <w:rsid w:val="21AA343A"/>
    <w:rsid w:val="21AAE03D"/>
    <w:rsid w:val="21ABB38E"/>
    <w:rsid w:val="21B0616C"/>
    <w:rsid w:val="21B0A623"/>
    <w:rsid w:val="21B4DBAA"/>
    <w:rsid w:val="21B82C13"/>
    <w:rsid w:val="21BB0E5C"/>
    <w:rsid w:val="21BC6AAB"/>
    <w:rsid w:val="21BF3F14"/>
    <w:rsid w:val="21BFCC16"/>
    <w:rsid w:val="21C0E344"/>
    <w:rsid w:val="21C3B2BD"/>
    <w:rsid w:val="21C48BB2"/>
    <w:rsid w:val="21C77BD8"/>
    <w:rsid w:val="21CB06F1"/>
    <w:rsid w:val="21CFCE22"/>
    <w:rsid w:val="21CFFC53"/>
    <w:rsid w:val="21D07224"/>
    <w:rsid w:val="21D4A337"/>
    <w:rsid w:val="21D85805"/>
    <w:rsid w:val="21D96E6B"/>
    <w:rsid w:val="21DAA4BB"/>
    <w:rsid w:val="21E5304B"/>
    <w:rsid w:val="21ED29B6"/>
    <w:rsid w:val="21EE3F88"/>
    <w:rsid w:val="21F07F51"/>
    <w:rsid w:val="21F63F55"/>
    <w:rsid w:val="21F694DF"/>
    <w:rsid w:val="21FBFF65"/>
    <w:rsid w:val="21FF02AF"/>
    <w:rsid w:val="21FF6C09"/>
    <w:rsid w:val="21FF945C"/>
    <w:rsid w:val="22006E96"/>
    <w:rsid w:val="220356AF"/>
    <w:rsid w:val="22059800"/>
    <w:rsid w:val="2206429E"/>
    <w:rsid w:val="220AAD62"/>
    <w:rsid w:val="22115AD5"/>
    <w:rsid w:val="22136CF5"/>
    <w:rsid w:val="22155DA0"/>
    <w:rsid w:val="2215E13E"/>
    <w:rsid w:val="22177505"/>
    <w:rsid w:val="22185651"/>
    <w:rsid w:val="221E1D3D"/>
    <w:rsid w:val="2221FA88"/>
    <w:rsid w:val="2225A992"/>
    <w:rsid w:val="22268CB4"/>
    <w:rsid w:val="2228117F"/>
    <w:rsid w:val="222AB925"/>
    <w:rsid w:val="222ADBE1"/>
    <w:rsid w:val="222B7A8E"/>
    <w:rsid w:val="222C0482"/>
    <w:rsid w:val="222D88B2"/>
    <w:rsid w:val="222DA92A"/>
    <w:rsid w:val="222DB2A0"/>
    <w:rsid w:val="222ED8B3"/>
    <w:rsid w:val="2234BD80"/>
    <w:rsid w:val="223755EA"/>
    <w:rsid w:val="223B6650"/>
    <w:rsid w:val="223E12FF"/>
    <w:rsid w:val="223F3D8C"/>
    <w:rsid w:val="2240134C"/>
    <w:rsid w:val="2240A182"/>
    <w:rsid w:val="2241D9D4"/>
    <w:rsid w:val="22446351"/>
    <w:rsid w:val="22479290"/>
    <w:rsid w:val="22519135"/>
    <w:rsid w:val="22575F6F"/>
    <w:rsid w:val="2259AD17"/>
    <w:rsid w:val="225E6D1F"/>
    <w:rsid w:val="225F7C5E"/>
    <w:rsid w:val="2266B741"/>
    <w:rsid w:val="22677EFF"/>
    <w:rsid w:val="226986DB"/>
    <w:rsid w:val="2269CF64"/>
    <w:rsid w:val="226F7E3D"/>
    <w:rsid w:val="2272215C"/>
    <w:rsid w:val="22729797"/>
    <w:rsid w:val="22761E29"/>
    <w:rsid w:val="22790B69"/>
    <w:rsid w:val="227B7789"/>
    <w:rsid w:val="22800B29"/>
    <w:rsid w:val="2287AC8D"/>
    <w:rsid w:val="228CA15B"/>
    <w:rsid w:val="228EF503"/>
    <w:rsid w:val="2294271A"/>
    <w:rsid w:val="22957B02"/>
    <w:rsid w:val="229C1FA0"/>
    <w:rsid w:val="229DCEC6"/>
    <w:rsid w:val="22A51A97"/>
    <w:rsid w:val="22AAA709"/>
    <w:rsid w:val="22C31F7A"/>
    <w:rsid w:val="22C932C4"/>
    <w:rsid w:val="22CB33ED"/>
    <w:rsid w:val="22CC5A74"/>
    <w:rsid w:val="22CCD67B"/>
    <w:rsid w:val="22D00BA2"/>
    <w:rsid w:val="22D0886D"/>
    <w:rsid w:val="22D79F8F"/>
    <w:rsid w:val="22E8988C"/>
    <w:rsid w:val="22EACA58"/>
    <w:rsid w:val="22EB7646"/>
    <w:rsid w:val="22ECBE17"/>
    <w:rsid w:val="22ECFBDB"/>
    <w:rsid w:val="22ED3276"/>
    <w:rsid w:val="22F0998A"/>
    <w:rsid w:val="22F48C23"/>
    <w:rsid w:val="22F690C8"/>
    <w:rsid w:val="22F6E30D"/>
    <w:rsid w:val="22F9C7D0"/>
    <w:rsid w:val="22FA402E"/>
    <w:rsid w:val="22FE0E8E"/>
    <w:rsid w:val="2302201C"/>
    <w:rsid w:val="2302AA37"/>
    <w:rsid w:val="23049492"/>
    <w:rsid w:val="230C0738"/>
    <w:rsid w:val="2310080D"/>
    <w:rsid w:val="23105BA6"/>
    <w:rsid w:val="23114916"/>
    <w:rsid w:val="231CD497"/>
    <w:rsid w:val="231D6853"/>
    <w:rsid w:val="231EC4AD"/>
    <w:rsid w:val="23276BFC"/>
    <w:rsid w:val="232B0994"/>
    <w:rsid w:val="233364F1"/>
    <w:rsid w:val="23354F1E"/>
    <w:rsid w:val="2337E6BA"/>
    <w:rsid w:val="23397191"/>
    <w:rsid w:val="233B2B3F"/>
    <w:rsid w:val="233D4775"/>
    <w:rsid w:val="233FA32A"/>
    <w:rsid w:val="234061D6"/>
    <w:rsid w:val="23407E66"/>
    <w:rsid w:val="23419EB2"/>
    <w:rsid w:val="2342BD73"/>
    <w:rsid w:val="23433EE5"/>
    <w:rsid w:val="23439060"/>
    <w:rsid w:val="234B3B45"/>
    <w:rsid w:val="235223A5"/>
    <w:rsid w:val="23565795"/>
    <w:rsid w:val="235C61DC"/>
    <w:rsid w:val="23611CFB"/>
    <w:rsid w:val="23678059"/>
    <w:rsid w:val="23683AB4"/>
    <w:rsid w:val="23753668"/>
    <w:rsid w:val="237C497E"/>
    <w:rsid w:val="237E9917"/>
    <w:rsid w:val="2380CBEB"/>
    <w:rsid w:val="2382EEDA"/>
    <w:rsid w:val="23846C08"/>
    <w:rsid w:val="2384BEA0"/>
    <w:rsid w:val="2385075D"/>
    <w:rsid w:val="23861571"/>
    <w:rsid w:val="23865264"/>
    <w:rsid w:val="238AC0C2"/>
    <w:rsid w:val="238B2067"/>
    <w:rsid w:val="238B3914"/>
    <w:rsid w:val="23926E67"/>
    <w:rsid w:val="2395439E"/>
    <w:rsid w:val="239B22FC"/>
    <w:rsid w:val="239E5CED"/>
    <w:rsid w:val="23A3E600"/>
    <w:rsid w:val="23A8A481"/>
    <w:rsid w:val="23A97A09"/>
    <w:rsid w:val="23AA86C1"/>
    <w:rsid w:val="23AF1641"/>
    <w:rsid w:val="23B60A67"/>
    <w:rsid w:val="23B73D27"/>
    <w:rsid w:val="23B98499"/>
    <w:rsid w:val="23C154A5"/>
    <w:rsid w:val="23C18167"/>
    <w:rsid w:val="23C2602A"/>
    <w:rsid w:val="23C4B63F"/>
    <w:rsid w:val="23C52F16"/>
    <w:rsid w:val="23C99554"/>
    <w:rsid w:val="23CA9DEE"/>
    <w:rsid w:val="23CADA54"/>
    <w:rsid w:val="23CEADD8"/>
    <w:rsid w:val="23D3DCF4"/>
    <w:rsid w:val="23D5E3BE"/>
    <w:rsid w:val="23D8DFF6"/>
    <w:rsid w:val="23D8F52F"/>
    <w:rsid w:val="23DB7841"/>
    <w:rsid w:val="23DDAED8"/>
    <w:rsid w:val="23DE3321"/>
    <w:rsid w:val="23DF10C1"/>
    <w:rsid w:val="23DF8705"/>
    <w:rsid w:val="23E0799D"/>
    <w:rsid w:val="23E0AC3C"/>
    <w:rsid w:val="23E34CBC"/>
    <w:rsid w:val="23E6F497"/>
    <w:rsid w:val="23E76D64"/>
    <w:rsid w:val="23EF847E"/>
    <w:rsid w:val="23F44860"/>
    <w:rsid w:val="23F938EE"/>
    <w:rsid w:val="23FE498C"/>
    <w:rsid w:val="23FF1F0D"/>
    <w:rsid w:val="23FF667E"/>
    <w:rsid w:val="24084C13"/>
    <w:rsid w:val="24092DA0"/>
    <w:rsid w:val="240A0E2C"/>
    <w:rsid w:val="240FC702"/>
    <w:rsid w:val="24110F3D"/>
    <w:rsid w:val="2411F5A2"/>
    <w:rsid w:val="24135877"/>
    <w:rsid w:val="2416996C"/>
    <w:rsid w:val="241E9F56"/>
    <w:rsid w:val="2421A452"/>
    <w:rsid w:val="2422EC34"/>
    <w:rsid w:val="242553C3"/>
    <w:rsid w:val="243060D5"/>
    <w:rsid w:val="24396D1A"/>
    <w:rsid w:val="24398B61"/>
    <w:rsid w:val="243BF7EA"/>
    <w:rsid w:val="243C5483"/>
    <w:rsid w:val="243E491B"/>
    <w:rsid w:val="243F0D7B"/>
    <w:rsid w:val="24411ED5"/>
    <w:rsid w:val="2445939A"/>
    <w:rsid w:val="245440B9"/>
    <w:rsid w:val="24544A0A"/>
    <w:rsid w:val="245771D4"/>
    <w:rsid w:val="2458C82D"/>
    <w:rsid w:val="245933EB"/>
    <w:rsid w:val="245A402B"/>
    <w:rsid w:val="2460ED75"/>
    <w:rsid w:val="24619E92"/>
    <w:rsid w:val="2466AC94"/>
    <w:rsid w:val="2468D0F1"/>
    <w:rsid w:val="247561D5"/>
    <w:rsid w:val="24760092"/>
    <w:rsid w:val="247B199A"/>
    <w:rsid w:val="247F00BD"/>
    <w:rsid w:val="24800F57"/>
    <w:rsid w:val="2488DF79"/>
    <w:rsid w:val="248A40C4"/>
    <w:rsid w:val="248CF974"/>
    <w:rsid w:val="2494F453"/>
    <w:rsid w:val="24979EC3"/>
    <w:rsid w:val="24A1B965"/>
    <w:rsid w:val="24A2C6B8"/>
    <w:rsid w:val="24A5666F"/>
    <w:rsid w:val="24AF0599"/>
    <w:rsid w:val="24B0E20A"/>
    <w:rsid w:val="24B155E5"/>
    <w:rsid w:val="24B2BB4D"/>
    <w:rsid w:val="24B4D92F"/>
    <w:rsid w:val="24BBCE8A"/>
    <w:rsid w:val="24BD4C89"/>
    <w:rsid w:val="24C01674"/>
    <w:rsid w:val="24D25B72"/>
    <w:rsid w:val="24D42D71"/>
    <w:rsid w:val="24D9303B"/>
    <w:rsid w:val="24DB70D0"/>
    <w:rsid w:val="24DBDB0F"/>
    <w:rsid w:val="24E47395"/>
    <w:rsid w:val="24E5CB0F"/>
    <w:rsid w:val="24E7C952"/>
    <w:rsid w:val="24EF0820"/>
    <w:rsid w:val="24F14CD2"/>
    <w:rsid w:val="24F1CBD1"/>
    <w:rsid w:val="24F69954"/>
    <w:rsid w:val="24F74CED"/>
    <w:rsid w:val="24F98B03"/>
    <w:rsid w:val="24FB5E90"/>
    <w:rsid w:val="24FCC0AC"/>
    <w:rsid w:val="24FD91A6"/>
    <w:rsid w:val="25086826"/>
    <w:rsid w:val="250CEDB8"/>
    <w:rsid w:val="250EF1FC"/>
    <w:rsid w:val="251068FC"/>
    <w:rsid w:val="2511363B"/>
    <w:rsid w:val="25119B4D"/>
    <w:rsid w:val="2511F363"/>
    <w:rsid w:val="25161487"/>
    <w:rsid w:val="25167B1C"/>
    <w:rsid w:val="251AC622"/>
    <w:rsid w:val="251D69DD"/>
    <w:rsid w:val="25204F24"/>
    <w:rsid w:val="25208E93"/>
    <w:rsid w:val="25211A59"/>
    <w:rsid w:val="2522A3AA"/>
    <w:rsid w:val="2524251C"/>
    <w:rsid w:val="25245DBE"/>
    <w:rsid w:val="2529B75D"/>
    <w:rsid w:val="2530372A"/>
    <w:rsid w:val="2530ECBA"/>
    <w:rsid w:val="253522ED"/>
    <w:rsid w:val="253600C3"/>
    <w:rsid w:val="253A7E9C"/>
    <w:rsid w:val="25487742"/>
    <w:rsid w:val="254B0684"/>
    <w:rsid w:val="254E680F"/>
    <w:rsid w:val="25515137"/>
    <w:rsid w:val="25541077"/>
    <w:rsid w:val="255498A8"/>
    <w:rsid w:val="25552C6E"/>
    <w:rsid w:val="25598052"/>
    <w:rsid w:val="2560B1E9"/>
    <w:rsid w:val="25620598"/>
    <w:rsid w:val="25629A3D"/>
    <w:rsid w:val="2563DA20"/>
    <w:rsid w:val="25644D71"/>
    <w:rsid w:val="256469AF"/>
    <w:rsid w:val="25686171"/>
    <w:rsid w:val="256A8435"/>
    <w:rsid w:val="256D5369"/>
    <w:rsid w:val="256F9AF9"/>
    <w:rsid w:val="25724AE8"/>
    <w:rsid w:val="2573E85D"/>
    <w:rsid w:val="257482CB"/>
    <w:rsid w:val="257ED795"/>
    <w:rsid w:val="257F9672"/>
    <w:rsid w:val="25809B58"/>
    <w:rsid w:val="25816075"/>
    <w:rsid w:val="258639D4"/>
    <w:rsid w:val="258AC200"/>
    <w:rsid w:val="258BAD17"/>
    <w:rsid w:val="2594D4AE"/>
    <w:rsid w:val="25973D6A"/>
    <w:rsid w:val="25984A86"/>
    <w:rsid w:val="2598B211"/>
    <w:rsid w:val="25999FC0"/>
    <w:rsid w:val="259A6B14"/>
    <w:rsid w:val="25A1770B"/>
    <w:rsid w:val="25A44CD5"/>
    <w:rsid w:val="25A4CC3E"/>
    <w:rsid w:val="25A62C8A"/>
    <w:rsid w:val="25A76A0F"/>
    <w:rsid w:val="25A7C976"/>
    <w:rsid w:val="25AC7894"/>
    <w:rsid w:val="25ADD554"/>
    <w:rsid w:val="25B136D5"/>
    <w:rsid w:val="25B3EDD6"/>
    <w:rsid w:val="25B6910C"/>
    <w:rsid w:val="25BA8D30"/>
    <w:rsid w:val="25BC0F2E"/>
    <w:rsid w:val="25BDDF2F"/>
    <w:rsid w:val="25BF5F33"/>
    <w:rsid w:val="25C4E7BA"/>
    <w:rsid w:val="25C71191"/>
    <w:rsid w:val="25CB062C"/>
    <w:rsid w:val="25CB8583"/>
    <w:rsid w:val="25CCAE3E"/>
    <w:rsid w:val="25D0D5FD"/>
    <w:rsid w:val="25D275D2"/>
    <w:rsid w:val="25D29F80"/>
    <w:rsid w:val="25D51E27"/>
    <w:rsid w:val="25D62224"/>
    <w:rsid w:val="25D77EAF"/>
    <w:rsid w:val="25DB2DCF"/>
    <w:rsid w:val="25DF0625"/>
    <w:rsid w:val="25E075BF"/>
    <w:rsid w:val="25E17318"/>
    <w:rsid w:val="25E5C798"/>
    <w:rsid w:val="25E82187"/>
    <w:rsid w:val="25F9DAB0"/>
    <w:rsid w:val="25FA0D38"/>
    <w:rsid w:val="25FBEB9E"/>
    <w:rsid w:val="25FF4DF2"/>
    <w:rsid w:val="26021FBA"/>
    <w:rsid w:val="260273BD"/>
    <w:rsid w:val="2607CEE9"/>
    <w:rsid w:val="26083676"/>
    <w:rsid w:val="2609121C"/>
    <w:rsid w:val="2609D7A4"/>
    <w:rsid w:val="260BA821"/>
    <w:rsid w:val="260F0561"/>
    <w:rsid w:val="26111DBE"/>
    <w:rsid w:val="2614D7D5"/>
    <w:rsid w:val="2616B359"/>
    <w:rsid w:val="2617ECB6"/>
    <w:rsid w:val="2618EB29"/>
    <w:rsid w:val="261E686E"/>
    <w:rsid w:val="262205B1"/>
    <w:rsid w:val="26243359"/>
    <w:rsid w:val="263150CB"/>
    <w:rsid w:val="263202C8"/>
    <w:rsid w:val="2632A2DC"/>
    <w:rsid w:val="26334951"/>
    <w:rsid w:val="2633974D"/>
    <w:rsid w:val="26351C29"/>
    <w:rsid w:val="26355662"/>
    <w:rsid w:val="2635AF70"/>
    <w:rsid w:val="2636147C"/>
    <w:rsid w:val="26364B4A"/>
    <w:rsid w:val="2636F9B1"/>
    <w:rsid w:val="2639BB3C"/>
    <w:rsid w:val="263BF0D9"/>
    <w:rsid w:val="263D5935"/>
    <w:rsid w:val="263ED846"/>
    <w:rsid w:val="263F1FFE"/>
    <w:rsid w:val="263F9D40"/>
    <w:rsid w:val="26403F94"/>
    <w:rsid w:val="2641F1C3"/>
    <w:rsid w:val="2643671D"/>
    <w:rsid w:val="2643C85C"/>
    <w:rsid w:val="26447436"/>
    <w:rsid w:val="26468A94"/>
    <w:rsid w:val="26479885"/>
    <w:rsid w:val="2648A225"/>
    <w:rsid w:val="264A91B2"/>
    <w:rsid w:val="264AB6AD"/>
    <w:rsid w:val="264B8A0C"/>
    <w:rsid w:val="264E1816"/>
    <w:rsid w:val="26525D33"/>
    <w:rsid w:val="265A5321"/>
    <w:rsid w:val="2662A162"/>
    <w:rsid w:val="266334BE"/>
    <w:rsid w:val="2666BB4A"/>
    <w:rsid w:val="26689243"/>
    <w:rsid w:val="266A2BB1"/>
    <w:rsid w:val="266B1899"/>
    <w:rsid w:val="266F66D9"/>
    <w:rsid w:val="26706B86"/>
    <w:rsid w:val="2672362A"/>
    <w:rsid w:val="2676024A"/>
    <w:rsid w:val="267903D3"/>
    <w:rsid w:val="26796E66"/>
    <w:rsid w:val="2680C5C5"/>
    <w:rsid w:val="26822A25"/>
    <w:rsid w:val="2684A7B3"/>
    <w:rsid w:val="26863062"/>
    <w:rsid w:val="268B0E2E"/>
    <w:rsid w:val="268B4A0D"/>
    <w:rsid w:val="268F1C2C"/>
    <w:rsid w:val="26902BD5"/>
    <w:rsid w:val="269656A2"/>
    <w:rsid w:val="26982E2D"/>
    <w:rsid w:val="2698985F"/>
    <w:rsid w:val="2699ABB2"/>
    <w:rsid w:val="269D2C45"/>
    <w:rsid w:val="269EDD3F"/>
    <w:rsid w:val="26A0DA7D"/>
    <w:rsid w:val="26A5BF01"/>
    <w:rsid w:val="26ADF800"/>
    <w:rsid w:val="26B0ED56"/>
    <w:rsid w:val="26BCE5ED"/>
    <w:rsid w:val="26BD4AD8"/>
    <w:rsid w:val="26BD7356"/>
    <w:rsid w:val="26C684FE"/>
    <w:rsid w:val="26D87706"/>
    <w:rsid w:val="26DC0CFB"/>
    <w:rsid w:val="26DD1517"/>
    <w:rsid w:val="26DDDBC6"/>
    <w:rsid w:val="26E4366A"/>
    <w:rsid w:val="26E67E81"/>
    <w:rsid w:val="26EAA118"/>
    <w:rsid w:val="26EEA50D"/>
    <w:rsid w:val="26F0A6E3"/>
    <w:rsid w:val="26F40C0F"/>
    <w:rsid w:val="26F72962"/>
    <w:rsid w:val="26FBF706"/>
    <w:rsid w:val="26FE8E77"/>
    <w:rsid w:val="26FFA179"/>
    <w:rsid w:val="2700BF56"/>
    <w:rsid w:val="270218DE"/>
    <w:rsid w:val="2705B847"/>
    <w:rsid w:val="2705D5C5"/>
    <w:rsid w:val="27067EC2"/>
    <w:rsid w:val="2706D4A5"/>
    <w:rsid w:val="271216A4"/>
    <w:rsid w:val="27127EE6"/>
    <w:rsid w:val="2717467B"/>
    <w:rsid w:val="271799C1"/>
    <w:rsid w:val="271CDD85"/>
    <w:rsid w:val="27212A05"/>
    <w:rsid w:val="2724A775"/>
    <w:rsid w:val="2727FC13"/>
    <w:rsid w:val="272A25E4"/>
    <w:rsid w:val="272A5D22"/>
    <w:rsid w:val="27343A67"/>
    <w:rsid w:val="273756A3"/>
    <w:rsid w:val="273CD679"/>
    <w:rsid w:val="274975BE"/>
    <w:rsid w:val="274ACC30"/>
    <w:rsid w:val="274C8D02"/>
    <w:rsid w:val="27512829"/>
    <w:rsid w:val="275EC180"/>
    <w:rsid w:val="27619E20"/>
    <w:rsid w:val="27623F18"/>
    <w:rsid w:val="2766C972"/>
    <w:rsid w:val="276BD126"/>
    <w:rsid w:val="276D1343"/>
    <w:rsid w:val="277F3C17"/>
    <w:rsid w:val="277FFAA1"/>
    <w:rsid w:val="2782F9F6"/>
    <w:rsid w:val="2789F507"/>
    <w:rsid w:val="278A8DD3"/>
    <w:rsid w:val="278C5B7A"/>
    <w:rsid w:val="278C881D"/>
    <w:rsid w:val="2793FF76"/>
    <w:rsid w:val="27974591"/>
    <w:rsid w:val="27985616"/>
    <w:rsid w:val="2799110A"/>
    <w:rsid w:val="27AB786F"/>
    <w:rsid w:val="27AE70F9"/>
    <w:rsid w:val="27B10E57"/>
    <w:rsid w:val="27B2C834"/>
    <w:rsid w:val="27B48530"/>
    <w:rsid w:val="27B49498"/>
    <w:rsid w:val="27B57CE3"/>
    <w:rsid w:val="27B5CEDE"/>
    <w:rsid w:val="27BBC0A4"/>
    <w:rsid w:val="27BBEBF3"/>
    <w:rsid w:val="27BD90D0"/>
    <w:rsid w:val="27C37537"/>
    <w:rsid w:val="27C59022"/>
    <w:rsid w:val="27C9D007"/>
    <w:rsid w:val="27CBC28C"/>
    <w:rsid w:val="27CE36CB"/>
    <w:rsid w:val="27D1D273"/>
    <w:rsid w:val="27DB95A7"/>
    <w:rsid w:val="27DCBA7D"/>
    <w:rsid w:val="27DE2F5C"/>
    <w:rsid w:val="27E31462"/>
    <w:rsid w:val="27EA44CF"/>
    <w:rsid w:val="27EA4DE2"/>
    <w:rsid w:val="27EC1494"/>
    <w:rsid w:val="27ECE854"/>
    <w:rsid w:val="27ED2D5C"/>
    <w:rsid w:val="27F5DA00"/>
    <w:rsid w:val="27F96D48"/>
    <w:rsid w:val="27FBAD92"/>
    <w:rsid w:val="27FC3543"/>
    <w:rsid w:val="27FEF55B"/>
    <w:rsid w:val="2801607A"/>
    <w:rsid w:val="2804A850"/>
    <w:rsid w:val="28105DCF"/>
    <w:rsid w:val="281BBCD0"/>
    <w:rsid w:val="281D64DE"/>
    <w:rsid w:val="2820D4E1"/>
    <w:rsid w:val="2823E458"/>
    <w:rsid w:val="282732A2"/>
    <w:rsid w:val="2827DC8D"/>
    <w:rsid w:val="28281FD3"/>
    <w:rsid w:val="282E3DFC"/>
    <w:rsid w:val="282F18E2"/>
    <w:rsid w:val="28311D6A"/>
    <w:rsid w:val="2834E0F5"/>
    <w:rsid w:val="283B9AED"/>
    <w:rsid w:val="283F16B9"/>
    <w:rsid w:val="2842AA0E"/>
    <w:rsid w:val="2845581B"/>
    <w:rsid w:val="284A2341"/>
    <w:rsid w:val="28506DCE"/>
    <w:rsid w:val="28506ECC"/>
    <w:rsid w:val="285708D0"/>
    <w:rsid w:val="285E028F"/>
    <w:rsid w:val="285FC5A2"/>
    <w:rsid w:val="28622346"/>
    <w:rsid w:val="2868A97B"/>
    <w:rsid w:val="286E2C1E"/>
    <w:rsid w:val="28700497"/>
    <w:rsid w:val="2878BE3D"/>
    <w:rsid w:val="287C4E15"/>
    <w:rsid w:val="287C9A9B"/>
    <w:rsid w:val="287D2EC4"/>
    <w:rsid w:val="287E5629"/>
    <w:rsid w:val="2881F6F7"/>
    <w:rsid w:val="28829F2D"/>
    <w:rsid w:val="28843692"/>
    <w:rsid w:val="28847853"/>
    <w:rsid w:val="28852A3B"/>
    <w:rsid w:val="288DA665"/>
    <w:rsid w:val="288F1E0A"/>
    <w:rsid w:val="28914533"/>
    <w:rsid w:val="28947A12"/>
    <w:rsid w:val="28A3FFD7"/>
    <w:rsid w:val="28A4C4B2"/>
    <w:rsid w:val="28AC7AF9"/>
    <w:rsid w:val="28AD21F4"/>
    <w:rsid w:val="28B52B16"/>
    <w:rsid w:val="28B62E6A"/>
    <w:rsid w:val="28B6A166"/>
    <w:rsid w:val="28B6BEE3"/>
    <w:rsid w:val="28B6C8E3"/>
    <w:rsid w:val="28BA8765"/>
    <w:rsid w:val="28BB7992"/>
    <w:rsid w:val="28BDB41F"/>
    <w:rsid w:val="28BEBA3B"/>
    <w:rsid w:val="28BF78BD"/>
    <w:rsid w:val="28C00C53"/>
    <w:rsid w:val="28C1A7D5"/>
    <w:rsid w:val="28CDF73F"/>
    <w:rsid w:val="28D273CA"/>
    <w:rsid w:val="28D2AE35"/>
    <w:rsid w:val="28D694C7"/>
    <w:rsid w:val="28D9406F"/>
    <w:rsid w:val="28D9A1A2"/>
    <w:rsid w:val="28DA3BBC"/>
    <w:rsid w:val="28E62727"/>
    <w:rsid w:val="28E6A75C"/>
    <w:rsid w:val="28EB67DB"/>
    <w:rsid w:val="28F361C1"/>
    <w:rsid w:val="28F532E5"/>
    <w:rsid w:val="28FBD9E3"/>
    <w:rsid w:val="28FEF5AC"/>
    <w:rsid w:val="29035AA1"/>
    <w:rsid w:val="29041FAC"/>
    <w:rsid w:val="290865A7"/>
    <w:rsid w:val="290B629B"/>
    <w:rsid w:val="290B8B74"/>
    <w:rsid w:val="290DA591"/>
    <w:rsid w:val="290E3C84"/>
    <w:rsid w:val="291A74DB"/>
    <w:rsid w:val="291B0315"/>
    <w:rsid w:val="291C7C64"/>
    <w:rsid w:val="291EF9C3"/>
    <w:rsid w:val="291F0301"/>
    <w:rsid w:val="2920BBB9"/>
    <w:rsid w:val="2922977F"/>
    <w:rsid w:val="2923198F"/>
    <w:rsid w:val="292486EE"/>
    <w:rsid w:val="292990CD"/>
    <w:rsid w:val="292B4384"/>
    <w:rsid w:val="292E4133"/>
    <w:rsid w:val="2932C6F8"/>
    <w:rsid w:val="29339677"/>
    <w:rsid w:val="29377A4F"/>
    <w:rsid w:val="29386AC6"/>
    <w:rsid w:val="293F7B2F"/>
    <w:rsid w:val="2947A023"/>
    <w:rsid w:val="2955C86D"/>
    <w:rsid w:val="295B2C76"/>
    <w:rsid w:val="295C756B"/>
    <w:rsid w:val="295CB5E9"/>
    <w:rsid w:val="2964CBA3"/>
    <w:rsid w:val="2965D44D"/>
    <w:rsid w:val="2967F9F4"/>
    <w:rsid w:val="296BF8B7"/>
    <w:rsid w:val="29749C15"/>
    <w:rsid w:val="297C4977"/>
    <w:rsid w:val="297C67D7"/>
    <w:rsid w:val="297ED5D2"/>
    <w:rsid w:val="29820490"/>
    <w:rsid w:val="298393CA"/>
    <w:rsid w:val="298A4E15"/>
    <w:rsid w:val="298AF48D"/>
    <w:rsid w:val="298BC626"/>
    <w:rsid w:val="298C0FBC"/>
    <w:rsid w:val="298DB610"/>
    <w:rsid w:val="298DDA69"/>
    <w:rsid w:val="2995BEB0"/>
    <w:rsid w:val="2998ECD6"/>
    <w:rsid w:val="299B5208"/>
    <w:rsid w:val="29A0C59C"/>
    <w:rsid w:val="29AB5EF3"/>
    <w:rsid w:val="29AC74D8"/>
    <w:rsid w:val="29B47428"/>
    <w:rsid w:val="29B76089"/>
    <w:rsid w:val="29B8E573"/>
    <w:rsid w:val="29BAA058"/>
    <w:rsid w:val="29BEC7DA"/>
    <w:rsid w:val="29BFFAAA"/>
    <w:rsid w:val="29CCAD02"/>
    <w:rsid w:val="29CD3321"/>
    <w:rsid w:val="29CD4E90"/>
    <w:rsid w:val="29CE42A8"/>
    <w:rsid w:val="29D42545"/>
    <w:rsid w:val="29D4E71A"/>
    <w:rsid w:val="29D6736F"/>
    <w:rsid w:val="29E5A395"/>
    <w:rsid w:val="29F09CF6"/>
    <w:rsid w:val="29F7A055"/>
    <w:rsid w:val="29FA4B4C"/>
    <w:rsid w:val="2A02262C"/>
    <w:rsid w:val="2A06F753"/>
    <w:rsid w:val="2A08A04E"/>
    <w:rsid w:val="2A0C615B"/>
    <w:rsid w:val="2A0D2999"/>
    <w:rsid w:val="2A0F6331"/>
    <w:rsid w:val="2A0F63CB"/>
    <w:rsid w:val="2A12B61A"/>
    <w:rsid w:val="2A148325"/>
    <w:rsid w:val="2A1A8D81"/>
    <w:rsid w:val="2A1B90D4"/>
    <w:rsid w:val="2A1F02AA"/>
    <w:rsid w:val="2A2039B1"/>
    <w:rsid w:val="2A220AE9"/>
    <w:rsid w:val="2A269A2D"/>
    <w:rsid w:val="2A2B437D"/>
    <w:rsid w:val="2A2E66F6"/>
    <w:rsid w:val="2A34C72C"/>
    <w:rsid w:val="2A3578AF"/>
    <w:rsid w:val="2A3AE713"/>
    <w:rsid w:val="2A3E4033"/>
    <w:rsid w:val="2A4CA0B2"/>
    <w:rsid w:val="2A4EF80D"/>
    <w:rsid w:val="2A50D1C4"/>
    <w:rsid w:val="2A56F618"/>
    <w:rsid w:val="2A58FC51"/>
    <w:rsid w:val="2A5A2822"/>
    <w:rsid w:val="2A5B004E"/>
    <w:rsid w:val="2A5E5826"/>
    <w:rsid w:val="2A5E9827"/>
    <w:rsid w:val="2A635018"/>
    <w:rsid w:val="2A6353B2"/>
    <w:rsid w:val="2A689BC1"/>
    <w:rsid w:val="2A6C0F33"/>
    <w:rsid w:val="2A6FCE1B"/>
    <w:rsid w:val="2A6FE55E"/>
    <w:rsid w:val="2A70C9C8"/>
    <w:rsid w:val="2A7492AE"/>
    <w:rsid w:val="2A7C36DD"/>
    <w:rsid w:val="2A7D4374"/>
    <w:rsid w:val="2A8C0697"/>
    <w:rsid w:val="2A8D6F05"/>
    <w:rsid w:val="2A8FB04E"/>
    <w:rsid w:val="2A942151"/>
    <w:rsid w:val="2A9BAEEC"/>
    <w:rsid w:val="2AA02A8C"/>
    <w:rsid w:val="2AA077C8"/>
    <w:rsid w:val="2AA239D6"/>
    <w:rsid w:val="2AA2D339"/>
    <w:rsid w:val="2AA32049"/>
    <w:rsid w:val="2AA47163"/>
    <w:rsid w:val="2AA635A7"/>
    <w:rsid w:val="2AA77F81"/>
    <w:rsid w:val="2AA78362"/>
    <w:rsid w:val="2AA824CA"/>
    <w:rsid w:val="2AA8BC42"/>
    <w:rsid w:val="2AA9546F"/>
    <w:rsid w:val="2AAB6B51"/>
    <w:rsid w:val="2AB49213"/>
    <w:rsid w:val="2AB6F90B"/>
    <w:rsid w:val="2AB75C87"/>
    <w:rsid w:val="2AC0410F"/>
    <w:rsid w:val="2AC11B43"/>
    <w:rsid w:val="2AC1EF59"/>
    <w:rsid w:val="2AC518FD"/>
    <w:rsid w:val="2ACA7354"/>
    <w:rsid w:val="2ACCF5ED"/>
    <w:rsid w:val="2AD4AB8F"/>
    <w:rsid w:val="2AD775C0"/>
    <w:rsid w:val="2ADC21E6"/>
    <w:rsid w:val="2ADD1D20"/>
    <w:rsid w:val="2ADD7E1D"/>
    <w:rsid w:val="2ADF60EC"/>
    <w:rsid w:val="2AE06773"/>
    <w:rsid w:val="2AE6FF07"/>
    <w:rsid w:val="2AE79F05"/>
    <w:rsid w:val="2AF3AA18"/>
    <w:rsid w:val="2AF3E1CE"/>
    <w:rsid w:val="2AF3F68E"/>
    <w:rsid w:val="2AF869C1"/>
    <w:rsid w:val="2AF8DDE9"/>
    <w:rsid w:val="2B042DA6"/>
    <w:rsid w:val="2B0A6F41"/>
    <w:rsid w:val="2B0B37AB"/>
    <w:rsid w:val="2B0C1F4B"/>
    <w:rsid w:val="2B10F74F"/>
    <w:rsid w:val="2B1290DD"/>
    <w:rsid w:val="2B145EF4"/>
    <w:rsid w:val="2B1E7703"/>
    <w:rsid w:val="2B1EEAD0"/>
    <w:rsid w:val="2B2169F0"/>
    <w:rsid w:val="2B294C14"/>
    <w:rsid w:val="2B2D4B87"/>
    <w:rsid w:val="2B330375"/>
    <w:rsid w:val="2B33CC45"/>
    <w:rsid w:val="2B356CDF"/>
    <w:rsid w:val="2B3AAA1E"/>
    <w:rsid w:val="2B3AEFD4"/>
    <w:rsid w:val="2B3D439E"/>
    <w:rsid w:val="2B3E5FF2"/>
    <w:rsid w:val="2B400F32"/>
    <w:rsid w:val="2B42FB6E"/>
    <w:rsid w:val="2B477B83"/>
    <w:rsid w:val="2B493C83"/>
    <w:rsid w:val="2B4A0DA8"/>
    <w:rsid w:val="2B4CF829"/>
    <w:rsid w:val="2B4E01B0"/>
    <w:rsid w:val="2B556F94"/>
    <w:rsid w:val="2B57F4FE"/>
    <w:rsid w:val="2B5E6AF5"/>
    <w:rsid w:val="2B6192DE"/>
    <w:rsid w:val="2B6279BC"/>
    <w:rsid w:val="2B62EAF8"/>
    <w:rsid w:val="2B62EBFF"/>
    <w:rsid w:val="2B652BD6"/>
    <w:rsid w:val="2B6E2AF8"/>
    <w:rsid w:val="2B782D8B"/>
    <w:rsid w:val="2B79B5BC"/>
    <w:rsid w:val="2B79C681"/>
    <w:rsid w:val="2B7F72F2"/>
    <w:rsid w:val="2B7F9E39"/>
    <w:rsid w:val="2B807817"/>
    <w:rsid w:val="2B82EFBB"/>
    <w:rsid w:val="2B83F464"/>
    <w:rsid w:val="2B84BB95"/>
    <w:rsid w:val="2B879C17"/>
    <w:rsid w:val="2B8B6064"/>
    <w:rsid w:val="2B939123"/>
    <w:rsid w:val="2B97B541"/>
    <w:rsid w:val="2BA66D5F"/>
    <w:rsid w:val="2BA8B3AC"/>
    <w:rsid w:val="2BA92552"/>
    <w:rsid w:val="2BAB8DB5"/>
    <w:rsid w:val="2BAC38A9"/>
    <w:rsid w:val="2BB45B05"/>
    <w:rsid w:val="2BB8AE7B"/>
    <w:rsid w:val="2BBDD17C"/>
    <w:rsid w:val="2BBFE8D4"/>
    <w:rsid w:val="2BC28CDF"/>
    <w:rsid w:val="2BC41315"/>
    <w:rsid w:val="2BC986FD"/>
    <w:rsid w:val="2BD03258"/>
    <w:rsid w:val="2BD79904"/>
    <w:rsid w:val="2BE02BEE"/>
    <w:rsid w:val="2BE171ED"/>
    <w:rsid w:val="2BE30FDC"/>
    <w:rsid w:val="2BE96536"/>
    <w:rsid w:val="2BEE7129"/>
    <w:rsid w:val="2BF102C3"/>
    <w:rsid w:val="2BF14A01"/>
    <w:rsid w:val="2BF291A8"/>
    <w:rsid w:val="2BF2C23A"/>
    <w:rsid w:val="2BF302C4"/>
    <w:rsid w:val="2BF6AD34"/>
    <w:rsid w:val="2BFB62E2"/>
    <w:rsid w:val="2C02F0EF"/>
    <w:rsid w:val="2C03AB87"/>
    <w:rsid w:val="2C082500"/>
    <w:rsid w:val="2C12415E"/>
    <w:rsid w:val="2C12B94B"/>
    <w:rsid w:val="2C1B2B19"/>
    <w:rsid w:val="2C1E4A9B"/>
    <w:rsid w:val="2C268566"/>
    <w:rsid w:val="2C28C433"/>
    <w:rsid w:val="2C294EA2"/>
    <w:rsid w:val="2C412335"/>
    <w:rsid w:val="2C4394A9"/>
    <w:rsid w:val="2C455A57"/>
    <w:rsid w:val="2C49BD73"/>
    <w:rsid w:val="2C4BACA0"/>
    <w:rsid w:val="2C4FC22C"/>
    <w:rsid w:val="2C53197D"/>
    <w:rsid w:val="2C639317"/>
    <w:rsid w:val="2C6768A4"/>
    <w:rsid w:val="2C6C7847"/>
    <w:rsid w:val="2C6CAFE1"/>
    <w:rsid w:val="2C71934D"/>
    <w:rsid w:val="2C728168"/>
    <w:rsid w:val="2C7341E5"/>
    <w:rsid w:val="2C73D3CA"/>
    <w:rsid w:val="2C744419"/>
    <w:rsid w:val="2C764696"/>
    <w:rsid w:val="2C76814A"/>
    <w:rsid w:val="2C79DDCA"/>
    <w:rsid w:val="2C7B78BA"/>
    <w:rsid w:val="2C7F36BE"/>
    <w:rsid w:val="2C7FABE5"/>
    <w:rsid w:val="2C809C84"/>
    <w:rsid w:val="2C85D68D"/>
    <w:rsid w:val="2C8AF9B5"/>
    <w:rsid w:val="2C8DBC67"/>
    <w:rsid w:val="2C8E5898"/>
    <w:rsid w:val="2C9878D7"/>
    <w:rsid w:val="2C9950E2"/>
    <w:rsid w:val="2C99A12A"/>
    <w:rsid w:val="2C9FAC27"/>
    <w:rsid w:val="2CA0DD17"/>
    <w:rsid w:val="2CA56B8C"/>
    <w:rsid w:val="2CAA7235"/>
    <w:rsid w:val="2CAB94D4"/>
    <w:rsid w:val="2CB074A3"/>
    <w:rsid w:val="2CB5B366"/>
    <w:rsid w:val="2CB8A5D5"/>
    <w:rsid w:val="2CBB5395"/>
    <w:rsid w:val="2CC00084"/>
    <w:rsid w:val="2CC9F54C"/>
    <w:rsid w:val="2CCA16DE"/>
    <w:rsid w:val="2CD32074"/>
    <w:rsid w:val="2CD433BD"/>
    <w:rsid w:val="2CD51E50"/>
    <w:rsid w:val="2CDA5CB0"/>
    <w:rsid w:val="2CDAB634"/>
    <w:rsid w:val="2CDE7048"/>
    <w:rsid w:val="2CDE9C75"/>
    <w:rsid w:val="2CE5799A"/>
    <w:rsid w:val="2CE70BF6"/>
    <w:rsid w:val="2CE70D67"/>
    <w:rsid w:val="2CEF8BBD"/>
    <w:rsid w:val="2CF36F6F"/>
    <w:rsid w:val="2CF408F4"/>
    <w:rsid w:val="2CF85DD3"/>
    <w:rsid w:val="2CF981A2"/>
    <w:rsid w:val="2CFD1095"/>
    <w:rsid w:val="2CFDE9B8"/>
    <w:rsid w:val="2CFFB67C"/>
    <w:rsid w:val="2D0074CA"/>
    <w:rsid w:val="2D0153EF"/>
    <w:rsid w:val="2D078D97"/>
    <w:rsid w:val="2D08136F"/>
    <w:rsid w:val="2D099968"/>
    <w:rsid w:val="2D09A718"/>
    <w:rsid w:val="2D0CBF3C"/>
    <w:rsid w:val="2D137AFD"/>
    <w:rsid w:val="2D147464"/>
    <w:rsid w:val="2D151F4B"/>
    <w:rsid w:val="2D18C39C"/>
    <w:rsid w:val="2D1B2F13"/>
    <w:rsid w:val="2D1BE98A"/>
    <w:rsid w:val="2D1C837E"/>
    <w:rsid w:val="2D20BC84"/>
    <w:rsid w:val="2D241D36"/>
    <w:rsid w:val="2D24AB11"/>
    <w:rsid w:val="2D29B7F7"/>
    <w:rsid w:val="2D2A61AF"/>
    <w:rsid w:val="2D2BE19F"/>
    <w:rsid w:val="2D39E60E"/>
    <w:rsid w:val="2D3AD2CD"/>
    <w:rsid w:val="2D3CA359"/>
    <w:rsid w:val="2D43100D"/>
    <w:rsid w:val="2D45E591"/>
    <w:rsid w:val="2D46D09A"/>
    <w:rsid w:val="2D47EB10"/>
    <w:rsid w:val="2D49D322"/>
    <w:rsid w:val="2D4A254A"/>
    <w:rsid w:val="2D4A923F"/>
    <w:rsid w:val="2D4DDA72"/>
    <w:rsid w:val="2D4FD546"/>
    <w:rsid w:val="2D563A70"/>
    <w:rsid w:val="2D599084"/>
    <w:rsid w:val="2D5B47EE"/>
    <w:rsid w:val="2D5B74DF"/>
    <w:rsid w:val="2D5C9643"/>
    <w:rsid w:val="2D5D1CCA"/>
    <w:rsid w:val="2D60CCBF"/>
    <w:rsid w:val="2D61FDAF"/>
    <w:rsid w:val="2D62E71F"/>
    <w:rsid w:val="2D658964"/>
    <w:rsid w:val="2D6851A4"/>
    <w:rsid w:val="2D6AD39B"/>
    <w:rsid w:val="2D74156F"/>
    <w:rsid w:val="2D752C87"/>
    <w:rsid w:val="2D753831"/>
    <w:rsid w:val="2D7809E1"/>
    <w:rsid w:val="2D7E4EA2"/>
    <w:rsid w:val="2D83EA3E"/>
    <w:rsid w:val="2D86CBF9"/>
    <w:rsid w:val="2D8F8F0E"/>
    <w:rsid w:val="2D92691B"/>
    <w:rsid w:val="2D961070"/>
    <w:rsid w:val="2D9A14EF"/>
    <w:rsid w:val="2D9A412B"/>
    <w:rsid w:val="2D9D43F1"/>
    <w:rsid w:val="2D9E5189"/>
    <w:rsid w:val="2D9E6973"/>
    <w:rsid w:val="2D9F7A6C"/>
    <w:rsid w:val="2DA58A4C"/>
    <w:rsid w:val="2DA7AA5F"/>
    <w:rsid w:val="2DACF80C"/>
    <w:rsid w:val="2DAD27A1"/>
    <w:rsid w:val="2DB2FA48"/>
    <w:rsid w:val="2DBBD416"/>
    <w:rsid w:val="2DC1601A"/>
    <w:rsid w:val="2DC46EA1"/>
    <w:rsid w:val="2DC9C096"/>
    <w:rsid w:val="2DCA49AE"/>
    <w:rsid w:val="2DCAA706"/>
    <w:rsid w:val="2DCD919E"/>
    <w:rsid w:val="2DCE8E00"/>
    <w:rsid w:val="2DD17B8B"/>
    <w:rsid w:val="2DD2E9FC"/>
    <w:rsid w:val="2DD439ED"/>
    <w:rsid w:val="2DD7DFD2"/>
    <w:rsid w:val="2DD8DBF8"/>
    <w:rsid w:val="2DDCFE0F"/>
    <w:rsid w:val="2DDE32C1"/>
    <w:rsid w:val="2DDEB55B"/>
    <w:rsid w:val="2DE46767"/>
    <w:rsid w:val="2DE46B39"/>
    <w:rsid w:val="2DE4B605"/>
    <w:rsid w:val="2DE70489"/>
    <w:rsid w:val="2DEA118B"/>
    <w:rsid w:val="2DEB282C"/>
    <w:rsid w:val="2DECCA8F"/>
    <w:rsid w:val="2DECF7B5"/>
    <w:rsid w:val="2DEDF2E2"/>
    <w:rsid w:val="2DF36C57"/>
    <w:rsid w:val="2DF8B303"/>
    <w:rsid w:val="2DFB1985"/>
    <w:rsid w:val="2DFCCC2B"/>
    <w:rsid w:val="2DFE4441"/>
    <w:rsid w:val="2E015ED6"/>
    <w:rsid w:val="2E01C9FF"/>
    <w:rsid w:val="2E08314D"/>
    <w:rsid w:val="2E087820"/>
    <w:rsid w:val="2E14566B"/>
    <w:rsid w:val="2E1522EC"/>
    <w:rsid w:val="2E1932EC"/>
    <w:rsid w:val="2E1A3333"/>
    <w:rsid w:val="2E1AE8DD"/>
    <w:rsid w:val="2E202C4E"/>
    <w:rsid w:val="2E20A3AD"/>
    <w:rsid w:val="2E28328C"/>
    <w:rsid w:val="2E2EF396"/>
    <w:rsid w:val="2E2F3FE2"/>
    <w:rsid w:val="2E35180E"/>
    <w:rsid w:val="2E399FD3"/>
    <w:rsid w:val="2E3D7A64"/>
    <w:rsid w:val="2E41FAE1"/>
    <w:rsid w:val="2E48DF7C"/>
    <w:rsid w:val="2E50336C"/>
    <w:rsid w:val="2E5034E2"/>
    <w:rsid w:val="2E563B98"/>
    <w:rsid w:val="2E56C8A1"/>
    <w:rsid w:val="2E5754B6"/>
    <w:rsid w:val="2E5C6195"/>
    <w:rsid w:val="2E5C634B"/>
    <w:rsid w:val="2E5D942A"/>
    <w:rsid w:val="2E5E8E27"/>
    <w:rsid w:val="2E5EF647"/>
    <w:rsid w:val="2E62275B"/>
    <w:rsid w:val="2E6285E0"/>
    <w:rsid w:val="2E64A1F8"/>
    <w:rsid w:val="2E64EB6C"/>
    <w:rsid w:val="2E667D0F"/>
    <w:rsid w:val="2E679274"/>
    <w:rsid w:val="2E72D1CE"/>
    <w:rsid w:val="2E742A5F"/>
    <w:rsid w:val="2E766BC2"/>
    <w:rsid w:val="2E7B5BE4"/>
    <w:rsid w:val="2E7EEA1D"/>
    <w:rsid w:val="2E86E1CC"/>
    <w:rsid w:val="2E8D2361"/>
    <w:rsid w:val="2E8F140F"/>
    <w:rsid w:val="2E8FDB1D"/>
    <w:rsid w:val="2E91FDAC"/>
    <w:rsid w:val="2E9225C6"/>
    <w:rsid w:val="2E94E65E"/>
    <w:rsid w:val="2E9D03FE"/>
    <w:rsid w:val="2EA164DF"/>
    <w:rsid w:val="2EA2CEC1"/>
    <w:rsid w:val="2EAB0070"/>
    <w:rsid w:val="2EAE5DA2"/>
    <w:rsid w:val="2EAEB0C9"/>
    <w:rsid w:val="2EB81506"/>
    <w:rsid w:val="2EB87F52"/>
    <w:rsid w:val="2EBCFB14"/>
    <w:rsid w:val="2EBF0621"/>
    <w:rsid w:val="2EBFE25D"/>
    <w:rsid w:val="2EC0D3F3"/>
    <w:rsid w:val="2EC5C849"/>
    <w:rsid w:val="2ED53AF7"/>
    <w:rsid w:val="2EDB19CE"/>
    <w:rsid w:val="2EDB8015"/>
    <w:rsid w:val="2EDF64AB"/>
    <w:rsid w:val="2EE005EB"/>
    <w:rsid w:val="2EE064C5"/>
    <w:rsid w:val="2EE43A2D"/>
    <w:rsid w:val="2EE4CC95"/>
    <w:rsid w:val="2EF985AB"/>
    <w:rsid w:val="2EFDAA04"/>
    <w:rsid w:val="2EFEBA24"/>
    <w:rsid w:val="2F0A0B5B"/>
    <w:rsid w:val="2F0C6129"/>
    <w:rsid w:val="2F0FB1AB"/>
    <w:rsid w:val="2F0FF91A"/>
    <w:rsid w:val="2F15F152"/>
    <w:rsid w:val="2F22FCBF"/>
    <w:rsid w:val="2F242350"/>
    <w:rsid w:val="2F24E4C0"/>
    <w:rsid w:val="2F26C0A5"/>
    <w:rsid w:val="2F270D3E"/>
    <w:rsid w:val="2F275D76"/>
    <w:rsid w:val="2F2C01AD"/>
    <w:rsid w:val="2F2D61B0"/>
    <w:rsid w:val="2F2F31BD"/>
    <w:rsid w:val="2F34BCEB"/>
    <w:rsid w:val="2F3669BD"/>
    <w:rsid w:val="2F471D16"/>
    <w:rsid w:val="2F4A1E0B"/>
    <w:rsid w:val="2F4D718D"/>
    <w:rsid w:val="2F5038C4"/>
    <w:rsid w:val="2F5164E3"/>
    <w:rsid w:val="2F57D228"/>
    <w:rsid w:val="2F64E257"/>
    <w:rsid w:val="2F651F5B"/>
    <w:rsid w:val="2F6599AA"/>
    <w:rsid w:val="2F65A9C3"/>
    <w:rsid w:val="2F67442D"/>
    <w:rsid w:val="2F69BFFD"/>
    <w:rsid w:val="2F6BBE7C"/>
    <w:rsid w:val="2F70E334"/>
    <w:rsid w:val="2F710BE3"/>
    <w:rsid w:val="2F78D72A"/>
    <w:rsid w:val="2F7C7E93"/>
    <w:rsid w:val="2F7D3762"/>
    <w:rsid w:val="2F7E666D"/>
    <w:rsid w:val="2F7F5EAC"/>
    <w:rsid w:val="2F82E3A6"/>
    <w:rsid w:val="2F869E51"/>
    <w:rsid w:val="2F910407"/>
    <w:rsid w:val="2F911A17"/>
    <w:rsid w:val="2F913000"/>
    <w:rsid w:val="2F913409"/>
    <w:rsid w:val="2F9A365A"/>
    <w:rsid w:val="2F9A6FFA"/>
    <w:rsid w:val="2F9DA682"/>
    <w:rsid w:val="2F9E47E0"/>
    <w:rsid w:val="2FA1F850"/>
    <w:rsid w:val="2FA4A15D"/>
    <w:rsid w:val="2FA51B68"/>
    <w:rsid w:val="2FA5F04D"/>
    <w:rsid w:val="2FA62A2C"/>
    <w:rsid w:val="2FA63D35"/>
    <w:rsid w:val="2FA76AA8"/>
    <w:rsid w:val="2FB1B7B1"/>
    <w:rsid w:val="2FB31C3A"/>
    <w:rsid w:val="2FB4710F"/>
    <w:rsid w:val="2FB48583"/>
    <w:rsid w:val="2FB718F6"/>
    <w:rsid w:val="2FB7E45B"/>
    <w:rsid w:val="2FB9D17A"/>
    <w:rsid w:val="2FC2951E"/>
    <w:rsid w:val="2FC2E8F4"/>
    <w:rsid w:val="2FC37383"/>
    <w:rsid w:val="2FC57438"/>
    <w:rsid w:val="2FCA5977"/>
    <w:rsid w:val="2FCD541F"/>
    <w:rsid w:val="2FD1C386"/>
    <w:rsid w:val="2FDB39B0"/>
    <w:rsid w:val="2FDD4365"/>
    <w:rsid w:val="2FDD5F98"/>
    <w:rsid w:val="2FE188FA"/>
    <w:rsid w:val="2FE615B2"/>
    <w:rsid w:val="2FE6B9B3"/>
    <w:rsid w:val="2FEA318B"/>
    <w:rsid w:val="2FECE798"/>
    <w:rsid w:val="2FF424A0"/>
    <w:rsid w:val="2FF5DFE1"/>
    <w:rsid w:val="2FF9BD80"/>
    <w:rsid w:val="30056973"/>
    <w:rsid w:val="300767B1"/>
    <w:rsid w:val="300A4C29"/>
    <w:rsid w:val="300D80D8"/>
    <w:rsid w:val="300D9AA4"/>
    <w:rsid w:val="300E6936"/>
    <w:rsid w:val="3016A826"/>
    <w:rsid w:val="3019D205"/>
    <w:rsid w:val="30214087"/>
    <w:rsid w:val="3021DD4C"/>
    <w:rsid w:val="3022528D"/>
    <w:rsid w:val="30232D07"/>
    <w:rsid w:val="30261499"/>
    <w:rsid w:val="3026F297"/>
    <w:rsid w:val="3028DE00"/>
    <w:rsid w:val="30297E87"/>
    <w:rsid w:val="302A41A8"/>
    <w:rsid w:val="302ABCE2"/>
    <w:rsid w:val="302F3D1E"/>
    <w:rsid w:val="302FA1EF"/>
    <w:rsid w:val="3032E38F"/>
    <w:rsid w:val="30349DC2"/>
    <w:rsid w:val="3038EDA6"/>
    <w:rsid w:val="303B2D2F"/>
    <w:rsid w:val="30418BB6"/>
    <w:rsid w:val="3047B0D4"/>
    <w:rsid w:val="304ABA40"/>
    <w:rsid w:val="30507BDF"/>
    <w:rsid w:val="30516AE4"/>
    <w:rsid w:val="30523667"/>
    <w:rsid w:val="3058AC21"/>
    <w:rsid w:val="3058E71D"/>
    <w:rsid w:val="305B1E90"/>
    <w:rsid w:val="305D462A"/>
    <w:rsid w:val="306077D8"/>
    <w:rsid w:val="306130F3"/>
    <w:rsid w:val="306464DB"/>
    <w:rsid w:val="30677FFC"/>
    <w:rsid w:val="306EEC54"/>
    <w:rsid w:val="30740ADB"/>
    <w:rsid w:val="30745557"/>
    <w:rsid w:val="3074B0A6"/>
    <w:rsid w:val="307977AA"/>
    <w:rsid w:val="307CA99F"/>
    <w:rsid w:val="307CADAE"/>
    <w:rsid w:val="307ED311"/>
    <w:rsid w:val="30892299"/>
    <w:rsid w:val="308DA181"/>
    <w:rsid w:val="308EED70"/>
    <w:rsid w:val="309F820A"/>
    <w:rsid w:val="30A27A1C"/>
    <w:rsid w:val="30A33701"/>
    <w:rsid w:val="30A3E744"/>
    <w:rsid w:val="30A614F9"/>
    <w:rsid w:val="30A78C00"/>
    <w:rsid w:val="30A7EF7D"/>
    <w:rsid w:val="30A876CD"/>
    <w:rsid w:val="30A9D4B9"/>
    <w:rsid w:val="30AAD23A"/>
    <w:rsid w:val="30AC4302"/>
    <w:rsid w:val="30AC8AB7"/>
    <w:rsid w:val="30B0E724"/>
    <w:rsid w:val="30B2100A"/>
    <w:rsid w:val="30B24476"/>
    <w:rsid w:val="30B5727B"/>
    <w:rsid w:val="30BAF648"/>
    <w:rsid w:val="30C01E13"/>
    <w:rsid w:val="30C38DD9"/>
    <w:rsid w:val="30C4BA3D"/>
    <w:rsid w:val="30C4D918"/>
    <w:rsid w:val="30C6B6A0"/>
    <w:rsid w:val="30C94131"/>
    <w:rsid w:val="30CBA072"/>
    <w:rsid w:val="30CF002B"/>
    <w:rsid w:val="30CFB789"/>
    <w:rsid w:val="30D22388"/>
    <w:rsid w:val="30D64808"/>
    <w:rsid w:val="30D998C7"/>
    <w:rsid w:val="30DFBDAF"/>
    <w:rsid w:val="30DFC5D7"/>
    <w:rsid w:val="30E09D63"/>
    <w:rsid w:val="30E123CE"/>
    <w:rsid w:val="30E44369"/>
    <w:rsid w:val="30E5C06B"/>
    <w:rsid w:val="30E6842B"/>
    <w:rsid w:val="30E71AC7"/>
    <w:rsid w:val="30E8BD01"/>
    <w:rsid w:val="30E8FE28"/>
    <w:rsid w:val="30E98C37"/>
    <w:rsid w:val="30ECA175"/>
    <w:rsid w:val="30F042D9"/>
    <w:rsid w:val="30F30A5D"/>
    <w:rsid w:val="30F3D37E"/>
    <w:rsid w:val="30F4DF88"/>
    <w:rsid w:val="30F9D5D4"/>
    <w:rsid w:val="30FA7A96"/>
    <w:rsid w:val="30FBA2C3"/>
    <w:rsid w:val="30FE3C65"/>
    <w:rsid w:val="30FE83EC"/>
    <w:rsid w:val="31005F1E"/>
    <w:rsid w:val="31011945"/>
    <w:rsid w:val="3101A1F3"/>
    <w:rsid w:val="31047163"/>
    <w:rsid w:val="310B877A"/>
    <w:rsid w:val="310E3A2C"/>
    <w:rsid w:val="311240E4"/>
    <w:rsid w:val="31150094"/>
    <w:rsid w:val="3118DFAB"/>
    <w:rsid w:val="311A3857"/>
    <w:rsid w:val="311BB2AF"/>
    <w:rsid w:val="311BC0CE"/>
    <w:rsid w:val="311CE486"/>
    <w:rsid w:val="311F894B"/>
    <w:rsid w:val="312184C1"/>
    <w:rsid w:val="3122165A"/>
    <w:rsid w:val="31266A86"/>
    <w:rsid w:val="312B1AEB"/>
    <w:rsid w:val="31310A26"/>
    <w:rsid w:val="313D128F"/>
    <w:rsid w:val="313DBFBF"/>
    <w:rsid w:val="3143B7B0"/>
    <w:rsid w:val="314607C8"/>
    <w:rsid w:val="314D575C"/>
    <w:rsid w:val="314DC83B"/>
    <w:rsid w:val="314DF751"/>
    <w:rsid w:val="314F65FD"/>
    <w:rsid w:val="315291FE"/>
    <w:rsid w:val="315573BC"/>
    <w:rsid w:val="3169B279"/>
    <w:rsid w:val="316CA49F"/>
    <w:rsid w:val="316D4773"/>
    <w:rsid w:val="316D7AC7"/>
    <w:rsid w:val="316FB66B"/>
    <w:rsid w:val="31709DEC"/>
    <w:rsid w:val="3173D93E"/>
    <w:rsid w:val="317435DF"/>
    <w:rsid w:val="317543D2"/>
    <w:rsid w:val="317563CF"/>
    <w:rsid w:val="3175F550"/>
    <w:rsid w:val="3178C8E1"/>
    <w:rsid w:val="31798FC8"/>
    <w:rsid w:val="3180309F"/>
    <w:rsid w:val="31875D57"/>
    <w:rsid w:val="318B99DD"/>
    <w:rsid w:val="318FA4FA"/>
    <w:rsid w:val="31927074"/>
    <w:rsid w:val="31959B9A"/>
    <w:rsid w:val="3198664F"/>
    <w:rsid w:val="319948E8"/>
    <w:rsid w:val="319A58B4"/>
    <w:rsid w:val="319AA030"/>
    <w:rsid w:val="319BDE8F"/>
    <w:rsid w:val="319BE290"/>
    <w:rsid w:val="319CC032"/>
    <w:rsid w:val="31A9B4D1"/>
    <w:rsid w:val="31A9F7B9"/>
    <w:rsid w:val="31B165F4"/>
    <w:rsid w:val="31B49ECD"/>
    <w:rsid w:val="31B6578C"/>
    <w:rsid w:val="31B77980"/>
    <w:rsid w:val="31B7DFE8"/>
    <w:rsid w:val="31BAC2B5"/>
    <w:rsid w:val="31BD38E7"/>
    <w:rsid w:val="31C0907F"/>
    <w:rsid w:val="31CC69BE"/>
    <w:rsid w:val="31CFAD73"/>
    <w:rsid w:val="31D645DD"/>
    <w:rsid w:val="31D92F48"/>
    <w:rsid w:val="31E3BCE3"/>
    <w:rsid w:val="31ED0063"/>
    <w:rsid w:val="31F09605"/>
    <w:rsid w:val="31F2DD54"/>
    <w:rsid w:val="31F99170"/>
    <w:rsid w:val="31FA7590"/>
    <w:rsid w:val="31FAC0ED"/>
    <w:rsid w:val="31FB0E2C"/>
    <w:rsid w:val="31FD2715"/>
    <w:rsid w:val="3202A405"/>
    <w:rsid w:val="3202D78D"/>
    <w:rsid w:val="3205620B"/>
    <w:rsid w:val="321A0948"/>
    <w:rsid w:val="32256263"/>
    <w:rsid w:val="32258077"/>
    <w:rsid w:val="32265C3B"/>
    <w:rsid w:val="32274432"/>
    <w:rsid w:val="3229ADB0"/>
    <w:rsid w:val="3229FD67"/>
    <w:rsid w:val="322B102A"/>
    <w:rsid w:val="322B97DC"/>
    <w:rsid w:val="322C13BA"/>
    <w:rsid w:val="322D2A48"/>
    <w:rsid w:val="32300918"/>
    <w:rsid w:val="3235AFBE"/>
    <w:rsid w:val="3236E4A4"/>
    <w:rsid w:val="3237F6EA"/>
    <w:rsid w:val="323E9496"/>
    <w:rsid w:val="323EAFD6"/>
    <w:rsid w:val="32406F96"/>
    <w:rsid w:val="324DC3D0"/>
    <w:rsid w:val="3259C7CC"/>
    <w:rsid w:val="325D7DE3"/>
    <w:rsid w:val="325DC83E"/>
    <w:rsid w:val="325ED292"/>
    <w:rsid w:val="325F94E6"/>
    <w:rsid w:val="326032E9"/>
    <w:rsid w:val="32608F04"/>
    <w:rsid w:val="3261F8DF"/>
    <w:rsid w:val="326206FD"/>
    <w:rsid w:val="32629932"/>
    <w:rsid w:val="326347A0"/>
    <w:rsid w:val="326541B2"/>
    <w:rsid w:val="326619DF"/>
    <w:rsid w:val="3267680A"/>
    <w:rsid w:val="326AC4DC"/>
    <w:rsid w:val="326F3E75"/>
    <w:rsid w:val="3273556C"/>
    <w:rsid w:val="3273655E"/>
    <w:rsid w:val="32750B29"/>
    <w:rsid w:val="327616A1"/>
    <w:rsid w:val="32768D31"/>
    <w:rsid w:val="327A65E6"/>
    <w:rsid w:val="327AC3E7"/>
    <w:rsid w:val="327BF726"/>
    <w:rsid w:val="327D1D15"/>
    <w:rsid w:val="327F02FA"/>
    <w:rsid w:val="32859729"/>
    <w:rsid w:val="3288C855"/>
    <w:rsid w:val="32894E09"/>
    <w:rsid w:val="328FDD5D"/>
    <w:rsid w:val="3297ADAE"/>
    <w:rsid w:val="329DE59B"/>
    <w:rsid w:val="32A2EE85"/>
    <w:rsid w:val="32A5DFAF"/>
    <w:rsid w:val="32A6003A"/>
    <w:rsid w:val="32ACDCE7"/>
    <w:rsid w:val="32B26D12"/>
    <w:rsid w:val="32B41F15"/>
    <w:rsid w:val="32B4DEA9"/>
    <w:rsid w:val="32B6B59B"/>
    <w:rsid w:val="32B71BB5"/>
    <w:rsid w:val="32BA8903"/>
    <w:rsid w:val="32BB1D9D"/>
    <w:rsid w:val="32BCD29B"/>
    <w:rsid w:val="32C1303D"/>
    <w:rsid w:val="32C3B023"/>
    <w:rsid w:val="32C49C9A"/>
    <w:rsid w:val="32C6A98F"/>
    <w:rsid w:val="32C81D8D"/>
    <w:rsid w:val="32CA1D3E"/>
    <w:rsid w:val="32CBF0C6"/>
    <w:rsid w:val="32CD0161"/>
    <w:rsid w:val="32CDC206"/>
    <w:rsid w:val="32CED86D"/>
    <w:rsid w:val="32D5C559"/>
    <w:rsid w:val="32D69BC3"/>
    <w:rsid w:val="32D6DBAB"/>
    <w:rsid w:val="32D88DAD"/>
    <w:rsid w:val="32D9CFAF"/>
    <w:rsid w:val="32DF18C8"/>
    <w:rsid w:val="32E517E9"/>
    <w:rsid w:val="32E55B00"/>
    <w:rsid w:val="32EC5E0C"/>
    <w:rsid w:val="32EE22E1"/>
    <w:rsid w:val="32F40582"/>
    <w:rsid w:val="32F48293"/>
    <w:rsid w:val="32FABCF2"/>
    <w:rsid w:val="32FB7E21"/>
    <w:rsid w:val="32FBDB0F"/>
    <w:rsid w:val="32FFF75E"/>
    <w:rsid w:val="3300E102"/>
    <w:rsid w:val="330C01DC"/>
    <w:rsid w:val="330C8DAE"/>
    <w:rsid w:val="330DA5E0"/>
    <w:rsid w:val="330E89A6"/>
    <w:rsid w:val="3311F20F"/>
    <w:rsid w:val="3319427A"/>
    <w:rsid w:val="331B3450"/>
    <w:rsid w:val="331F887E"/>
    <w:rsid w:val="3322602E"/>
    <w:rsid w:val="33271141"/>
    <w:rsid w:val="332A9F78"/>
    <w:rsid w:val="332D5E28"/>
    <w:rsid w:val="332EE2F6"/>
    <w:rsid w:val="3333DD07"/>
    <w:rsid w:val="33368AB9"/>
    <w:rsid w:val="333F1EB0"/>
    <w:rsid w:val="3344E5FC"/>
    <w:rsid w:val="3345D099"/>
    <w:rsid w:val="3348CC55"/>
    <w:rsid w:val="334C58E5"/>
    <w:rsid w:val="334EA9DA"/>
    <w:rsid w:val="3350C51B"/>
    <w:rsid w:val="3354EE25"/>
    <w:rsid w:val="3355315F"/>
    <w:rsid w:val="3356AAE9"/>
    <w:rsid w:val="335D3E61"/>
    <w:rsid w:val="33619177"/>
    <w:rsid w:val="33648F02"/>
    <w:rsid w:val="3364FC0D"/>
    <w:rsid w:val="3365619A"/>
    <w:rsid w:val="336580B3"/>
    <w:rsid w:val="33679F26"/>
    <w:rsid w:val="3367C6CA"/>
    <w:rsid w:val="336FFAB1"/>
    <w:rsid w:val="3371312F"/>
    <w:rsid w:val="3379DF70"/>
    <w:rsid w:val="337F6DB3"/>
    <w:rsid w:val="3385CAE8"/>
    <w:rsid w:val="3387D633"/>
    <w:rsid w:val="338935A2"/>
    <w:rsid w:val="338FEC21"/>
    <w:rsid w:val="33921240"/>
    <w:rsid w:val="3392229D"/>
    <w:rsid w:val="33943ACD"/>
    <w:rsid w:val="3395FE4B"/>
    <w:rsid w:val="33965D6A"/>
    <w:rsid w:val="339B22AE"/>
    <w:rsid w:val="339C41B9"/>
    <w:rsid w:val="339C76EA"/>
    <w:rsid w:val="339C8BDD"/>
    <w:rsid w:val="339CE24A"/>
    <w:rsid w:val="339FA983"/>
    <w:rsid w:val="33A3F074"/>
    <w:rsid w:val="33A4F23F"/>
    <w:rsid w:val="33A69938"/>
    <w:rsid w:val="33AB55E2"/>
    <w:rsid w:val="33AB8CC1"/>
    <w:rsid w:val="33B11780"/>
    <w:rsid w:val="33B13A39"/>
    <w:rsid w:val="33B2F04F"/>
    <w:rsid w:val="33BA6E4E"/>
    <w:rsid w:val="33BBA1FC"/>
    <w:rsid w:val="33BC7E27"/>
    <w:rsid w:val="33C53115"/>
    <w:rsid w:val="33C61446"/>
    <w:rsid w:val="33C62EC4"/>
    <w:rsid w:val="33C739B4"/>
    <w:rsid w:val="33CD4829"/>
    <w:rsid w:val="33D052DD"/>
    <w:rsid w:val="33D434AB"/>
    <w:rsid w:val="33DAF0AD"/>
    <w:rsid w:val="33DD2D50"/>
    <w:rsid w:val="33E8FE3F"/>
    <w:rsid w:val="33EA2BBD"/>
    <w:rsid w:val="33F2DA6F"/>
    <w:rsid w:val="33F5B8DF"/>
    <w:rsid w:val="33F8EE08"/>
    <w:rsid w:val="33FAFF63"/>
    <w:rsid w:val="33FB40D6"/>
    <w:rsid w:val="33FE2B4B"/>
    <w:rsid w:val="33FED482"/>
    <w:rsid w:val="34019DAD"/>
    <w:rsid w:val="340E7B5A"/>
    <w:rsid w:val="340F5A58"/>
    <w:rsid w:val="34120753"/>
    <w:rsid w:val="34176E12"/>
    <w:rsid w:val="341E4CAC"/>
    <w:rsid w:val="34220259"/>
    <w:rsid w:val="3427776A"/>
    <w:rsid w:val="34294901"/>
    <w:rsid w:val="342E2F32"/>
    <w:rsid w:val="342E523F"/>
    <w:rsid w:val="34336123"/>
    <w:rsid w:val="34346ED3"/>
    <w:rsid w:val="3435EEBC"/>
    <w:rsid w:val="3438F6C0"/>
    <w:rsid w:val="343988B2"/>
    <w:rsid w:val="343B487F"/>
    <w:rsid w:val="343ECAE3"/>
    <w:rsid w:val="3447E911"/>
    <w:rsid w:val="345D787D"/>
    <w:rsid w:val="345F4549"/>
    <w:rsid w:val="3463790D"/>
    <w:rsid w:val="347273F7"/>
    <w:rsid w:val="34740B13"/>
    <w:rsid w:val="347450C9"/>
    <w:rsid w:val="3475B6F1"/>
    <w:rsid w:val="34768B36"/>
    <w:rsid w:val="3478165F"/>
    <w:rsid w:val="34790685"/>
    <w:rsid w:val="347B2C9A"/>
    <w:rsid w:val="3482166E"/>
    <w:rsid w:val="3482AD05"/>
    <w:rsid w:val="3483D37B"/>
    <w:rsid w:val="348C6D6D"/>
    <w:rsid w:val="348E40BC"/>
    <w:rsid w:val="3492701E"/>
    <w:rsid w:val="3496E8AF"/>
    <w:rsid w:val="3496F397"/>
    <w:rsid w:val="34999601"/>
    <w:rsid w:val="349DCBC7"/>
    <w:rsid w:val="34A25D07"/>
    <w:rsid w:val="34A41A4E"/>
    <w:rsid w:val="34A6B48C"/>
    <w:rsid w:val="34A9FB27"/>
    <w:rsid w:val="34AB1641"/>
    <w:rsid w:val="34AEF9AC"/>
    <w:rsid w:val="34B3113F"/>
    <w:rsid w:val="34B34768"/>
    <w:rsid w:val="34B356CD"/>
    <w:rsid w:val="34B7C2CC"/>
    <w:rsid w:val="34BB3896"/>
    <w:rsid w:val="34BB7029"/>
    <w:rsid w:val="34BD77DD"/>
    <w:rsid w:val="34BDA0DC"/>
    <w:rsid w:val="34BE25EB"/>
    <w:rsid w:val="34C6E005"/>
    <w:rsid w:val="34CA394C"/>
    <w:rsid w:val="34CB7E34"/>
    <w:rsid w:val="34CE309A"/>
    <w:rsid w:val="34CEF6A9"/>
    <w:rsid w:val="34D565CD"/>
    <w:rsid w:val="34D7CDEE"/>
    <w:rsid w:val="34E0DD90"/>
    <w:rsid w:val="34E30EFB"/>
    <w:rsid w:val="34E32166"/>
    <w:rsid w:val="34E742FE"/>
    <w:rsid w:val="34E8276F"/>
    <w:rsid w:val="34EBEDBE"/>
    <w:rsid w:val="34ED0A3F"/>
    <w:rsid w:val="34EDE013"/>
    <w:rsid w:val="34EE5CBA"/>
    <w:rsid w:val="34F48C08"/>
    <w:rsid w:val="350576EC"/>
    <w:rsid w:val="3507CFD0"/>
    <w:rsid w:val="350A1250"/>
    <w:rsid w:val="350C77B0"/>
    <w:rsid w:val="3511A8E9"/>
    <w:rsid w:val="3512C5B0"/>
    <w:rsid w:val="3513B417"/>
    <w:rsid w:val="3519FF70"/>
    <w:rsid w:val="351DE17D"/>
    <w:rsid w:val="351DE6D9"/>
    <w:rsid w:val="3527D29A"/>
    <w:rsid w:val="3528F14D"/>
    <w:rsid w:val="352B378F"/>
    <w:rsid w:val="352C5500"/>
    <w:rsid w:val="352C91DB"/>
    <w:rsid w:val="353342B1"/>
    <w:rsid w:val="3536B242"/>
    <w:rsid w:val="353A50A6"/>
    <w:rsid w:val="353B389B"/>
    <w:rsid w:val="35448F1D"/>
    <w:rsid w:val="3545033B"/>
    <w:rsid w:val="354639E1"/>
    <w:rsid w:val="35477A9F"/>
    <w:rsid w:val="354B08B9"/>
    <w:rsid w:val="3556757D"/>
    <w:rsid w:val="35568245"/>
    <w:rsid w:val="35580871"/>
    <w:rsid w:val="3558B2D5"/>
    <w:rsid w:val="355ED52C"/>
    <w:rsid w:val="35622815"/>
    <w:rsid w:val="356483C7"/>
    <w:rsid w:val="3565C522"/>
    <w:rsid w:val="35673AFC"/>
    <w:rsid w:val="3568DCE1"/>
    <w:rsid w:val="3569C1BC"/>
    <w:rsid w:val="356AD44E"/>
    <w:rsid w:val="356B6936"/>
    <w:rsid w:val="356D2E77"/>
    <w:rsid w:val="356EE939"/>
    <w:rsid w:val="356F86C3"/>
    <w:rsid w:val="35710878"/>
    <w:rsid w:val="35726884"/>
    <w:rsid w:val="35732B81"/>
    <w:rsid w:val="35790622"/>
    <w:rsid w:val="3579D990"/>
    <w:rsid w:val="35832E84"/>
    <w:rsid w:val="358374A5"/>
    <w:rsid w:val="35837576"/>
    <w:rsid w:val="358390FB"/>
    <w:rsid w:val="35839FC0"/>
    <w:rsid w:val="3583E50F"/>
    <w:rsid w:val="358762AE"/>
    <w:rsid w:val="358A6622"/>
    <w:rsid w:val="358B9CC3"/>
    <w:rsid w:val="35958483"/>
    <w:rsid w:val="359B37DD"/>
    <w:rsid w:val="359E9A75"/>
    <w:rsid w:val="35A102E2"/>
    <w:rsid w:val="35A6A832"/>
    <w:rsid w:val="35A6E4B5"/>
    <w:rsid w:val="35A6EE19"/>
    <w:rsid w:val="35A816CC"/>
    <w:rsid w:val="35A957B1"/>
    <w:rsid w:val="35B29580"/>
    <w:rsid w:val="35B68DDF"/>
    <w:rsid w:val="35B6E8D3"/>
    <w:rsid w:val="35B774A5"/>
    <w:rsid w:val="35B93D5F"/>
    <w:rsid w:val="35B99596"/>
    <w:rsid w:val="35BC0457"/>
    <w:rsid w:val="35BE58F7"/>
    <w:rsid w:val="35C51174"/>
    <w:rsid w:val="35C87169"/>
    <w:rsid w:val="35CCBEF1"/>
    <w:rsid w:val="35CE57C5"/>
    <w:rsid w:val="35D51423"/>
    <w:rsid w:val="35D5C91C"/>
    <w:rsid w:val="35D5E4D2"/>
    <w:rsid w:val="35DC9BBC"/>
    <w:rsid w:val="35E39DDC"/>
    <w:rsid w:val="35E50AD1"/>
    <w:rsid w:val="35E5EF79"/>
    <w:rsid w:val="35E71CFE"/>
    <w:rsid w:val="35E86257"/>
    <w:rsid w:val="35F2C5E0"/>
    <w:rsid w:val="35F4D484"/>
    <w:rsid w:val="35F98E4E"/>
    <w:rsid w:val="35FAE2AC"/>
    <w:rsid w:val="36002088"/>
    <w:rsid w:val="36007573"/>
    <w:rsid w:val="360551A0"/>
    <w:rsid w:val="3607C7FB"/>
    <w:rsid w:val="3607EE8F"/>
    <w:rsid w:val="3611C80A"/>
    <w:rsid w:val="3615C474"/>
    <w:rsid w:val="361AEBE1"/>
    <w:rsid w:val="361F3BDC"/>
    <w:rsid w:val="362029EC"/>
    <w:rsid w:val="36211664"/>
    <w:rsid w:val="3626347E"/>
    <w:rsid w:val="36268769"/>
    <w:rsid w:val="362818BB"/>
    <w:rsid w:val="3628C2C1"/>
    <w:rsid w:val="36298162"/>
    <w:rsid w:val="362E5A79"/>
    <w:rsid w:val="362F03D2"/>
    <w:rsid w:val="3631CDD4"/>
    <w:rsid w:val="363223F2"/>
    <w:rsid w:val="363351C2"/>
    <w:rsid w:val="363368EE"/>
    <w:rsid w:val="363486C6"/>
    <w:rsid w:val="3636F7A7"/>
    <w:rsid w:val="3637A789"/>
    <w:rsid w:val="363C62A9"/>
    <w:rsid w:val="363DE41F"/>
    <w:rsid w:val="363FDF30"/>
    <w:rsid w:val="36406886"/>
    <w:rsid w:val="36454AD4"/>
    <w:rsid w:val="364B4F2B"/>
    <w:rsid w:val="364C2EC0"/>
    <w:rsid w:val="364CA4A8"/>
    <w:rsid w:val="3653D9A2"/>
    <w:rsid w:val="3656453B"/>
    <w:rsid w:val="36565FBD"/>
    <w:rsid w:val="36569682"/>
    <w:rsid w:val="3658C4A4"/>
    <w:rsid w:val="365AD8C0"/>
    <w:rsid w:val="365B2C73"/>
    <w:rsid w:val="365D028C"/>
    <w:rsid w:val="36605ECF"/>
    <w:rsid w:val="366519D3"/>
    <w:rsid w:val="366792EC"/>
    <w:rsid w:val="366BB5E0"/>
    <w:rsid w:val="366C0DF7"/>
    <w:rsid w:val="36723029"/>
    <w:rsid w:val="36738750"/>
    <w:rsid w:val="36747716"/>
    <w:rsid w:val="36788F7C"/>
    <w:rsid w:val="367C3817"/>
    <w:rsid w:val="367C5C55"/>
    <w:rsid w:val="367C84C2"/>
    <w:rsid w:val="367CA0F5"/>
    <w:rsid w:val="367D5EEA"/>
    <w:rsid w:val="367E02CF"/>
    <w:rsid w:val="367EB287"/>
    <w:rsid w:val="3689A7C3"/>
    <w:rsid w:val="368C5930"/>
    <w:rsid w:val="368F10E6"/>
    <w:rsid w:val="36906D7F"/>
    <w:rsid w:val="369422F8"/>
    <w:rsid w:val="369AC772"/>
    <w:rsid w:val="369C2672"/>
    <w:rsid w:val="36A56962"/>
    <w:rsid w:val="36A6430C"/>
    <w:rsid w:val="36A70F03"/>
    <w:rsid w:val="36A9E2AA"/>
    <w:rsid w:val="36AB3F14"/>
    <w:rsid w:val="36ABCBFD"/>
    <w:rsid w:val="36AC3333"/>
    <w:rsid w:val="36AC498E"/>
    <w:rsid w:val="36B284C7"/>
    <w:rsid w:val="36BC875C"/>
    <w:rsid w:val="36C0EDBB"/>
    <w:rsid w:val="36C1DED3"/>
    <w:rsid w:val="36C37C14"/>
    <w:rsid w:val="36C470D4"/>
    <w:rsid w:val="36C6B444"/>
    <w:rsid w:val="36C7D83A"/>
    <w:rsid w:val="36CDF678"/>
    <w:rsid w:val="36D106C1"/>
    <w:rsid w:val="36D12107"/>
    <w:rsid w:val="36D41564"/>
    <w:rsid w:val="36D58463"/>
    <w:rsid w:val="36D9E24E"/>
    <w:rsid w:val="36D9E831"/>
    <w:rsid w:val="36DE623A"/>
    <w:rsid w:val="36DF8CD6"/>
    <w:rsid w:val="36E3F0E3"/>
    <w:rsid w:val="36E8F566"/>
    <w:rsid w:val="36EADB2A"/>
    <w:rsid w:val="36EB3ABF"/>
    <w:rsid w:val="36EBD273"/>
    <w:rsid w:val="36EEFDE4"/>
    <w:rsid w:val="36FBAD6F"/>
    <w:rsid w:val="36FCC28A"/>
    <w:rsid w:val="36FDA81B"/>
    <w:rsid w:val="37004DC4"/>
    <w:rsid w:val="370108B9"/>
    <w:rsid w:val="3709DDB1"/>
    <w:rsid w:val="3716F3D7"/>
    <w:rsid w:val="3718A3C3"/>
    <w:rsid w:val="371D838C"/>
    <w:rsid w:val="371DC41D"/>
    <w:rsid w:val="371FE105"/>
    <w:rsid w:val="372B290F"/>
    <w:rsid w:val="372CA8EC"/>
    <w:rsid w:val="3731A837"/>
    <w:rsid w:val="37377B7A"/>
    <w:rsid w:val="3737844D"/>
    <w:rsid w:val="373EAB37"/>
    <w:rsid w:val="373F0EDA"/>
    <w:rsid w:val="374018A0"/>
    <w:rsid w:val="374311B2"/>
    <w:rsid w:val="3746C7C5"/>
    <w:rsid w:val="374E4DE8"/>
    <w:rsid w:val="37522743"/>
    <w:rsid w:val="375552CC"/>
    <w:rsid w:val="375C0268"/>
    <w:rsid w:val="375C2EE7"/>
    <w:rsid w:val="375C5219"/>
    <w:rsid w:val="37600A76"/>
    <w:rsid w:val="37618FA4"/>
    <w:rsid w:val="3766726C"/>
    <w:rsid w:val="3767E0C1"/>
    <w:rsid w:val="376BD181"/>
    <w:rsid w:val="37719109"/>
    <w:rsid w:val="37726A4B"/>
    <w:rsid w:val="37755D59"/>
    <w:rsid w:val="3776A149"/>
    <w:rsid w:val="377C208F"/>
    <w:rsid w:val="377E65BB"/>
    <w:rsid w:val="377FC8BF"/>
    <w:rsid w:val="3780BAAD"/>
    <w:rsid w:val="37821E81"/>
    <w:rsid w:val="3786751A"/>
    <w:rsid w:val="378D22D9"/>
    <w:rsid w:val="378DAB65"/>
    <w:rsid w:val="378DEE42"/>
    <w:rsid w:val="378EA686"/>
    <w:rsid w:val="3792DE6E"/>
    <w:rsid w:val="37942DA2"/>
    <w:rsid w:val="379B61B9"/>
    <w:rsid w:val="379B6B69"/>
    <w:rsid w:val="379C602D"/>
    <w:rsid w:val="37A285AB"/>
    <w:rsid w:val="37ABEBB4"/>
    <w:rsid w:val="37ADEE46"/>
    <w:rsid w:val="37AE753C"/>
    <w:rsid w:val="37AFADC4"/>
    <w:rsid w:val="37B2CA76"/>
    <w:rsid w:val="37B9ED91"/>
    <w:rsid w:val="37BA2E5C"/>
    <w:rsid w:val="37BB9D7E"/>
    <w:rsid w:val="37BC98AD"/>
    <w:rsid w:val="37BE3958"/>
    <w:rsid w:val="37C03EA4"/>
    <w:rsid w:val="37C1FDBF"/>
    <w:rsid w:val="37C94913"/>
    <w:rsid w:val="37CD99F7"/>
    <w:rsid w:val="37CE2AF8"/>
    <w:rsid w:val="37D05A09"/>
    <w:rsid w:val="37D15386"/>
    <w:rsid w:val="37D1ABCC"/>
    <w:rsid w:val="37D42BA0"/>
    <w:rsid w:val="37D9BCDA"/>
    <w:rsid w:val="37DA7ADE"/>
    <w:rsid w:val="37DD26F4"/>
    <w:rsid w:val="37E54757"/>
    <w:rsid w:val="37E9BEAD"/>
    <w:rsid w:val="37ECCC99"/>
    <w:rsid w:val="37F453B0"/>
    <w:rsid w:val="37FFE8D3"/>
    <w:rsid w:val="3803E3B2"/>
    <w:rsid w:val="380BB1DD"/>
    <w:rsid w:val="381B86E1"/>
    <w:rsid w:val="381DB43E"/>
    <w:rsid w:val="38241B8F"/>
    <w:rsid w:val="38242C93"/>
    <w:rsid w:val="38267F6A"/>
    <w:rsid w:val="382961C0"/>
    <w:rsid w:val="38298184"/>
    <w:rsid w:val="3834BA2B"/>
    <w:rsid w:val="383A6E2E"/>
    <w:rsid w:val="383B6C51"/>
    <w:rsid w:val="383FD7CA"/>
    <w:rsid w:val="38415801"/>
    <w:rsid w:val="3844CC66"/>
    <w:rsid w:val="38460682"/>
    <w:rsid w:val="384F7AB1"/>
    <w:rsid w:val="3851D5A6"/>
    <w:rsid w:val="38526936"/>
    <w:rsid w:val="3853576A"/>
    <w:rsid w:val="386554D5"/>
    <w:rsid w:val="386E984C"/>
    <w:rsid w:val="386FB5F4"/>
    <w:rsid w:val="38709CDC"/>
    <w:rsid w:val="3877C699"/>
    <w:rsid w:val="387BFFD8"/>
    <w:rsid w:val="387C42D6"/>
    <w:rsid w:val="387C7F95"/>
    <w:rsid w:val="3880D5E0"/>
    <w:rsid w:val="3881816E"/>
    <w:rsid w:val="3881CB36"/>
    <w:rsid w:val="3882DAB7"/>
    <w:rsid w:val="3883763C"/>
    <w:rsid w:val="3886AF4E"/>
    <w:rsid w:val="38883A6C"/>
    <w:rsid w:val="388FF7B3"/>
    <w:rsid w:val="389A6A55"/>
    <w:rsid w:val="38A0A170"/>
    <w:rsid w:val="38A51EFC"/>
    <w:rsid w:val="38A9539C"/>
    <w:rsid w:val="38B3FCD7"/>
    <w:rsid w:val="38B523DA"/>
    <w:rsid w:val="38B63281"/>
    <w:rsid w:val="38C48F57"/>
    <w:rsid w:val="38CA0F4E"/>
    <w:rsid w:val="38CE3F18"/>
    <w:rsid w:val="38CF8919"/>
    <w:rsid w:val="38D1FDEB"/>
    <w:rsid w:val="38D2E701"/>
    <w:rsid w:val="38D4DA43"/>
    <w:rsid w:val="38D99926"/>
    <w:rsid w:val="38D9D4F0"/>
    <w:rsid w:val="38E12C82"/>
    <w:rsid w:val="38E14ABE"/>
    <w:rsid w:val="38ED8E70"/>
    <w:rsid w:val="38F0FBF4"/>
    <w:rsid w:val="38F128A5"/>
    <w:rsid w:val="38F3F8DD"/>
    <w:rsid w:val="38F59BD1"/>
    <w:rsid w:val="38F915FD"/>
    <w:rsid w:val="38FAEB1E"/>
    <w:rsid w:val="38FB89B3"/>
    <w:rsid w:val="38FCC3EE"/>
    <w:rsid w:val="390191DC"/>
    <w:rsid w:val="3905B0F6"/>
    <w:rsid w:val="3908783A"/>
    <w:rsid w:val="390972FE"/>
    <w:rsid w:val="3909AAD2"/>
    <w:rsid w:val="390FC52B"/>
    <w:rsid w:val="391277FE"/>
    <w:rsid w:val="39137B8C"/>
    <w:rsid w:val="39139C70"/>
    <w:rsid w:val="3913CA78"/>
    <w:rsid w:val="391967B8"/>
    <w:rsid w:val="391A991C"/>
    <w:rsid w:val="391EF984"/>
    <w:rsid w:val="392060D6"/>
    <w:rsid w:val="39290D86"/>
    <w:rsid w:val="392A238B"/>
    <w:rsid w:val="392B2A38"/>
    <w:rsid w:val="392B364A"/>
    <w:rsid w:val="392D030A"/>
    <w:rsid w:val="392D5A82"/>
    <w:rsid w:val="392E8488"/>
    <w:rsid w:val="3930131C"/>
    <w:rsid w:val="39352897"/>
    <w:rsid w:val="3935A6FA"/>
    <w:rsid w:val="3936273B"/>
    <w:rsid w:val="393978AE"/>
    <w:rsid w:val="393A2417"/>
    <w:rsid w:val="393AF2F0"/>
    <w:rsid w:val="3942B6C2"/>
    <w:rsid w:val="3943D5ED"/>
    <w:rsid w:val="3946C4BF"/>
    <w:rsid w:val="3947D36A"/>
    <w:rsid w:val="394A42B5"/>
    <w:rsid w:val="394B84F2"/>
    <w:rsid w:val="394B9B50"/>
    <w:rsid w:val="394F7A0A"/>
    <w:rsid w:val="39503494"/>
    <w:rsid w:val="395140F7"/>
    <w:rsid w:val="39520836"/>
    <w:rsid w:val="395E1FF4"/>
    <w:rsid w:val="39602ECB"/>
    <w:rsid w:val="3966CB0A"/>
    <w:rsid w:val="396756C1"/>
    <w:rsid w:val="39697B32"/>
    <w:rsid w:val="396AB1C3"/>
    <w:rsid w:val="396B3097"/>
    <w:rsid w:val="396BFCE2"/>
    <w:rsid w:val="397193B5"/>
    <w:rsid w:val="3971C5E3"/>
    <w:rsid w:val="3974DB05"/>
    <w:rsid w:val="39766848"/>
    <w:rsid w:val="397F4343"/>
    <w:rsid w:val="39807AB0"/>
    <w:rsid w:val="398151E0"/>
    <w:rsid w:val="3988A483"/>
    <w:rsid w:val="3988CF18"/>
    <w:rsid w:val="39943BC6"/>
    <w:rsid w:val="39954D20"/>
    <w:rsid w:val="399BC115"/>
    <w:rsid w:val="399CBF96"/>
    <w:rsid w:val="399FDCEE"/>
    <w:rsid w:val="39A16A62"/>
    <w:rsid w:val="39A5A79B"/>
    <w:rsid w:val="39AB5449"/>
    <w:rsid w:val="39ABD244"/>
    <w:rsid w:val="39AE7653"/>
    <w:rsid w:val="39B0F260"/>
    <w:rsid w:val="39B125A9"/>
    <w:rsid w:val="39B935DE"/>
    <w:rsid w:val="39BCE6D8"/>
    <w:rsid w:val="39C0DCB2"/>
    <w:rsid w:val="39C35F9A"/>
    <w:rsid w:val="39C87AE9"/>
    <w:rsid w:val="39CF624B"/>
    <w:rsid w:val="39D0A72E"/>
    <w:rsid w:val="39D51F59"/>
    <w:rsid w:val="39D5A8F3"/>
    <w:rsid w:val="39D5EBE1"/>
    <w:rsid w:val="39D7BEC7"/>
    <w:rsid w:val="39DAA587"/>
    <w:rsid w:val="39DBECCE"/>
    <w:rsid w:val="39DC6349"/>
    <w:rsid w:val="39E32E5F"/>
    <w:rsid w:val="39EE194E"/>
    <w:rsid w:val="39EE21F4"/>
    <w:rsid w:val="39F3E366"/>
    <w:rsid w:val="39F4C096"/>
    <w:rsid w:val="39F76030"/>
    <w:rsid w:val="39FDDF7B"/>
    <w:rsid w:val="39FE9329"/>
    <w:rsid w:val="39FFF244"/>
    <w:rsid w:val="3A00059E"/>
    <w:rsid w:val="3A060F09"/>
    <w:rsid w:val="3A0A2DE8"/>
    <w:rsid w:val="3A15D295"/>
    <w:rsid w:val="3A16E34D"/>
    <w:rsid w:val="3A1A9BC8"/>
    <w:rsid w:val="3A1D034C"/>
    <w:rsid w:val="3A1D9508"/>
    <w:rsid w:val="3A21DAFB"/>
    <w:rsid w:val="3A2485C2"/>
    <w:rsid w:val="3A25D953"/>
    <w:rsid w:val="3A4FB731"/>
    <w:rsid w:val="3A55679C"/>
    <w:rsid w:val="3A55A9A3"/>
    <w:rsid w:val="3A5ACE38"/>
    <w:rsid w:val="3A5DC931"/>
    <w:rsid w:val="3A5E164D"/>
    <w:rsid w:val="3A5E2470"/>
    <w:rsid w:val="3A6426BC"/>
    <w:rsid w:val="3A660D4D"/>
    <w:rsid w:val="3A6668BB"/>
    <w:rsid w:val="3A6A497A"/>
    <w:rsid w:val="3A6AE812"/>
    <w:rsid w:val="3A6D9F47"/>
    <w:rsid w:val="3A75F20F"/>
    <w:rsid w:val="3A789170"/>
    <w:rsid w:val="3A7EC408"/>
    <w:rsid w:val="3A7FDCA4"/>
    <w:rsid w:val="3A86E8DA"/>
    <w:rsid w:val="3A88BE36"/>
    <w:rsid w:val="3A8AD14C"/>
    <w:rsid w:val="3A8AD304"/>
    <w:rsid w:val="3A93CC0B"/>
    <w:rsid w:val="3A990DFA"/>
    <w:rsid w:val="3A9CA1DC"/>
    <w:rsid w:val="3A9E9C11"/>
    <w:rsid w:val="3A9FC4A7"/>
    <w:rsid w:val="3AA76F6B"/>
    <w:rsid w:val="3AA89B1E"/>
    <w:rsid w:val="3AA9E9C9"/>
    <w:rsid w:val="3AAB1E65"/>
    <w:rsid w:val="3AABD54B"/>
    <w:rsid w:val="3AB35E85"/>
    <w:rsid w:val="3AB66AF0"/>
    <w:rsid w:val="3AB96E74"/>
    <w:rsid w:val="3ABB51DD"/>
    <w:rsid w:val="3AC07EC7"/>
    <w:rsid w:val="3AC281E2"/>
    <w:rsid w:val="3AC2D5F2"/>
    <w:rsid w:val="3AC340CA"/>
    <w:rsid w:val="3AC576E4"/>
    <w:rsid w:val="3AC67800"/>
    <w:rsid w:val="3AC9E169"/>
    <w:rsid w:val="3ACA9647"/>
    <w:rsid w:val="3ACC9AF8"/>
    <w:rsid w:val="3AD4A554"/>
    <w:rsid w:val="3AD4EECC"/>
    <w:rsid w:val="3ADA3F3F"/>
    <w:rsid w:val="3ADBF481"/>
    <w:rsid w:val="3AE28A04"/>
    <w:rsid w:val="3AE33C65"/>
    <w:rsid w:val="3AEEA82D"/>
    <w:rsid w:val="3AF41AD8"/>
    <w:rsid w:val="3AF71E73"/>
    <w:rsid w:val="3AF79A4D"/>
    <w:rsid w:val="3AF838DE"/>
    <w:rsid w:val="3AF86237"/>
    <w:rsid w:val="3B01D8FE"/>
    <w:rsid w:val="3B04CC19"/>
    <w:rsid w:val="3B0BE202"/>
    <w:rsid w:val="3B0C85CF"/>
    <w:rsid w:val="3B118595"/>
    <w:rsid w:val="3B1195EE"/>
    <w:rsid w:val="3B1448AC"/>
    <w:rsid w:val="3B18CC76"/>
    <w:rsid w:val="3B19CB7C"/>
    <w:rsid w:val="3B1B2A95"/>
    <w:rsid w:val="3B26D1D7"/>
    <w:rsid w:val="3B27C925"/>
    <w:rsid w:val="3B2F4C2A"/>
    <w:rsid w:val="3B32732B"/>
    <w:rsid w:val="3B3C3645"/>
    <w:rsid w:val="3B45473A"/>
    <w:rsid w:val="3B4B6CE1"/>
    <w:rsid w:val="3B4DEB73"/>
    <w:rsid w:val="3B4EE90B"/>
    <w:rsid w:val="3B55209A"/>
    <w:rsid w:val="3B55E885"/>
    <w:rsid w:val="3B5ADA61"/>
    <w:rsid w:val="3B61D59A"/>
    <w:rsid w:val="3B6321E2"/>
    <w:rsid w:val="3B63C332"/>
    <w:rsid w:val="3B66E034"/>
    <w:rsid w:val="3B6B21B7"/>
    <w:rsid w:val="3B7409D8"/>
    <w:rsid w:val="3B77ADAC"/>
    <w:rsid w:val="3B7AB11E"/>
    <w:rsid w:val="3B830FC1"/>
    <w:rsid w:val="3B84F2CB"/>
    <w:rsid w:val="3B86F74F"/>
    <w:rsid w:val="3B879C88"/>
    <w:rsid w:val="3B90AF38"/>
    <w:rsid w:val="3B922811"/>
    <w:rsid w:val="3B95182C"/>
    <w:rsid w:val="3B959FBF"/>
    <w:rsid w:val="3B95A8D8"/>
    <w:rsid w:val="3B9A2023"/>
    <w:rsid w:val="3B9B4FFF"/>
    <w:rsid w:val="3B9C4403"/>
    <w:rsid w:val="3B9C90BB"/>
    <w:rsid w:val="3B9F152E"/>
    <w:rsid w:val="3B9F5EED"/>
    <w:rsid w:val="3BA182C1"/>
    <w:rsid w:val="3BA1B81A"/>
    <w:rsid w:val="3BA2E345"/>
    <w:rsid w:val="3BA5AADD"/>
    <w:rsid w:val="3BAAE95A"/>
    <w:rsid w:val="3BB57A11"/>
    <w:rsid w:val="3BB8B143"/>
    <w:rsid w:val="3BBEF7E9"/>
    <w:rsid w:val="3BC41B3E"/>
    <w:rsid w:val="3BC809AD"/>
    <w:rsid w:val="3BC97BF2"/>
    <w:rsid w:val="3BD6043D"/>
    <w:rsid w:val="3BD6D7BB"/>
    <w:rsid w:val="3BD7F561"/>
    <w:rsid w:val="3BDE30D1"/>
    <w:rsid w:val="3BDE3D43"/>
    <w:rsid w:val="3BE32D01"/>
    <w:rsid w:val="3BE8B0A5"/>
    <w:rsid w:val="3BE9FF50"/>
    <w:rsid w:val="3BEC1B0B"/>
    <w:rsid w:val="3BEF7ED5"/>
    <w:rsid w:val="3BF0BBCF"/>
    <w:rsid w:val="3BF972EC"/>
    <w:rsid w:val="3C002E5B"/>
    <w:rsid w:val="3C090FE6"/>
    <w:rsid w:val="3C0974C6"/>
    <w:rsid w:val="3C0BC73A"/>
    <w:rsid w:val="3C134230"/>
    <w:rsid w:val="3C14372F"/>
    <w:rsid w:val="3C152B5B"/>
    <w:rsid w:val="3C20B810"/>
    <w:rsid w:val="3C237416"/>
    <w:rsid w:val="3C24624C"/>
    <w:rsid w:val="3C2C3A55"/>
    <w:rsid w:val="3C2E33D5"/>
    <w:rsid w:val="3C312AC2"/>
    <w:rsid w:val="3C31FA63"/>
    <w:rsid w:val="3C35E5B2"/>
    <w:rsid w:val="3C373590"/>
    <w:rsid w:val="3C3891D4"/>
    <w:rsid w:val="3C3BBB27"/>
    <w:rsid w:val="3C4421F9"/>
    <w:rsid w:val="3C44C8A8"/>
    <w:rsid w:val="3C47B421"/>
    <w:rsid w:val="3C47CEFE"/>
    <w:rsid w:val="3C4BF9DF"/>
    <w:rsid w:val="3C50E789"/>
    <w:rsid w:val="3C553BB4"/>
    <w:rsid w:val="3C56DCF1"/>
    <w:rsid w:val="3C57EB81"/>
    <w:rsid w:val="3C5AF6F4"/>
    <w:rsid w:val="3C5B9460"/>
    <w:rsid w:val="3C624AC6"/>
    <w:rsid w:val="3C64CB9A"/>
    <w:rsid w:val="3C6C0EFF"/>
    <w:rsid w:val="3C6E815D"/>
    <w:rsid w:val="3C7455ED"/>
    <w:rsid w:val="3C754770"/>
    <w:rsid w:val="3C77B068"/>
    <w:rsid w:val="3C77C51A"/>
    <w:rsid w:val="3C79A9B1"/>
    <w:rsid w:val="3C7BE7B3"/>
    <w:rsid w:val="3C7E2973"/>
    <w:rsid w:val="3C7F97DA"/>
    <w:rsid w:val="3C8803CF"/>
    <w:rsid w:val="3C88B988"/>
    <w:rsid w:val="3C8B2D56"/>
    <w:rsid w:val="3C8DAFF9"/>
    <w:rsid w:val="3C8F1E5F"/>
    <w:rsid w:val="3C986370"/>
    <w:rsid w:val="3C986704"/>
    <w:rsid w:val="3C98BACC"/>
    <w:rsid w:val="3C9E8A81"/>
    <w:rsid w:val="3CA2263A"/>
    <w:rsid w:val="3CA920B5"/>
    <w:rsid w:val="3CAC8020"/>
    <w:rsid w:val="3CAD67FD"/>
    <w:rsid w:val="3CAF4DAD"/>
    <w:rsid w:val="3CB250A0"/>
    <w:rsid w:val="3CBCB079"/>
    <w:rsid w:val="3CBF3D25"/>
    <w:rsid w:val="3CBFD1D1"/>
    <w:rsid w:val="3CC23A2A"/>
    <w:rsid w:val="3CC4158F"/>
    <w:rsid w:val="3CCD31DA"/>
    <w:rsid w:val="3CCEE45A"/>
    <w:rsid w:val="3CCF1DBC"/>
    <w:rsid w:val="3CD08468"/>
    <w:rsid w:val="3CD538AC"/>
    <w:rsid w:val="3CD7527A"/>
    <w:rsid w:val="3CD7BE1B"/>
    <w:rsid w:val="3CE0D870"/>
    <w:rsid w:val="3CE1D3C8"/>
    <w:rsid w:val="3CE45B54"/>
    <w:rsid w:val="3CE485F9"/>
    <w:rsid w:val="3CE8393F"/>
    <w:rsid w:val="3CE9D1E3"/>
    <w:rsid w:val="3CECAE0C"/>
    <w:rsid w:val="3CF55110"/>
    <w:rsid w:val="3CF85E89"/>
    <w:rsid w:val="3CFB4C02"/>
    <w:rsid w:val="3CFC2E30"/>
    <w:rsid w:val="3CFCD59B"/>
    <w:rsid w:val="3CFF200C"/>
    <w:rsid w:val="3D001719"/>
    <w:rsid w:val="3D02CCFE"/>
    <w:rsid w:val="3D03A2A9"/>
    <w:rsid w:val="3D049B76"/>
    <w:rsid w:val="3D05303B"/>
    <w:rsid w:val="3D0F9F4E"/>
    <w:rsid w:val="3D145226"/>
    <w:rsid w:val="3D193395"/>
    <w:rsid w:val="3D1CA9E5"/>
    <w:rsid w:val="3D20BF0E"/>
    <w:rsid w:val="3D22B4C3"/>
    <w:rsid w:val="3D2505A3"/>
    <w:rsid w:val="3D26C072"/>
    <w:rsid w:val="3D27E47A"/>
    <w:rsid w:val="3D32FA3A"/>
    <w:rsid w:val="3D44B955"/>
    <w:rsid w:val="3D464D67"/>
    <w:rsid w:val="3D4CC1FE"/>
    <w:rsid w:val="3D4EE9F3"/>
    <w:rsid w:val="3D4FC72B"/>
    <w:rsid w:val="3D51A374"/>
    <w:rsid w:val="3D52B8AC"/>
    <w:rsid w:val="3D53E872"/>
    <w:rsid w:val="3D54F356"/>
    <w:rsid w:val="3D560F2B"/>
    <w:rsid w:val="3D59D79C"/>
    <w:rsid w:val="3D5D1FA2"/>
    <w:rsid w:val="3D5F69E2"/>
    <w:rsid w:val="3D604152"/>
    <w:rsid w:val="3D652B08"/>
    <w:rsid w:val="3D67B7CF"/>
    <w:rsid w:val="3D6BB031"/>
    <w:rsid w:val="3D6C5EA2"/>
    <w:rsid w:val="3D70D9B8"/>
    <w:rsid w:val="3D70EE6F"/>
    <w:rsid w:val="3D73D503"/>
    <w:rsid w:val="3D81D488"/>
    <w:rsid w:val="3D83FA2B"/>
    <w:rsid w:val="3D8DF57C"/>
    <w:rsid w:val="3D8E684E"/>
    <w:rsid w:val="3D93E33E"/>
    <w:rsid w:val="3D97599A"/>
    <w:rsid w:val="3D9DDAD2"/>
    <w:rsid w:val="3D9E4CB6"/>
    <w:rsid w:val="3DAAB7A4"/>
    <w:rsid w:val="3DAADCAD"/>
    <w:rsid w:val="3DAB260F"/>
    <w:rsid w:val="3DB12693"/>
    <w:rsid w:val="3DB7E690"/>
    <w:rsid w:val="3DB8F9FD"/>
    <w:rsid w:val="3DB96102"/>
    <w:rsid w:val="3DB9CC07"/>
    <w:rsid w:val="3DBC4A7A"/>
    <w:rsid w:val="3DC3738B"/>
    <w:rsid w:val="3DC7C8C1"/>
    <w:rsid w:val="3DC9B127"/>
    <w:rsid w:val="3DCC853E"/>
    <w:rsid w:val="3DCD458A"/>
    <w:rsid w:val="3DCD546C"/>
    <w:rsid w:val="3DCD9A11"/>
    <w:rsid w:val="3DCE4B78"/>
    <w:rsid w:val="3DD292CF"/>
    <w:rsid w:val="3DD9476E"/>
    <w:rsid w:val="3DDC57DA"/>
    <w:rsid w:val="3DE3A8AA"/>
    <w:rsid w:val="3DE52B79"/>
    <w:rsid w:val="3DEC3BA6"/>
    <w:rsid w:val="3DEDC045"/>
    <w:rsid w:val="3DEF0B06"/>
    <w:rsid w:val="3DF0E1EF"/>
    <w:rsid w:val="3DF2490D"/>
    <w:rsid w:val="3DF488BE"/>
    <w:rsid w:val="3DF83850"/>
    <w:rsid w:val="3DF88FB7"/>
    <w:rsid w:val="3DFAE2A8"/>
    <w:rsid w:val="3E063D5E"/>
    <w:rsid w:val="3E06C905"/>
    <w:rsid w:val="3E08952D"/>
    <w:rsid w:val="3E0AACE1"/>
    <w:rsid w:val="3E0CCB7B"/>
    <w:rsid w:val="3E0E6D39"/>
    <w:rsid w:val="3E101F4F"/>
    <w:rsid w:val="3E12B48B"/>
    <w:rsid w:val="3E15A540"/>
    <w:rsid w:val="3E1C6B0E"/>
    <w:rsid w:val="3E1DBE79"/>
    <w:rsid w:val="3E21072D"/>
    <w:rsid w:val="3E24B621"/>
    <w:rsid w:val="3E24BCFB"/>
    <w:rsid w:val="3E27367F"/>
    <w:rsid w:val="3E282A56"/>
    <w:rsid w:val="3E282CF0"/>
    <w:rsid w:val="3E28715D"/>
    <w:rsid w:val="3E29B60C"/>
    <w:rsid w:val="3E30FB72"/>
    <w:rsid w:val="3E34A06E"/>
    <w:rsid w:val="3E3669DF"/>
    <w:rsid w:val="3E3F1A7C"/>
    <w:rsid w:val="3E458EDF"/>
    <w:rsid w:val="3E46A1A1"/>
    <w:rsid w:val="3E4779CD"/>
    <w:rsid w:val="3E479282"/>
    <w:rsid w:val="3E479CE5"/>
    <w:rsid w:val="3E48C01A"/>
    <w:rsid w:val="3E4989C8"/>
    <w:rsid w:val="3E4A735C"/>
    <w:rsid w:val="3E4BC0A9"/>
    <w:rsid w:val="3E537613"/>
    <w:rsid w:val="3E541978"/>
    <w:rsid w:val="3E58AA50"/>
    <w:rsid w:val="3E62736E"/>
    <w:rsid w:val="3E642ECF"/>
    <w:rsid w:val="3E66A040"/>
    <w:rsid w:val="3E735F54"/>
    <w:rsid w:val="3E75D031"/>
    <w:rsid w:val="3E75EF50"/>
    <w:rsid w:val="3E769682"/>
    <w:rsid w:val="3E7761AF"/>
    <w:rsid w:val="3E7B3304"/>
    <w:rsid w:val="3E7BCC1E"/>
    <w:rsid w:val="3E8AFCC2"/>
    <w:rsid w:val="3E8F6D9C"/>
    <w:rsid w:val="3E9031DB"/>
    <w:rsid w:val="3E925260"/>
    <w:rsid w:val="3E938E4E"/>
    <w:rsid w:val="3E9B2AD3"/>
    <w:rsid w:val="3EA425A3"/>
    <w:rsid w:val="3EA4A2DD"/>
    <w:rsid w:val="3EA89A7D"/>
    <w:rsid w:val="3EAA03AF"/>
    <w:rsid w:val="3EB0437D"/>
    <w:rsid w:val="3EB2B718"/>
    <w:rsid w:val="3EB3E144"/>
    <w:rsid w:val="3EB70C86"/>
    <w:rsid w:val="3EB75F7B"/>
    <w:rsid w:val="3EB7D7D0"/>
    <w:rsid w:val="3EBBEA61"/>
    <w:rsid w:val="3EBC4E79"/>
    <w:rsid w:val="3EBD0D41"/>
    <w:rsid w:val="3EC09DD7"/>
    <w:rsid w:val="3EC1499C"/>
    <w:rsid w:val="3ECB312F"/>
    <w:rsid w:val="3ECFD730"/>
    <w:rsid w:val="3ED358FA"/>
    <w:rsid w:val="3ED50071"/>
    <w:rsid w:val="3ED8AF72"/>
    <w:rsid w:val="3EDA2FF4"/>
    <w:rsid w:val="3EDC0001"/>
    <w:rsid w:val="3EDC5F94"/>
    <w:rsid w:val="3EEAED5A"/>
    <w:rsid w:val="3EF2F181"/>
    <w:rsid w:val="3EF5D69A"/>
    <w:rsid w:val="3EF61F5D"/>
    <w:rsid w:val="3F0331FF"/>
    <w:rsid w:val="3F037F72"/>
    <w:rsid w:val="3F050869"/>
    <w:rsid w:val="3F064E7F"/>
    <w:rsid w:val="3F083C1B"/>
    <w:rsid w:val="3F095AF7"/>
    <w:rsid w:val="3F0C8948"/>
    <w:rsid w:val="3F1177DB"/>
    <w:rsid w:val="3F11A68F"/>
    <w:rsid w:val="3F11BEDF"/>
    <w:rsid w:val="3F12E3AF"/>
    <w:rsid w:val="3F15BDCD"/>
    <w:rsid w:val="3F169A45"/>
    <w:rsid w:val="3F17F325"/>
    <w:rsid w:val="3F18407E"/>
    <w:rsid w:val="3F187DCB"/>
    <w:rsid w:val="3F1966FB"/>
    <w:rsid w:val="3F1972C4"/>
    <w:rsid w:val="3F1D92E0"/>
    <w:rsid w:val="3F1D9667"/>
    <w:rsid w:val="3F1FEA39"/>
    <w:rsid w:val="3F24A156"/>
    <w:rsid w:val="3F255A25"/>
    <w:rsid w:val="3F288077"/>
    <w:rsid w:val="3F2BB13C"/>
    <w:rsid w:val="3F2EA628"/>
    <w:rsid w:val="3F34BC76"/>
    <w:rsid w:val="3F3C5E87"/>
    <w:rsid w:val="3F4265A5"/>
    <w:rsid w:val="3F442C58"/>
    <w:rsid w:val="3F47F11B"/>
    <w:rsid w:val="3F484ECD"/>
    <w:rsid w:val="3F485E21"/>
    <w:rsid w:val="3F52D9F1"/>
    <w:rsid w:val="3F55F421"/>
    <w:rsid w:val="3F56A481"/>
    <w:rsid w:val="3F58240D"/>
    <w:rsid w:val="3F6241F7"/>
    <w:rsid w:val="3F6A0787"/>
    <w:rsid w:val="3F6BEA02"/>
    <w:rsid w:val="3F6CD057"/>
    <w:rsid w:val="3F72F07D"/>
    <w:rsid w:val="3F793F5C"/>
    <w:rsid w:val="3F796777"/>
    <w:rsid w:val="3F7C0DE1"/>
    <w:rsid w:val="3F7DAF6E"/>
    <w:rsid w:val="3F82C87D"/>
    <w:rsid w:val="3F85001A"/>
    <w:rsid w:val="3F8AFAD1"/>
    <w:rsid w:val="3F8EAE7B"/>
    <w:rsid w:val="3F918F9E"/>
    <w:rsid w:val="3F9463C3"/>
    <w:rsid w:val="3F94C2B6"/>
    <w:rsid w:val="3F970CD2"/>
    <w:rsid w:val="3F9A88F0"/>
    <w:rsid w:val="3F9CE3A4"/>
    <w:rsid w:val="3F9E685C"/>
    <w:rsid w:val="3F9F52F1"/>
    <w:rsid w:val="3FA327AF"/>
    <w:rsid w:val="3FA9DA16"/>
    <w:rsid w:val="3FAE6705"/>
    <w:rsid w:val="3FAE86AA"/>
    <w:rsid w:val="3FB2C805"/>
    <w:rsid w:val="3FB3AB76"/>
    <w:rsid w:val="3FB63F72"/>
    <w:rsid w:val="3FB8938F"/>
    <w:rsid w:val="3FBB9E15"/>
    <w:rsid w:val="3FBEC18E"/>
    <w:rsid w:val="3FC00086"/>
    <w:rsid w:val="3FC380E5"/>
    <w:rsid w:val="3FC42D8E"/>
    <w:rsid w:val="3FCA9610"/>
    <w:rsid w:val="3FCC58A9"/>
    <w:rsid w:val="3FCD7DB7"/>
    <w:rsid w:val="3FCF8C88"/>
    <w:rsid w:val="3FD24056"/>
    <w:rsid w:val="3FD2D168"/>
    <w:rsid w:val="3FD6E099"/>
    <w:rsid w:val="3FDA90BA"/>
    <w:rsid w:val="3FDCCC85"/>
    <w:rsid w:val="3FE05FA1"/>
    <w:rsid w:val="3FE45DFB"/>
    <w:rsid w:val="3FEBFEA8"/>
    <w:rsid w:val="3FED2C70"/>
    <w:rsid w:val="3FEF3E5E"/>
    <w:rsid w:val="3FF61431"/>
    <w:rsid w:val="3FF93D36"/>
    <w:rsid w:val="3FFAB156"/>
    <w:rsid w:val="40000197"/>
    <w:rsid w:val="400C64BE"/>
    <w:rsid w:val="401165A3"/>
    <w:rsid w:val="4014019B"/>
    <w:rsid w:val="4016840E"/>
    <w:rsid w:val="40195351"/>
    <w:rsid w:val="401BDDB9"/>
    <w:rsid w:val="40231CB8"/>
    <w:rsid w:val="402B64B3"/>
    <w:rsid w:val="40307C87"/>
    <w:rsid w:val="4032E140"/>
    <w:rsid w:val="40336F40"/>
    <w:rsid w:val="40356636"/>
    <w:rsid w:val="40359AD4"/>
    <w:rsid w:val="404683BB"/>
    <w:rsid w:val="404B95CA"/>
    <w:rsid w:val="404C492A"/>
    <w:rsid w:val="404F5911"/>
    <w:rsid w:val="4055D658"/>
    <w:rsid w:val="4055FFD6"/>
    <w:rsid w:val="4058ADB6"/>
    <w:rsid w:val="4061067A"/>
    <w:rsid w:val="4066F106"/>
    <w:rsid w:val="40670508"/>
    <w:rsid w:val="40670743"/>
    <w:rsid w:val="406B7A09"/>
    <w:rsid w:val="406D0EF1"/>
    <w:rsid w:val="406E41EF"/>
    <w:rsid w:val="40782D21"/>
    <w:rsid w:val="4079F3E9"/>
    <w:rsid w:val="407E62D1"/>
    <w:rsid w:val="407E6E09"/>
    <w:rsid w:val="40830E9A"/>
    <w:rsid w:val="40904BD0"/>
    <w:rsid w:val="40925407"/>
    <w:rsid w:val="4093ADFA"/>
    <w:rsid w:val="4093D995"/>
    <w:rsid w:val="409632B4"/>
    <w:rsid w:val="409797FC"/>
    <w:rsid w:val="409B3205"/>
    <w:rsid w:val="409D263A"/>
    <w:rsid w:val="40A22BF6"/>
    <w:rsid w:val="40A66363"/>
    <w:rsid w:val="40A92E78"/>
    <w:rsid w:val="40ADB7F8"/>
    <w:rsid w:val="40B04BD0"/>
    <w:rsid w:val="40B3A6BA"/>
    <w:rsid w:val="40BA3866"/>
    <w:rsid w:val="40BF31C0"/>
    <w:rsid w:val="40C02B58"/>
    <w:rsid w:val="40C0A808"/>
    <w:rsid w:val="40C22E92"/>
    <w:rsid w:val="40C3F8B4"/>
    <w:rsid w:val="40C5B761"/>
    <w:rsid w:val="40C7C014"/>
    <w:rsid w:val="40CCDF31"/>
    <w:rsid w:val="40CEA0D4"/>
    <w:rsid w:val="40D93B2F"/>
    <w:rsid w:val="40D9DEBA"/>
    <w:rsid w:val="40E070F1"/>
    <w:rsid w:val="40E07C8F"/>
    <w:rsid w:val="40E16B94"/>
    <w:rsid w:val="40E37796"/>
    <w:rsid w:val="40E71CEA"/>
    <w:rsid w:val="40E727F1"/>
    <w:rsid w:val="40F6EA47"/>
    <w:rsid w:val="40F89EDF"/>
    <w:rsid w:val="40FB40C8"/>
    <w:rsid w:val="40FBBC7A"/>
    <w:rsid w:val="4100DD9E"/>
    <w:rsid w:val="41015B3E"/>
    <w:rsid w:val="41046991"/>
    <w:rsid w:val="4107A659"/>
    <w:rsid w:val="4108CBA0"/>
    <w:rsid w:val="410C35C4"/>
    <w:rsid w:val="410DA086"/>
    <w:rsid w:val="410DB995"/>
    <w:rsid w:val="4111F4C1"/>
    <w:rsid w:val="411243E8"/>
    <w:rsid w:val="41158F56"/>
    <w:rsid w:val="411F61A9"/>
    <w:rsid w:val="41290FE8"/>
    <w:rsid w:val="412E0EA3"/>
    <w:rsid w:val="413165E5"/>
    <w:rsid w:val="4133E8FF"/>
    <w:rsid w:val="413458FD"/>
    <w:rsid w:val="413FE2EF"/>
    <w:rsid w:val="41461EC2"/>
    <w:rsid w:val="4147012F"/>
    <w:rsid w:val="414760BB"/>
    <w:rsid w:val="41485829"/>
    <w:rsid w:val="414BFF72"/>
    <w:rsid w:val="4150871E"/>
    <w:rsid w:val="41555005"/>
    <w:rsid w:val="4158EC67"/>
    <w:rsid w:val="415C273A"/>
    <w:rsid w:val="415C9127"/>
    <w:rsid w:val="415D43FC"/>
    <w:rsid w:val="416049B1"/>
    <w:rsid w:val="4162E489"/>
    <w:rsid w:val="41630873"/>
    <w:rsid w:val="4167D470"/>
    <w:rsid w:val="41694CEC"/>
    <w:rsid w:val="4170FE7E"/>
    <w:rsid w:val="41714091"/>
    <w:rsid w:val="41775C7C"/>
    <w:rsid w:val="417F8C4A"/>
    <w:rsid w:val="418A24A3"/>
    <w:rsid w:val="418B6D70"/>
    <w:rsid w:val="418D8DCC"/>
    <w:rsid w:val="41948504"/>
    <w:rsid w:val="419E93AD"/>
    <w:rsid w:val="41A17E75"/>
    <w:rsid w:val="41A2FE92"/>
    <w:rsid w:val="41A45845"/>
    <w:rsid w:val="41A49B6D"/>
    <w:rsid w:val="41A6DD20"/>
    <w:rsid w:val="41A8E960"/>
    <w:rsid w:val="41AD60A0"/>
    <w:rsid w:val="41AD7E2E"/>
    <w:rsid w:val="41B12246"/>
    <w:rsid w:val="41BD27E0"/>
    <w:rsid w:val="41BD4BD8"/>
    <w:rsid w:val="41BDE31F"/>
    <w:rsid w:val="41C9C64D"/>
    <w:rsid w:val="41C9F7BB"/>
    <w:rsid w:val="41CA80AC"/>
    <w:rsid w:val="41D04E93"/>
    <w:rsid w:val="41D139F6"/>
    <w:rsid w:val="41D37675"/>
    <w:rsid w:val="41D6DD83"/>
    <w:rsid w:val="41D76D72"/>
    <w:rsid w:val="41E269B6"/>
    <w:rsid w:val="41E61072"/>
    <w:rsid w:val="41E69F1F"/>
    <w:rsid w:val="41E7216B"/>
    <w:rsid w:val="41E89F1D"/>
    <w:rsid w:val="41EC110A"/>
    <w:rsid w:val="41F05F20"/>
    <w:rsid w:val="41F78EF2"/>
    <w:rsid w:val="41F85CE4"/>
    <w:rsid w:val="41FD6B75"/>
    <w:rsid w:val="42028A55"/>
    <w:rsid w:val="4202C99A"/>
    <w:rsid w:val="42069439"/>
    <w:rsid w:val="4209CC9C"/>
    <w:rsid w:val="420CF664"/>
    <w:rsid w:val="42135C8F"/>
    <w:rsid w:val="4217D981"/>
    <w:rsid w:val="421A8BE7"/>
    <w:rsid w:val="421C1C57"/>
    <w:rsid w:val="421D2F90"/>
    <w:rsid w:val="421E4C8F"/>
    <w:rsid w:val="421E97E4"/>
    <w:rsid w:val="4222E1F9"/>
    <w:rsid w:val="4223D5BA"/>
    <w:rsid w:val="4225A19F"/>
    <w:rsid w:val="422E37F9"/>
    <w:rsid w:val="422FAC42"/>
    <w:rsid w:val="4235C407"/>
    <w:rsid w:val="4236F49E"/>
    <w:rsid w:val="423BE597"/>
    <w:rsid w:val="42431A6A"/>
    <w:rsid w:val="42467461"/>
    <w:rsid w:val="42470E82"/>
    <w:rsid w:val="424EF207"/>
    <w:rsid w:val="4258C8AB"/>
    <w:rsid w:val="425B8859"/>
    <w:rsid w:val="425C6010"/>
    <w:rsid w:val="425DDC7E"/>
    <w:rsid w:val="425DDE50"/>
    <w:rsid w:val="425E2DD7"/>
    <w:rsid w:val="425E66F3"/>
    <w:rsid w:val="4260E626"/>
    <w:rsid w:val="426114CC"/>
    <w:rsid w:val="4261993F"/>
    <w:rsid w:val="42663823"/>
    <w:rsid w:val="4268630D"/>
    <w:rsid w:val="426B41A7"/>
    <w:rsid w:val="426B6119"/>
    <w:rsid w:val="426DC940"/>
    <w:rsid w:val="426E64FE"/>
    <w:rsid w:val="426FF7B7"/>
    <w:rsid w:val="42728EBE"/>
    <w:rsid w:val="42741819"/>
    <w:rsid w:val="42743CC8"/>
    <w:rsid w:val="427747E1"/>
    <w:rsid w:val="427D337A"/>
    <w:rsid w:val="427FE44F"/>
    <w:rsid w:val="42822BD7"/>
    <w:rsid w:val="428AF40F"/>
    <w:rsid w:val="428BBCCB"/>
    <w:rsid w:val="42909BBE"/>
    <w:rsid w:val="4292B829"/>
    <w:rsid w:val="42958CAA"/>
    <w:rsid w:val="42997E2A"/>
    <w:rsid w:val="4299E589"/>
    <w:rsid w:val="429C58DD"/>
    <w:rsid w:val="429CB7C6"/>
    <w:rsid w:val="429E05C8"/>
    <w:rsid w:val="42A0A981"/>
    <w:rsid w:val="42A1C47C"/>
    <w:rsid w:val="42A984CE"/>
    <w:rsid w:val="42B02F46"/>
    <w:rsid w:val="42B1C9E4"/>
    <w:rsid w:val="42B2D446"/>
    <w:rsid w:val="42B51500"/>
    <w:rsid w:val="42C25756"/>
    <w:rsid w:val="42C5AEB0"/>
    <w:rsid w:val="42C5EED3"/>
    <w:rsid w:val="42C7BF40"/>
    <w:rsid w:val="42D1CA2A"/>
    <w:rsid w:val="42D5090D"/>
    <w:rsid w:val="42D5F92E"/>
    <w:rsid w:val="42D866C7"/>
    <w:rsid w:val="42DBDB33"/>
    <w:rsid w:val="42DC39CE"/>
    <w:rsid w:val="42DCECE1"/>
    <w:rsid w:val="42DD41ED"/>
    <w:rsid w:val="42DD5295"/>
    <w:rsid w:val="42E2C8AE"/>
    <w:rsid w:val="42E53C1E"/>
    <w:rsid w:val="42E5E243"/>
    <w:rsid w:val="42E8F369"/>
    <w:rsid w:val="42EAE532"/>
    <w:rsid w:val="42EC2092"/>
    <w:rsid w:val="42EE5611"/>
    <w:rsid w:val="42EED946"/>
    <w:rsid w:val="42F3AB13"/>
    <w:rsid w:val="42F87AE0"/>
    <w:rsid w:val="42F97D62"/>
    <w:rsid w:val="42FD0CA9"/>
    <w:rsid w:val="42FF3771"/>
    <w:rsid w:val="42FF6979"/>
    <w:rsid w:val="4301FC54"/>
    <w:rsid w:val="43076A7D"/>
    <w:rsid w:val="4307A9F6"/>
    <w:rsid w:val="43083A7B"/>
    <w:rsid w:val="430DC9D5"/>
    <w:rsid w:val="4311799A"/>
    <w:rsid w:val="431404A6"/>
    <w:rsid w:val="43176142"/>
    <w:rsid w:val="431C2F4B"/>
    <w:rsid w:val="431C9CA3"/>
    <w:rsid w:val="431CDB17"/>
    <w:rsid w:val="432035CF"/>
    <w:rsid w:val="43205262"/>
    <w:rsid w:val="43279151"/>
    <w:rsid w:val="4328758C"/>
    <w:rsid w:val="43295C65"/>
    <w:rsid w:val="43325EF5"/>
    <w:rsid w:val="43339EFF"/>
    <w:rsid w:val="4335B1ED"/>
    <w:rsid w:val="4336FDF3"/>
    <w:rsid w:val="433F9C19"/>
    <w:rsid w:val="43418244"/>
    <w:rsid w:val="434204F8"/>
    <w:rsid w:val="43420A6B"/>
    <w:rsid w:val="4348EA71"/>
    <w:rsid w:val="4349A6DA"/>
    <w:rsid w:val="434C7CF1"/>
    <w:rsid w:val="434ECF16"/>
    <w:rsid w:val="4356753A"/>
    <w:rsid w:val="435CCC7E"/>
    <w:rsid w:val="43660D03"/>
    <w:rsid w:val="43674B2F"/>
    <w:rsid w:val="43687D4A"/>
    <w:rsid w:val="436AED42"/>
    <w:rsid w:val="436CE470"/>
    <w:rsid w:val="43700784"/>
    <w:rsid w:val="4371A8E4"/>
    <w:rsid w:val="43732738"/>
    <w:rsid w:val="4373E541"/>
    <w:rsid w:val="437470EE"/>
    <w:rsid w:val="437BFF08"/>
    <w:rsid w:val="437C1A86"/>
    <w:rsid w:val="437C4DE1"/>
    <w:rsid w:val="43801D38"/>
    <w:rsid w:val="4380C303"/>
    <w:rsid w:val="4382E7E7"/>
    <w:rsid w:val="43878405"/>
    <w:rsid w:val="438912D0"/>
    <w:rsid w:val="438CA7AC"/>
    <w:rsid w:val="438CB6B8"/>
    <w:rsid w:val="4392DA1B"/>
    <w:rsid w:val="439300F5"/>
    <w:rsid w:val="4398D44D"/>
    <w:rsid w:val="4398D4BD"/>
    <w:rsid w:val="439F5EE6"/>
    <w:rsid w:val="43A0BAE7"/>
    <w:rsid w:val="43A1A6E2"/>
    <w:rsid w:val="43A68197"/>
    <w:rsid w:val="43A86671"/>
    <w:rsid w:val="43A8DA52"/>
    <w:rsid w:val="43AFF173"/>
    <w:rsid w:val="43B5FB05"/>
    <w:rsid w:val="43B7AC00"/>
    <w:rsid w:val="43B86A32"/>
    <w:rsid w:val="43B93EBC"/>
    <w:rsid w:val="43BA7ED2"/>
    <w:rsid w:val="43BD92F2"/>
    <w:rsid w:val="43C21D4B"/>
    <w:rsid w:val="43CA0C13"/>
    <w:rsid w:val="43CB496A"/>
    <w:rsid w:val="43CC3757"/>
    <w:rsid w:val="43CF518B"/>
    <w:rsid w:val="43D305C9"/>
    <w:rsid w:val="43D6E268"/>
    <w:rsid w:val="43D73B49"/>
    <w:rsid w:val="43DA7E6A"/>
    <w:rsid w:val="43DB34C2"/>
    <w:rsid w:val="43DF714C"/>
    <w:rsid w:val="43E0AFA8"/>
    <w:rsid w:val="43EAD05C"/>
    <w:rsid w:val="43EBF7B2"/>
    <w:rsid w:val="43EC50C0"/>
    <w:rsid w:val="43F2DB81"/>
    <w:rsid w:val="43F48993"/>
    <w:rsid w:val="43F4CF21"/>
    <w:rsid w:val="43F4D690"/>
    <w:rsid w:val="43F6100E"/>
    <w:rsid w:val="43F9E6B9"/>
    <w:rsid w:val="43FD708A"/>
    <w:rsid w:val="43FE37C5"/>
    <w:rsid w:val="43FF2A38"/>
    <w:rsid w:val="43FFA081"/>
    <w:rsid w:val="43FFC4A5"/>
    <w:rsid w:val="44049B34"/>
    <w:rsid w:val="4408F42C"/>
    <w:rsid w:val="4409F04A"/>
    <w:rsid w:val="4411B807"/>
    <w:rsid w:val="441243E7"/>
    <w:rsid w:val="441310AD"/>
    <w:rsid w:val="441362E9"/>
    <w:rsid w:val="44145CE6"/>
    <w:rsid w:val="441EE261"/>
    <w:rsid w:val="441F1A6B"/>
    <w:rsid w:val="441F7559"/>
    <w:rsid w:val="4420CD65"/>
    <w:rsid w:val="4421BF94"/>
    <w:rsid w:val="4428C850"/>
    <w:rsid w:val="442AB355"/>
    <w:rsid w:val="442C4A48"/>
    <w:rsid w:val="442CCCBA"/>
    <w:rsid w:val="44329331"/>
    <w:rsid w:val="4433A856"/>
    <w:rsid w:val="443513AC"/>
    <w:rsid w:val="44401A42"/>
    <w:rsid w:val="44407E48"/>
    <w:rsid w:val="44416316"/>
    <w:rsid w:val="4442AE34"/>
    <w:rsid w:val="44489259"/>
    <w:rsid w:val="44491B26"/>
    <w:rsid w:val="444943CC"/>
    <w:rsid w:val="444D2930"/>
    <w:rsid w:val="444FEEED"/>
    <w:rsid w:val="44504A66"/>
    <w:rsid w:val="44534F00"/>
    <w:rsid w:val="44537A5B"/>
    <w:rsid w:val="44581386"/>
    <w:rsid w:val="4458974D"/>
    <w:rsid w:val="445A3BD7"/>
    <w:rsid w:val="446060D7"/>
    <w:rsid w:val="4461F595"/>
    <w:rsid w:val="44653358"/>
    <w:rsid w:val="44678A14"/>
    <w:rsid w:val="44678EFB"/>
    <w:rsid w:val="446DB0C0"/>
    <w:rsid w:val="446EEA2D"/>
    <w:rsid w:val="4473ADA3"/>
    <w:rsid w:val="447A004B"/>
    <w:rsid w:val="447B7767"/>
    <w:rsid w:val="447CC8FA"/>
    <w:rsid w:val="447D8FD0"/>
    <w:rsid w:val="44821376"/>
    <w:rsid w:val="448A2B1F"/>
    <w:rsid w:val="448B3FC1"/>
    <w:rsid w:val="448CBE05"/>
    <w:rsid w:val="448CD8F7"/>
    <w:rsid w:val="448E9F65"/>
    <w:rsid w:val="4495E844"/>
    <w:rsid w:val="44964514"/>
    <w:rsid w:val="449A6BEA"/>
    <w:rsid w:val="449E26BD"/>
    <w:rsid w:val="44A3099E"/>
    <w:rsid w:val="44A386C3"/>
    <w:rsid w:val="44A43CAE"/>
    <w:rsid w:val="44A83C8B"/>
    <w:rsid w:val="44ADEB55"/>
    <w:rsid w:val="44B02447"/>
    <w:rsid w:val="44B0AC78"/>
    <w:rsid w:val="44B15B0D"/>
    <w:rsid w:val="44B3D55E"/>
    <w:rsid w:val="44B7551D"/>
    <w:rsid w:val="44B81CF7"/>
    <w:rsid w:val="44BFA72C"/>
    <w:rsid w:val="44C5CF45"/>
    <w:rsid w:val="44C5E594"/>
    <w:rsid w:val="44C7597C"/>
    <w:rsid w:val="44CA0C19"/>
    <w:rsid w:val="44CB61E2"/>
    <w:rsid w:val="44DABD7F"/>
    <w:rsid w:val="44DBA655"/>
    <w:rsid w:val="44DD2C80"/>
    <w:rsid w:val="44DD709D"/>
    <w:rsid w:val="44DE21F3"/>
    <w:rsid w:val="44E097DE"/>
    <w:rsid w:val="44EAB88B"/>
    <w:rsid w:val="44EDF793"/>
    <w:rsid w:val="44EDFF4C"/>
    <w:rsid w:val="44EE3794"/>
    <w:rsid w:val="44F0704B"/>
    <w:rsid w:val="44F08329"/>
    <w:rsid w:val="44F179DC"/>
    <w:rsid w:val="44F2429F"/>
    <w:rsid w:val="44F3CBD0"/>
    <w:rsid w:val="44F40C44"/>
    <w:rsid w:val="44FBFDCB"/>
    <w:rsid w:val="44FEB03A"/>
    <w:rsid w:val="45027106"/>
    <w:rsid w:val="4502CF84"/>
    <w:rsid w:val="450FC6CD"/>
    <w:rsid w:val="45118EF0"/>
    <w:rsid w:val="45125D7F"/>
    <w:rsid w:val="45132936"/>
    <w:rsid w:val="4513A819"/>
    <w:rsid w:val="45157A2A"/>
    <w:rsid w:val="451C55BE"/>
    <w:rsid w:val="452285CA"/>
    <w:rsid w:val="4524C8A1"/>
    <w:rsid w:val="452E4247"/>
    <w:rsid w:val="4531D76C"/>
    <w:rsid w:val="4533A7D0"/>
    <w:rsid w:val="45390D9D"/>
    <w:rsid w:val="4539C841"/>
    <w:rsid w:val="453D9CD4"/>
    <w:rsid w:val="453F3FB6"/>
    <w:rsid w:val="453F63C0"/>
    <w:rsid w:val="4544776D"/>
    <w:rsid w:val="4544AB74"/>
    <w:rsid w:val="45478795"/>
    <w:rsid w:val="454B60B1"/>
    <w:rsid w:val="45553F8F"/>
    <w:rsid w:val="455589D2"/>
    <w:rsid w:val="455BBEF4"/>
    <w:rsid w:val="455C3D7A"/>
    <w:rsid w:val="455E6830"/>
    <w:rsid w:val="456A3873"/>
    <w:rsid w:val="456D0313"/>
    <w:rsid w:val="4574AB81"/>
    <w:rsid w:val="4576490F"/>
    <w:rsid w:val="457B7865"/>
    <w:rsid w:val="457F86DA"/>
    <w:rsid w:val="457F9288"/>
    <w:rsid w:val="4582C41E"/>
    <w:rsid w:val="45876F6E"/>
    <w:rsid w:val="458FEDA7"/>
    <w:rsid w:val="45906AB4"/>
    <w:rsid w:val="4590CAEB"/>
    <w:rsid w:val="4591A960"/>
    <w:rsid w:val="45972D92"/>
    <w:rsid w:val="45976C1C"/>
    <w:rsid w:val="4597FB38"/>
    <w:rsid w:val="459E17A8"/>
    <w:rsid w:val="459FD854"/>
    <w:rsid w:val="45A082C5"/>
    <w:rsid w:val="45A26117"/>
    <w:rsid w:val="45A7561D"/>
    <w:rsid w:val="45A8CBD1"/>
    <w:rsid w:val="45ABC5BB"/>
    <w:rsid w:val="45B0BE6D"/>
    <w:rsid w:val="45B2C5D3"/>
    <w:rsid w:val="45B3E155"/>
    <w:rsid w:val="45B803A6"/>
    <w:rsid w:val="45B9AE68"/>
    <w:rsid w:val="45BA7BF1"/>
    <w:rsid w:val="45BAA20B"/>
    <w:rsid w:val="45BED9F5"/>
    <w:rsid w:val="45C12C60"/>
    <w:rsid w:val="45C2433B"/>
    <w:rsid w:val="45C32CEE"/>
    <w:rsid w:val="45C3F9F2"/>
    <w:rsid w:val="45C8178F"/>
    <w:rsid w:val="45CC2665"/>
    <w:rsid w:val="45CC8790"/>
    <w:rsid w:val="45D2D64A"/>
    <w:rsid w:val="45DCA369"/>
    <w:rsid w:val="45DECACD"/>
    <w:rsid w:val="45E01535"/>
    <w:rsid w:val="45E25F25"/>
    <w:rsid w:val="45E6BF84"/>
    <w:rsid w:val="45E80A82"/>
    <w:rsid w:val="45E85991"/>
    <w:rsid w:val="45EA6A64"/>
    <w:rsid w:val="45EFD23F"/>
    <w:rsid w:val="45F9F1B0"/>
    <w:rsid w:val="4602F2D2"/>
    <w:rsid w:val="46035DC3"/>
    <w:rsid w:val="4608348D"/>
    <w:rsid w:val="461006DC"/>
    <w:rsid w:val="4616CE48"/>
    <w:rsid w:val="4616CE6F"/>
    <w:rsid w:val="461944BB"/>
    <w:rsid w:val="461D04BE"/>
    <w:rsid w:val="461D704C"/>
    <w:rsid w:val="461DFA2F"/>
    <w:rsid w:val="46205F5F"/>
    <w:rsid w:val="46230F16"/>
    <w:rsid w:val="46234D53"/>
    <w:rsid w:val="46270C6C"/>
    <w:rsid w:val="462F5E2A"/>
    <w:rsid w:val="4639A96C"/>
    <w:rsid w:val="463D91D5"/>
    <w:rsid w:val="463F563C"/>
    <w:rsid w:val="46407C56"/>
    <w:rsid w:val="46419BC2"/>
    <w:rsid w:val="4642784B"/>
    <w:rsid w:val="4642C803"/>
    <w:rsid w:val="4645C1C8"/>
    <w:rsid w:val="46464198"/>
    <w:rsid w:val="46483A8A"/>
    <w:rsid w:val="464B830B"/>
    <w:rsid w:val="464ED3C9"/>
    <w:rsid w:val="4651C64B"/>
    <w:rsid w:val="465A2BDC"/>
    <w:rsid w:val="465CAE90"/>
    <w:rsid w:val="466741FF"/>
    <w:rsid w:val="466A29C1"/>
    <w:rsid w:val="466F4627"/>
    <w:rsid w:val="4670690F"/>
    <w:rsid w:val="4670CCEA"/>
    <w:rsid w:val="467358FF"/>
    <w:rsid w:val="46735993"/>
    <w:rsid w:val="4675563C"/>
    <w:rsid w:val="4676B0BF"/>
    <w:rsid w:val="4678F50D"/>
    <w:rsid w:val="467AB558"/>
    <w:rsid w:val="467C030B"/>
    <w:rsid w:val="4684625B"/>
    <w:rsid w:val="46962FF5"/>
    <w:rsid w:val="46967891"/>
    <w:rsid w:val="46978D15"/>
    <w:rsid w:val="4697C077"/>
    <w:rsid w:val="46985985"/>
    <w:rsid w:val="469B9666"/>
    <w:rsid w:val="469C6FFD"/>
    <w:rsid w:val="469E28CC"/>
    <w:rsid w:val="469F1291"/>
    <w:rsid w:val="46A0959D"/>
    <w:rsid w:val="46A0D41A"/>
    <w:rsid w:val="46A2E898"/>
    <w:rsid w:val="46A8DBD9"/>
    <w:rsid w:val="46AAB0EA"/>
    <w:rsid w:val="46AC0CC8"/>
    <w:rsid w:val="46B05212"/>
    <w:rsid w:val="46B3A7AE"/>
    <w:rsid w:val="46B42E4C"/>
    <w:rsid w:val="46B61554"/>
    <w:rsid w:val="46B79EA5"/>
    <w:rsid w:val="46B8C7EB"/>
    <w:rsid w:val="46B935A7"/>
    <w:rsid w:val="46BAED69"/>
    <w:rsid w:val="46BB322E"/>
    <w:rsid w:val="46BB9D74"/>
    <w:rsid w:val="46BC0904"/>
    <w:rsid w:val="46BF7583"/>
    <w:rsid w:val="46C2F0D2"/>
    <w:rsid w:val="46C5C316"/>
    <w:rsid w:val="46C90306"/>
    <w:rsid w:val="46CB7805"/>
    <w:rsid w:val="46CE93F0"/>
    <w:rsid w:val="46CF1071"/>
    <w:rsid w:val="46D50199"/>
    <w:rsid w:val="46D557A0"/>
    <w:rsid w:val="46D59F86"/>
    <w:rsid w:val="46D6A73D"/>
    <w:rsid w:val="46DB7F25"/>
    <w:rsid w:val="46DBC2EF"/>
    <w:rsid w:val="46DFABA1"/>
    <w:rsid w:val="46E00BC4"/>
    <w:rsid w:val="46E139DB"/>
    <w:rsid w:val="46ED3643"/>
    <w:rsid w:val="46EFCE48"/>
    <w:rsid w:val="46F1C056"/>
    <w:rsid w:val="46F2C42F"/>
    <w:rsid w:val="46F805F9"/>
    <w:rsid w:val="46FA70EA"/>
    <w:rsid w:val="46FE1D97"/>
    <w:rsid w:val="4706DF75"/>
    <w:rsid w:val="4711FCB9"/>
    <w:rsid w:val="47169876"/>
    <w:rsid w:val="47172699"/>
    <w:rsid w:val="471A578E"/>
    <w:rsid w:val="471CC24E"/>
    <w:rsid w:val="471F0612"/>
    <w:rsid w:val="4720DC45"/>
    <w:rsid w:val="47224C74"/>
    <w:rsid w:val="47290179"/>
    <w:rsid w:val="47292992"/>
    <w:rsid w:val="472BA157"/>
    <w:rsid w:val="472BB376"/>
    <w:rsid w:val="47341705"/>
    <w:rsid w:val="47351502"/>
    <w:rsid w:val="4738E088"/>
    <w:rsid w:val="473BCE92"/>
    <w:rsid w:val="474AC9C0"/>
    <w:rsid w:val="474C985A"/>
    <w:rsid w:val="4752DA9A"/>
    <w:rsid w:val="4753FD58"/>
    <w:rsid w:val="4757617B"/>
    <w:rsid w:val="4757CD59"/>
    <w:rsid w:val="475A886B"/>
    <w:rsid w:val="475BB3D6"/>
    <w:rsid w:val="475F40FA"/>
    <w:rsid w:val="4762FB62"/>
    <w:rsid w:val="4765E958"/>
    <w:rsid w:val="476676DC"/>
    <w:rsid w:val="4766A418"/>
    <w:rsid w:val="47675FC1"/>
    <w:rsid w:val="47686FAB"/>
    <w:rsid w:val="476B4119"/>
    <w:rsid w:val="477173D9"/>
    <w:rsid w:val="4774C27A"/>
    <w:rsid w:val="4776721D"/>
    <w:rsid w:val="477D01A8"/>
    <w:rsid w:val="478190BC"/>
    <w:rsid w:val="47840964"/>
    <w:rsid w:val="4784B4BD"/>
    <w:rsid w:val="4789344E"/>
    <w:rsid w:val="4792D3D9"/>
    <w:rsid w:val="4798A48B"/>
    <w:rsid w:val="479BE93D"/>
    <w:rsid w:val="479CCDD0"/>
    <w:rsid w:val="47A333AA"/>
    <w:rsid w:val="47A9AA50"/>
    <w:rsid w:val="47B59CE8"/>
    <w:rsid w:val="47BF80B4"/>
    <w:rsid w:val="47C0E33E"/>
    <w:rsid w:val="47C3049A"/>
    <w:rsid w:val="47C7C52B"/>
    <w:rsid w:val="47C84766"/>
    <w:rsid w:val="47D04481"/>
    <w:rsid w:val="47D111B5"/>
    <w:rsid w:val="47DC001E"/>
    <w:rsid w:val="47DF4229"/>
    <w:rsid w:val="47E4E753"/>
    <w:rsid w:val="47E5FEAD"/>
    <w:rsid w:val="47E65105"/>
    <w:rsid w:val="47ED7C84"/>
    <w:rsid w:val="47EEC590"/>
    <w:rsid w:val="47F06FBA"/>
    <w:rsid w:val="47F38C23"/>
    <w:rsid w:val="47F46368"/>
    <w:rsid w:val="47F85EB2"/>
    <w:rsid w:val="4803D88B"/>
    <w:rsid w:val="4805A9D7"/>
    <w:rsid w:val="4806E22E"/>
    <w:rsid w:val="48071775"/>
    <w:rsid w:val="480994FF"/>
    <w:rsid w:val="480C938C"/>
    <w:rsid w:val="480CE840"/>
    <w:rsid w:val="4810579B"/>
    <w:rsid w:val="48109A8E"/>
    <w:rsid w:val="4818AAEF"/>
    <w:rsid w:val="481B5206"/>
    <w:rsid w:val="48221751"/>
    <w:rsid w:val="48253F17"/>
    <w:rsid w:val="48281166"/>
    <w:rsid w:val="482C6F18"/>
    <w:rsid w:val="48301818"/>
    <w:rsid w:val="4830299C"/>
    <w:rsid w:val="4834D4C3"/>
    <w:rsid w:val="4838355A"/>
    <w:rsid w:val="4838824F"/>
    <w:rsid w:val="4838C004"/>
    <w:rsid w:val="483CB9BB"/>
    <w:rsid w:val="483D0DD2"/>
    <w:rsid w:val="483D8049"/>
    <w:rsid w:val="483E2459"/>
    <w:rsid w:val="484567E4"/>
    <w:rsid w:val="4846FF19"/>
    <w:rsid w:val="484819D3"/>
    <w:rsid w:val="4849A708"/>
    <w:rsid w:val="484CDACB"/>
    <w:rsid w:val="484FF3DA"/>
    <w:rsid w:val="4850EB4D"/>
    <w:rsid w:val="485169B4"/>
    <w:rsid w:val="4855098F"/>
    <w:rsid w:val="48572C57"/>
    <w:rsid w:val="4857A841"/>
    <w:rsid w:val="48586187"/>
    <w:rsid w:val="485C3E3A"/>
    <w:rsid w:val="485C6BFC"/>
    <w:rsid w:val="486E1449"/>
    <w:rsid w:val="486E507B"/>
    <w:rsid w:val="4876ACE7"/>
    <w:rsid w:val="487919F7"/>
    <w:rsid w:val="4879C867"/>
    <w:rsid w:val="487D6C48"/>
    <w:rsid w:val="487DDC81"/>
    <w:rsid w:val="487E526D"/>
    <w:rsid w:val="487F1F59"/>
    <w:rsid w:val="487F9C16"/>
    <w:rsid w:val="487FE37E"/>
    <w:rsid w:val="488A0A2C"/>
    <w:rsid w:val="488B3EB6"/>
    <w:rsid w:val="488BDC75"/>
    <w:rsid w:val="488CFEE7"/>
    <w:rsid w:val="488DC881"/>
    <w:rsid w:val="48903752"/>
    <w:rsid w:val="48930CD1"/>
    <w:rsid w:val="48979834"/>
    <w:rsid w:val="4897F7A3"/>
    <w:rsid w:val="489D1E36"/>
    <w:rsid w:val="489D9860"/>
    <w:rsid w:val="48A2F32E"/>
    <w:rsid w:val="48A64DAE"/>
    <w:rsid w:val="48B1F55F"/>
    <w:rsid w:val="48B29E07"/>
    <w:rsid w:val="48B6F64D"/>
    <w:rsid w:val="48B8A408"/>
    <w:rsid w:val="48BBE58D"/>
    <w:rsid w:val="48C2937A"/>
    <w:rsid w:val="48C413F4"/>
    <w:rsid w:val="48C6D655"/>
    <w:rsid w:val="48D02DE7"/>
    <w:rsid w:val="48D70F30"/>
    <w:rsid w:val="48D94D1B"/>
    <w:rsid w:val="48DB6BD3"/>
    <w:rsid w:val="48DF6A82"/>
    <w:rsid w:val="48E13CB4"/>
    <w:rsid w:val="48E32EB3"/>
    <w:rsid w:val="48E35AA9"/>
    <w:rsid w:val="48E42B74"/>
    <w:rsid w:val="48E78D98"/>
    <w:rsid w:val="48EBA6CC"/>
    <w:rsid w:val="48ED61D8"/>
    <w:rsid w:val="48F5C6EE"/>
    <w:rsid w:val="48F750BF"/>
    <w:rsid w:val="48FFF7CF"/>
    <w:rsid w:val="49105DF9"/>
    <w:rsid w:val="4918D91D"/>
    <w:rsid w:val="491B0C89"/>
    <w:rsid w:val="491B6B4B"/>
    <w:rsid w:val="49213FE8"/>
    <w:rsid w:val="4921853B"/>
    <w:rsid w:val="4925ABEF"/>
    <w:rsid w:val="4927EE3F"/>
    <w:rsid w:val="49288FEC"/>
    <w:rsid w:val="49368B61"/>
    <w:rsid w:val="493C6439"/>
    <w:rsid w:val="493DBA5D"/>
    <w:rsid w:val="4944C710"/>
    <w:rsid w:val="494CE17E"/>
    <w:rsid w:val="4957D4DB"/>
    <w:rsid w:val="4957DBE6"/>
    <w:rsid w:val="4960576E"/>
    <w:rsid w:val="4960EEEF"/>
    <w:rsid w:val="49634EA4"/>
    <w:rsid w:val="4966D417"/>
    <w:rsid w:val="4967614A"/>
    <w:rsid w:val="496E8D5A"/>
    <w:rsid w:val="49717DEC"/>
    <w:rsid w:val="4978C2E6"/>
    <w:rsid w:val="49844E66"/>
    <w:rsid w:val="4987185D"/>
    <w:rsid w:val="4994D757"/>
    <w:rsid w:val="499E7A33"/>
    <w:rsid w:val="49A72EBA"/>
    <w:rsid w:val="49ABF3DE"/>
    <w:rsid w:val="49AE85D6"/>
    <w:rsid w:val="49B848E6"/>
    <w:rsid w:val="49BD26EA"/>
    <w:rsid w:val="49BE6EFC"/>
    <w:rsid w:val="49C97F82"/>
    <w:rsid w:val="49D9970C"/>
    <w:rsid w:val="49D9F8D6"/>
    <w:rsid w:val="49DA7A29"/>
    <w:rsid w:val="49E269D4"/>
    <w:rsid w:val="49E38C52"/>
    <w:rsid w:val="49E67B47"/>
    <w:rsid w:val="49E72438"/>
    <w:rsid w:val="49E755DF"/>
    <w:rsid w:val="49F4DE49"/>
    <w:rsid w:val="49F875ED"/>
    <w:rsid w:val="49FEA415"/>
    <w:rsid w:val="4A02D4CD"/>
    <w:rsid w:val="4A03C2CB"/>
    <w:rsid w:val="4A0CE3E0"/>
    <w:rsid w:val="4A0EED0D"/>
    <w:rsid w:val="4A16C047"/>
    <w:rsid w:val="4A178D8F"/>
    <w:rsid w:val="4A1A0149"/>
    <w:rsid w:val="4A1BA050"/>
    <w:rsid w:val="4A1D222B"/>
    <w:rsid w:val="4A1D7525"/>
    <w:rsid w:val="4A268C29"/>
    <w:rsid w:val="4A2D3901"/>
    <w:rsid w:val="4A376039"/>
    <w:rsid w:val="4A37F056"/>
    <w:rsid w:val="4A3C7AAA"/>
    <w:rsid w:val="4A416DBD"/>
    <w:rsid w:val="4A465A4F"/>
    <w:rsid w:val="4A47141F"/>
    <w:rsid w:val="4A4728D1"/>
    <w:rsid w:val="4A4760D9"/>
    <w:rsid w:val="4A4BB10A"/>
    <w:rsid w:val="4A4F3BB2"/>
    <w:rsid w:val="4A50E133"/>
    <w:rsid w:val="4A534615"/>
    <w:rsid w:val="4A53B32A"/>
    <w:rsid w:val="4A544EAB"/>
    <w:rsid w:val="4A575B7A"/>
    <w:rsid w:val="4A575F5A"/>
    <w:rsid w:val="4A5CB4CE"/>
    <w:rsid w:val="4A5D23C4"/>
    <w:rsid w:val="4A5EDBE7"/>
    <w:rsid w:val="4A62F19C"/>
    <w:rsid w:val="4A657A1D"/>
    <w:rsid w:val="4A68B1E5"/>
    <w:rsid w:val="4A6CEA3F"/>
    <w:rsid w:val="4A6DCEDA"/>
    <w:rsid w:val="4A6FE5DB"/>
    <w:rsid w:val="4A71FC1D"/>
    <w:rsid w:val="4A738A4F"/>
    <w:rsid w:val="4A782386"/>
    <w:rsid w:val="4A7CFB11"/>
    <w:rsid w:val="4A7E48D5"/>
    <w:rsid w:val="4A7FD496"/>
    <w:rsid w:val="4A807B1E"/>
    <w:rsid w:val="4A86ED69"/>
    <w:rsid w:val="4A8DD55C"/>
    <w:rsid w:val="4A8F8358"/>
    <w:rsid w:val="4A992722"/>
    <w:rsid w:val="4A9AE1EB"/>
    <w:rsid w:val="4A9EE2AB"/>
    <w:rsid w:val="4AA4BCD4"/>
    <w:rsid w:val="4AAE8C97"/>
    <w:rsid w:val="4AB30ECC"/>
    <w:rsid w:val="4AB6F448"/>
    <w:rsid w:val="4AB82AED"/>
    <w:rsid w:val="4ABCA2D6"/>
    <w:rsid w:val="4AC4C1F8"/>
    <w:rsid w:val="4AC51BB3"/>
    <w:rsid w:val="4AC6C67E"/>
    <w:rsid w:val="4AC9133F"/>
    <w:rsid w:val="4AD092AF"/>
    <w:rsid w:val="4AD1DF68"/>
    <w:rsid w:val="4AD28556"/>
    <w:rsid w:val="4AD5C082"/>
    <w:rsid w:val="4AD6F0A4"/>
    <w:rsid w:val="4ADC2C9F"/>
    <w:rsid w:val="4ADD8606"/>
    <w:rsid w:val="4ADEA19F"/>
    <w:rsid w:val="4AE114BD"/>
    <w:rsid w:val="4AE1FB24"/>
    <w:rsid w:val="4AE20296"/>
    <w:rsid w:val="4AE3B49A"/>
    <w:rsid w:val="4AE6F3D7"/>
    <w:rsid w:val="4AE9E58C"/>
    <w:rsid w:val="4AEE62F5"/>
    <w:rsid w:val="4AF196F6"/>
    <w:rsid w:val="4AF50B44"/>
    <w:rsid w:val="4AF8AC1E"/>
    <w:rsid w:val="4AFAAD63"/>
    <w:rsid w:val="4AFAD762"/>
    <w:rsid w:val="4AFED11A"/>
    <w:rsid w:val="4B0009FE"/>
    <w:rsid w:val="4B02CA29"/>
    <w:rsid w:val="4B037FBE"/>
    <w:rsid w:val="4B04E567"/>
    <w:rsid w:val="4B10E28E"/>
    <w:rsid w:val="4B194F04"/>
    <w:rsid w:val="4B1B99E1"/>
    <w:rsid w:val="4B1D89B7"/>
    <w:rsid w:val="4B1D8DAB"/>
    <w:rsid w:val="4B20FEC2"/>
    <w:rsid w:val="4B225A41"/>
    <w:rsid w:val="4B22A666"/>
    <w:rsid w:val="4B24A9E6"/>
    <w:rsid w:val="4B260BBB"/>
    <w:rsid w:val="4B26FEF1"/>
    <w:rsid w:val="4B2C9E17"/>
    <w:rsid w:val="4B322FD4"/>
    <w:rsid w:val="4B33D4DC"/>
    <w:rsid w:val="4B382281"/>
    <w:rsid w:val="4B3A34B4"/>
    <w:rsid w:val="4B3A58F2"/>
    <w:rsid w:val="4B3F3363"/>
    <w:rsid w:val="4B42C8F5"/>
    <w:rsid w:val="4B48A000"/>
    <w:rsid w:val="4B4AFAAF"/>
    <w:rsid w:val="4B4CB401"/>
    <w:rsid w:val="4B4E2F04"/>
    <w:rsid w:val="4B4E4B7D"/>
    <w:rsid w:val="4B53FE20"/>
    <w:rsid w:val="4B5534C8"/>
    <w:rsid w:val="4B5A3018"/>
    <w:rsid w:val="4B64996A"/>
    <w:rsid w:val="4B65810C"/>
    <w:rsid w:val="4B72A9A3"/>
    <w:rsid w:val="4B73B491"/>
    <w:rsid w:val="4B76B145"/>
    <w:rsid w:val="4B787920"/>
    <w:rsid w:val="4B79F3DA"/>
    <w:rsid w:val="4B7F219D"/>
    <w:rsid w:val="4B8080FC"/>
    <w:rsid w:val="4B81BA2E"/>
    <w:rsid w:val="4B81BE4D"/>
    <w:rsid w:val="4B889447"/>
    <w:rsid w:val="4B88C85B"/>
    <w:rsid w:val="4B89E16D"/>
    <w:rsid w:val="4B8BD040"/>
    <w:rsid w:val="4B8D7BA5"/>
    <w:rsid w:val="4B8DAA84"/>
    <w:rsid w:val="4B8E2D10"/>
    <w:rsid w:val="4B8E84D1"/>
    <w:rsid w:val="4B91652F"/>
    <w:rsid w:val="4B91C9D1"/>
    <w:rsid w:val="4B91E4FA"/>
    <w:rsid w:val="4B94D6AC"/>
    <w:rsid w:val="4B98F4DA"/>
    <w:rsid w:val="4B994A44"/>
    <w:rsid w:val="4B99BA79"/>
    <w:rsid w:val="4B99E167"/>
    <w:rsid w:val="4B99F6EA"/>
    <w:rsid w:val="4B9F6DDC"/>
    <w:rsid w:val="4BA3FD1B"/>
    <w:rsid w:val="4BA568C0"/>
    <w:rsid w:val="4BA75722"/>
    <w:rsid w:val="4BA97564"/>
    <w:rsid w:val="4BACAFC1"/>
    <w:rsid w:val="4BAFC3BD"/>
    <w:rsid w:val="4BB6B104"/>
    <w:rsid w:val="4BBA0D21"/>
    <w:rsid w:val="4BBA666E"/>
    <w:rsid w:val="4BC120C3"/>
    <w:rsid w:val="4BC23D54"/>
    <w:rsid w:val="4BC6587A"/>
    <w:rsid w:val="4BCB4A53"/>
    <w:rsid w:val="4BD0B70B"/>
    <w:rsid w:val="4BD290A6"/>
    <w:rsid w:val="4BD55D04"/>
    <w:rsid w:val="4BD8C0F6"/>
    <w:rsid w:val="4BDED42B"/>
    <w:rsid w:val="4BE4AC93"/>
    <w:rsid w:val="4BE618E1"/>
    <w:rsid w:val="4BEA03C8"/>
    <w:rsid w:val="4BEBC1CB"/>
    <w:rsid w:val="4BF3CFB3"/>
    <w:rsid w:val="4BF4FF0E"/>
    <w:rsid w:val="4BFAE5D1"/>
    <w:rsid w:val="4BFC884A"/>
    <w:rsid w:val="4BFE51A6"/>
    <w:rsid w:val="4C052B28"/>
    <w:rsid w:val="4C06EAC9"/>
    <w:rsid w:val="4C077932"/>
    <w:rsid w:val="4C08B759"/>
    <w:rsid w:val="4C09232E"/>
    <w:rsid w:val="4C0FFF39"/>
    <w:rsid w:val="4C137C80"/>
    <w:rsid w:val="4C13AFF0"/>
    <w:rsid w:val="4C19AF2B"/>
    <w:rsid w:val="4C1A6453"/>
    <w:rsid w:val="4C1C7C6E"/>
    <w:rsid w:val="4C31BD95"/>
    <w:rsid w:val="4C3C0EE7"/>
    <w:rsid w:val="4C426084"/>
    <w:rsid w:val="4C45A44A"/>
    <w:rsid w:val="4C4A46D0"/>
    <w:rsid w:val="4C4BA3D8"/>
    <w:rsid w:val="4C4BB058"/>
    <w:rsid w:val="4C4BDB89"/>
    <w:rsid w:val="4C4C9D72"/>
    <w:rsid w:val="4C4E54D4"/>
    <w:rsid w:val="4C4F0272"/>
    <w:rsid w:val="4C52C2A5"/>
    <w:rsid w:val="4C531FC2"/>
    <w:rsid w:val="4C5B229F"/>
    <w:rsid w:val="4C60EB2F"/>
    <w:rsid w:val="4C6A0D73"/>
    <w:rsid w:val="4C6BB089"/>
    <w:rsid w:val="4C6C389D"/>
    <w:rsid w:val="4C6C54EA"/>
    <w:rsid w:val="4C6D9D52"/>
    <w:rsid w:val="4C6DCD1B"/>
    <w:rsid w:val="4C74F1B5"/>
    <w:rsid w:val="4C7D8B6E"/>
    <w:rsid w:val="4C83FA09"/>
    <w:rsid w:val="4C86BDE2"/>
    <w:rsid w:val="4C8CD66E"/>
    <w:rsid w:val="4C901A05"/>
    <w:rsid w:val="4C939148"/>
    <w:rsid w:val="4C97CB93"/>
    <w:rsid w:val="4C97D9BD"/>
    <w:rsid w:val="4C9AFB79"/>
    <w:rsid w:val="4C9B822A"/>
    <w:rsid w:val="4C9BDEA5"/>
    <w:rsid w:val="4CA1B5B3"/>
    <w:rsid w:val="4CA2F3F1"/>
    <w:rsid w:val="4CA4054A"/>
    <w:rsid w:val="4CACFA24"/>
    <w:rsid w:val="4CB06A69"/>
    <w:rsid w:val="4CB22B19"/>
    <w:rsid w:val="4CB767D9"/>
    <w:rsid w:val="4CBA38EE"/>
    <w:rsid w:val="4CC1C2E2"/>
    <w:rsid w:val="4CC5297B"/>
    <w:rsid w:val="4CC5F851"/>
    <w:rsid w:val="4CC6B2A4"/>
    <w:rsid w:val="4CCE09FA"/>
    <w:rsid w:val="4CD174A0"/>
    <w:rsid w:val="4CD3EE8F"/>
    <w:rsid w:val="4CD7BCAD"/>
    <w:rsid w:val="4CD94A5B"/>
    <w:rsid w:val="4CDA423E"/>
    <w:rsid w:val="4CDAF65C"/>
    <w:rsid w:val="4CDD3D0E"/>
    <w:rsid w:val="4CDD42B3"/>
    <w:rsid w:val="4CE53068"/>
    <w:rsid w:val="4CE59797"/>
    <w:rsid w:val="4CE66BAF"/>
    <w:rsid w:val="4CEA92FB"/>
    <w:rsid w:val="4CF637FA"/>
    <w:rsid w:val="4CFB1BC8"/>
    <w:rsid w:val="4CFC0E1C"/>
    <w:rsid w:val="4CFFD3EE"/>
    <w:rsid w:val="4D02C87F"/>
    <w:rsid w:val="4D092F05"/>
    <w:rsid w:val="4D0AD4FD"/>
    <w:rsid w:val="4D179677"/>
    <w:rsid w:val="4D18116C"/>
    <w:rsid w:val="4D1A75B0"/>
    <w:rsid w:val="4D1BFEB4"/>
    <w:rsid w:val="4D1F2AC2"/>
    <w:rsid w:val="4D212C92"/>
    <w:rsid w:val="4D251626"/>
    <w:rsid w:val="4D265940"/>
    <w:rsid w:val="4D287B99"/>
    <w:rsid w:val="4D2E5EE8"/>
    <w:rsid w:val="4D38D25C"/>
    <w:rsid w:val="4D3E45E7"/>
    <w:rsid w:val="4D3F952E"/>
    <w:rsid w:val="4D3FB0F3"/>
    <w:rsid w:val="4D40E1ED"/>
    <w:rsid w:val="4D41AC58"/>
    <w:rsid w:val="4D41F6CD"/>
    <w:rsid w:val="4D4C9D54"/>
    <w:rsid w:val="4D4EA908"/>
    <w:rsid w:val="4D4FA69B"/>
    <w:rsid w:val="4D54390A"/>
    <w:rsid w:val="4D556B5F"/>
    <w:rsid w:val="4D595DB2"/>
    <w:rsid w:val="4D5B1FD1"/>
    <w:rsid w:val="4D621F2E"/>
    <w:rsid w:val="4D64C0EB"/>
    <w:rsid w:val="4D6556EF"/>
    <w:rsid w:val="4D6570DD"/>
    <w:rsid w:val="4D6896FA"/>
    <w:rsid w:val="4D68DE16"/>
    <w:rsid w:val="4D6BA927"/>
    <w:rsid w:val="4D74B69B"/>
    <w:rsid w:val="4D75A60C"/>
    <w:rsid w:val="4D780BA2"/>
    <w:rsid w:val="4D79ECB4"/>
    <w:rsid w:val="4D7F353A"/>
    <w:rsid w:val="4D826864"/>
    <w:rsid w:val="4D862412"/>
    <w:rsid w:val="4D87D98D"/>
    <w:rsid w:val="4D885817"/>
    <w:rsid w:val="4D8AED0F"/>
    <w:rsid w:val="4D8C53A6"/>
    <w:rsid w:val="4D8CA6AD"/>
    <w:rsid w:val="4D9D1A27"/>
    <w:rsid w:val="4D9DCAE9"/>
    <w:rsid w:val="4DA469C1"/>
    <w:rsid w:val="4DA47B69"/>
    <w:rsid w:val="4DA8400F"/>
    <w:rsid w:val="4DAAAE2E"/>
    <w:rsid w:val="4DB2DAAC"/>
    <w:rsid w:val="4DB31ABE"/>
    <w:rsid w:val="4DB34CF2"/>
    <w:rsid w:val="4DB932DC"/>
    <w:rsid w:val="4DBFE55F"/>
    <w:rsid w:val="4DBFEEE0"/>
    <w:rsid w:val="4DC06D06"/>
    <w:rsid w:val="4DC4E60A"/>
    <w:rsid w:val="4DC4F1A9"/>
    <w:rsid w:val="4DC685AD"/>
    <w:rsid w:val="4DC6DF1B"/>
    <w:rsid w:val="4DCE37E1"/>
    <w:rsid w:val="4DD4B836"/>
    <w:rsid w:val="4DD5F63B"/>
    <w:rsid w:val="4DD68733"/>
    <w:rsid w:val="4DD7F1EB"/>
    <w:rsid w:val="4DDD70D1"/>
    <w:rsid w:val="4DDD7C98"/>
    <w:rsid w:val="4DE0280A"/>
    <w:rsid w:val="4DE10321"/>
    <w:rsid w:val="4DE13E56"/>
    <w:rsid w:val="4DE38B39"/>
    <w:rsid w:val="4DE3CBBA"/>
    <w:rsid w:val="4DE9521E"/>
    <w:rsid w:val="4DE992F5"/>
    <w:rsid w:val="4DEBB06D"/>
    <w:rsid w:val="4DEDFBEE"/>
    <w:rsid w:val="4DF263D8"/>
    <w:rsid w:val="4DF467DB"/>
    <w:rsid w:val="4DF6148C"/>
    <w:rsid w:val="4DF6E373"/>
    <w:rsid w:val="4DF7C33B"/>
    <w:rsid w:val="4E0290DC"/>
    <w:rsid w:val="4E030067"/>
    <w:rsid w:val="4E04F098"/>
    <w:rsid w:val="4E06C31E"/>
    <w:rsid w:val="4E08279F"/>
    <w:rsid w:val="4E0A34B8"/>
    <w:rsid w:val="4E119109"/>
    <w:rsid w:val="4E12CF4E"/>
    <w:rsid w:val="4E169DCA"/>
    <w:rsid w:val="4E182296"/>
    <w:rsid w:val="4E18DC55"/>
    <w:rsid w:val="4E1B2AB1"/>
    <w:rsid w:val="4E1D650E"/>
    <w:rsid w:val="4E1E378C"/>
    <w:rsid w:val="4E210795"/>
    <w:rsid w:val="4E245636"/>
    <w:rsid w:val="4E2642D5"/>
    <w:rsid w:val="4E266C9D"/>
    <w:rsid w:val="4E2AA020"/>
    <w:rsid w:val="4E2EAA40"/>
    <w:rsid w:val="4E2EB042"/>
    <w:rsid w:val="4E2FF2EE"/>
    <w:rsid w:val="4E3427E8"/>
    <w:rsid w:val="4E35FD51"/>
    <w:rsid w:val="4E37D9D4"/>
    <w:rsid w:val="4E3B01F3"/>
    <w:rsid w:val="4E3DC005"/>
    <w:rsid w:val="4E3F3E84"/>
    <w:rsid w:val="4E402E37"/>
    <w:rsid w:val="4E45F970"/>
    <w:rsid w:val="4E47CD99"/>
    <w:rsid w:val="4E48DFE6"/>
    <w:rsid w:val="4E497880"/>
    <w:rsid w:val="4E4D4AE0"/>
    <w:rsid w:val="4E4EE245"/>
    <w:rsid w:val="4E4EEC4E"/>
    <w:rsid w:val="4E4F191B"/>
    <w:rsid w:val="4E57676C"/>
    <w:rsid w:val="4E5B5FA7"/>
    <w:rsid w:val="4E5BAB36"/>
    <w:rsid w:val="4E5DD355"/>
    <w:rsid w:val="4E6042A3"/>
    <w:rsid w:val="4E627C6F"/>
    <w:rsid w:val="4E64BC83"/>
    <w:rsid w:val="4E6788F9"/>
    <w:rsid w:val="4E72100E"/>
    <w:rsid w:val="4E74F3F4"/>
    <w:rsid w:val="4E77F2E4"/>
    <w:rsid w:val="4E78076E"/>
    <w:rsid w:val="4E791E84"/>
    <w:rsid w:val="4E798771"/>
    <w:rsid w:val="4E7C0B9B"/>
    <w:rsid w:val="4E7C5AD7"/>
    <w:rsid w:val="4E85DCB1"/>
    <w:rsid w:val="4E864D2A"/>
    <w:rsid w:val="4E883CCB"/>
    <w:rsid w:val="4E8E75BE"/>
    <w:rsid w:val="4E90D96E"/>
    <w:rsid w:val="4E91FF02"/>
    <w:rsid w:val="4E967713"/>
    <w:rsid w:val="4E98985F"/>
    <w:rsid w:val="4E9A358F"/>
    <w:rsid w:val="4E9A71CF"/>
    <w:rsid w:val="4E9CBFF9"/>
    <w:rsid w:val="4E9CD7E1"/>
    <w:rsid w:val="4EA17B9D"/>
    <w:rsid w:val="4EA5CE45"/>
    <w:rsid w:val="4EA743CF"/>
    <w:rsid w:val="4EA978E8"/>
    <w:rsid w:val="4EAD8DD6"/>
    <w:rsid w:val="4EB05EA1"/>
    <w:rsid w:val="4EB16D0C"/>
    <w:rsid w:val="4EB174DE"/>
    <w:rsid w:val="4EB1CAE8"/>
    <w:rsid w:val="4EB37F18"/>
    <w:rsid w:val="4EB68F9E"/>
    <w:rsid w:val="4EBF690E"/>
    <w:rsid w:val="4EC0DC27"/>
    <w:rsid w:val="4EC4721B"/>
    <w:rsid w:val="4EC7DC14"/>
    <w:rsid w:val="4ECD8ACA"/>
    <w:rsid w:val="4ED5302D"/>
    <w:rsid w:val="4ED55D86"/>
    <w:rsid w:val="4ED947C6"/>
    <w:rsid w:val="4EDB8414"/>
    <w:rsid w:val="4EDED265"/>
    <w:rsid w:val="4EE297AE"/>
    <w:rsid w:val="4EEA830B"/>
    <w:rsid w:val="4EEEF83C"/>
    <w:rsid w:val="4EEF0571"/>
    <w:rsid w:val="4EF0D7BE"/>
    <w:rsid w:val="4EF53913"/>
    <w:rsid w:val="4EF68DB3"/>
    <w:rsid w:val="4EF98608"/>
    <w:rsid w:val="4EFFE442"/>
    <w:rsid w:val="4F006F31"/>
    <w:rsid w:val="4F06478F"/>
    <w:rsid w:val="4F093DED"/>
    <w:rsid w:val="4F0C030C"/>
    <w:rsid w:val="4F0E4C4C"/>
    <w:rsid w:val="4F0EDF5F"/>
    <w:rsid w:val="4F0F9114"/>
    <w:rsid w:val="4F0FF3F2"/>
    <w:rsid w:val="4F15CFF1"/>
    <w:rsid w:val="4F1756AE"/>
    <w:rsid w:val="4F177586"/>
    <w:rsid w:val="4F1A1240"/>
    <w:rsid w:val="4F29887C"/>
    <w:rsid w:val="4F3C9D0A"/>
    <w:rsid w:val="4F3E023D"/>
    <w:rsid w:val="4F40ABDD"/>
    <w:rsid w:val="4F42C4A8"/>
    <w:rsid w:val="4F460DFD"/>
    <w:rsid w:val="4F49B51B"/>
    <w:rsid w:val="4F4AB354"/>
    <w:rsid w:val="4F4E84CF"/>
    <w:rsid w:val="4F51C8A7"/>
    <w:rsid w:val="4F5652BE"/>
    <w:rsid w:val="4F578319"/>
    <w:rsid w:val="4F59176D"/>
    <w:rsid w:val="4F609138"/>
    <w:rsid w:val="4F61C2BC"/>
    <w:rsid w:val="4F684FC1"/>
    <w:rsid w:val="4F6F2DEF"/>
    <w:rsid w:val="4F6F3024"/>
    <w:rsid w:val="4F75B817"/>
    <w:rsid w:val="4F76502C"/>
    <w:rsid w:val="4F7C96C3"/>
    <w:rsid w:val="4F7CD1D9"/>
    <w:rsid w:val="4F8988F0"/>
    <w:rsid w:val="4F8B4CD3"/>
    <w:rsid w:val="4F8D64C0"/>
    <w:rsid w:val="4F8F6EC4"/>
    <w:rsid w:val="4F9431D5"/>
    <w:rsid w:val="4F94E8DF"/>
    <w:rsid w:val="4F95BEEB"/>
    <w:rsid w:val="4F9EAF9E"/>
    <w:rsid w:val="4FA0D3BF"/>
    <w:rsid w:val="4FA5CD71"/>
    <w:rsid w:val="4FA6A7B2"/>
    <w:rsid w:val="4FA6A9C5"/>
    <w:rsid w:val="4FAF6E21"/>
    <w:rsid w:val="4FB5361D"/>
    <w:rsid w:val="4FB5C2CD"/>
    <w:rsid w:val="4FBD3165"/>
    <w:rsid w:val="4FC3F60A"/>
    <w:rsid w:val="4FC55BA2"/>
    <w:rsid w:val="4FCDC82D"/>
    <w:rsid w:val="4FD35E4A"/>
    <w:rsid w:val="4FD435B3"/>
    <w:rsid w:val="4FD49AD7"/>
    <w:rsid w:val="4FD4E128"/>
    <w:rsid w:val="4FDE7992"/>
    <w:rsid w:val="4FE780FE"/>
    <w:rsid w:val="4FE8FF97"/>
    <w:rsid w:val="4FF249EA"/>
    <w:rsid w:val="4FF2BD74"/>
    <w:rsid w:val="4FF2C30B"/>
    <w:rsid w:val="4FF3D2C7"/>
    <w:rsid w:val="4FF46590"/>
    <w:rsid w:val="4FFAEFA6"/>
    <w:rsid w:val="4FFC9CB4"/>
    <w:rsid w:val="4FFE66F8"/>
    <w:rsid w:val="50049BC6"/>
    <w:rsid w:val="50096E6D"/>
    <w:rsid w:val="5010316E"/>
    <w:rsid w:val="5012AE38"/>
    <w:rsid w:val="50136B35"/>
    <w:rsid w:val="5016A5A3"/>
    <w:rsid w:val="5017BA49"/>
    <w:rsid w:val="5021401B"/>
    <w:rsid w:val="50225557"/>
    <w:rsid w:val="5026EDE1"/>
    <w:rsid w:val="5027CCC0"/>
    <w:rsid w:val="502F5C2C"/>
    <w:rsid w:val="502FFC1D"/>
    <w:rsid w:val="5030481C"/>
    <w:rsid w:val="5034EAC9"/>
    <w:rsid w:val="50361230"/>
    <w:rsid w:val="503682D3"/>
    <w:rsid w:val="5036DC82"/>
    <w:rsid w:val="503BE84C"/>
    <w:rsid w:val="503CCF22"/>
    <w:rsid w:val="503DB910"/>
    <w:rsid w:val="503F8F61"/>
    <w:rsid w:val="5040AFFB"/>
    <w:rsid w:val="50504B7A"/>
    <w:rsid w:val="50505CF3"/>
    <w:rsid w:val="50530102"/>
    <w:rsid w:val="50549597"/>
    <w:rsid w:val="505AA594"/>
    <w:rsid w:val="505AAD6E"/>
    <w:rsid w:val="505AB72E"/>
    <w:rsid w:val="505FB89F"/>
    <w:rsid w:val="5068A67E"/>
    <w:rsid w:val="506C51BD"/>
    <w:rsid w:val="506C81F8"/>
    <w:rsid w:val="5070AEB2"/>
    <w:rsid w:val="507912C8"/>
    <w:rsid w:val="50792986"/>
    <w:rsid w:val="507A73AB"/>
    <w:rsid w:val="507B6ADE"/>
    <w:rsid w:val="508034FC"/>
    <w:rsid w:val="508382BD"/>
    <w:rsid w:val="50851FB1"/>
    <w:rsid w:val="508D45E6"/>
    <w:rsid w:val="5092BA96"/>
    <w:rsid w:val="50938A02"/>
    <w:rsid w:val="5094A9FB"/>
    <w:rsid w:val="5094AD58"/>
    <w:rsid w:val="5095F20F"/>
    <w:rsid w:val="5095FD3F"/>
    <w:rsid w:val="50966844"/>
    <w:rsid w:val="509718DB"/>
    <w:rsid w:val="509AB6F9"/>
    <w:rsid w:val="509D6AF9"/>
    <w:rsid w:val="50A0BE60"/>
    <w:rsid w:val="50A19D78"/>
    <w:rsid w:val="50A2E87F"/>
    <w:rsid w:val="50A40368"/>
    <w:rsid w:val="50A4FAF1"/>
    <w:rsid w:val="50A4FBFF"/>
    <w:rsid w:val="50A5EE6F"/>
    <w:rsid w:val="50A98F50"/>
    <w:rsid w:val="50A9E240"/>
    <w:rsid w:val="50A9E2B9"/>
    <w:rsid w:val="50AA9CFA"/>
    <w:rsid w:val="50B09BCC"/>
    <w:rsid w:val="50B2F547"/>
    <w:rsid w:val="50B31B50"/>
    <w:rsid w:val="50B95C0E"/>
    <w:rsid w:val="50C42A74"/>
    <w:rsid w:val="50C84F08"/>
    <w:rsid w:val="50C97DC8"/>
    <w:rsid w:val="50D1AAA4"/>
    <w:rsid w:val="50D521BF"/>
    <w:rsid w:val="50D6BE6E"/>
    <w:rsid w:val="50DE4A00"/>
    <w:rsid w:val="50E2F601"/>
    <w:rsid w:val="50EF4856"/>
    <w:rsid w:val="50F0BE50"/>
    <w:rsid w:val="50F36B3D"/>
    <w:rsid w:val="50F37A99"/>
    <w:rsid w:val="50F58EFC"/>
    <w:rsid w:val="50F698FF"/>
    <w:rsid w:val="50F9ACBA"/>
    <w:rsid w:val="50FAF668"/>
    <w:rsid w:val="50FD5753"/>
    <w:rsid w:val="50FF0AE6"/>
    <w:rsid w:val="510459A6"/>
    <w:rsid w:val="51050997"/>
    <w:rsid w:val="51077B7E"/>
    <w:rsid w:val="510BC206"/>
    <w:rsid w:val="5111C869"/>
    <w:rsid w:val="511AC845"/>
    <w:rsid w:val="511B31CC"/>
    <w:rsid w:val="511E253A"/>
    <w:rsid w:val="511FDC34"/>
    <w:rsid w:val="5120B2A7"/>
    <w:rsid w:val="5122C305"/>
    <w:rsid w:val="5124B600"/>
    <w:rsid w:val="51251EEB"/>
    <w:rsid w:val="5126072A"/>
    <w:rsid w:val="5128F7FC"/>
    <w:rsid w:val="5129FB55"/>
    <w:rsid w:val="512F27F3"/>
    <w:rsid w:val="51308D58"/>
    <w:rsid w:val="513352E8"/>
    <w:rsid w:val="513C4B43"/>
    <w:rsid w:val="513EA0FB"/>
    <w:rsid w:val="513F797F"/>
    <w:rsid w:val="513FFAB2"/>
    <w:rsid w:val="514577B5"/>
    <w:rsid w:val="51460CC2"/>
    <w:rsid w:val="514634C4"/>
    <w:rsid w:val="5158F24E"/>
    <w:rsid w:val="5159C7B4"/>
    <w:rsid w:val="515DE665"/>
    <w:rsid w:val="515DF9B8"/>
    <w:rsid w:val="515E8742"/>
    <w:rsid w:val="515F1E3A"/>
    <w:rsid w:val="5160C782"/>
    <w:rsid w:val="51662486"/>
    <w:rsid w:val="5167A6E7"/>
    <w:rsid w:val="516886BA"/>
    <w:rsid w:val="516889B5"/>
    <w:rsid w:val="5169BB16"/>
    <w:rsid w:val="516D6B7A"/>
    <w:rsid w:val="516FE37F"/>
    <w:rsid w:val="51743510"/>
    <w:rsid w:val="51751C32"/>
    <w:rsid w:val="51758574"/>
    <w:rsid w:val="5175942A"/>
    <w:rsid w:val="51774BF8"/>
    <w:rsid w:val="5177EFFB"/>
    <w:rsid w:val="517BAC8A"/>
    <w:rsid w:val="517C4FFB"/>
    <w:rsid w:val="517D7EC3"/>
    <w:rsid w:val="517F5B8A"/>
    <w:rsid w:val="51888861"/>
    <w:rsid w:val="51900EBC"/>
    <w:rsid w:val="5199F761"/>
    <w:rsid w:val="519FF343"/>
    <w:rsid w:val="51A1CFB6"/>
    <w:rsid w:val="51A36972"/>
    <w:rsid w:val="51A67E93"/>
    <w:rsid w:val="51A87609"/>
    <w:rsid w:val="51AD9B50"/>
    <w:rsid w:val="51AF82B1"/>
    <w:rsid w:val="51B29664"/>
    <w:rsid w:val="51B54DCD"/>
    <w:rsid w:val="51BC2BCE"/>
    <w:rsid w:val="51BE5959"/>
    <w:rsid w:val="51BED382"/>
    <w:rsid w:val="51BF5A3D"/>
    <w:rsid w:val="51C1AAAE"/>
    <w:rsid w:val="51C1B118"/>
    <w:rsid w:val="51C30EB3"/>
    <w:rsid w:val="51CDA981"/>
    <w:rsid w:val="51CE5439"/>
    <w:rsid w:val="51D49DB9"/>
    <w:rsid w:val="51D687B5"/>
    <w:rsid w:val="51DA098C"/>
    <w:rsid w:val="51DE61B2"/>
    <w:rsid w:val="51E86864"/>
    <w:rsid w:val="51EBBAE3"/>
    <w:rsid w:val="51EC01A7"/>
    <w:rsid w:val="51F83AA3"/>
    <w:rsid w:val="51FEB5F4"/>
    <w:rsid w:val="5207F009"/>
    <w:rsid w:val="52081535"/>
    <w:rsid w:val="52090C99"/>
    <w:rsid w:val="520B68C2"/>
    <w:rsid w:val="520BBF0A"/>
    <w:rsid w:val="52124CCB"/>
    <w:rsid w:val="5217C41E"/>
    <w:rsid w:val="521FB943"/>
    <w:rsid w:val="522192EF"/>
    <w:rsid w:val="5224007D"/>
    <w:rsid w:val="52280C97"/>
    <w:rsid w:val="52298952"/>
    <w:rsid w:val="522C147C"/>
    <w:rsid w:val="522EFC56"/>
    <w:rsid w:val="523DFD97"/>
    <w:rsid w:val="5240C1CD"/>
    <w:rsid w:val="5241A12B"/>
    <w:rsid w:val="52421B3B"/>
    <w:rsid w:val="5242CA51"/>
    <w:rsid w:val="52442A55"/>
    <w:rsid w:val="5244E878"/>
    <w:rsid w:val="52487557"/>
    <w:rsid w:val="5248A29A"/>
    <w:rsid w:val="5248B7D9"/>
    <w:rsid w:val="5252807D"/>
    <w:rsid w:val="525340E5"/>
    <w:rsid w:val="5255D17D"/>
    <w:rsid w:val="52592820"/>
    <w:rsid w:val="525AD2E4"/>
    <w:rsid w:val="525DD21D"/>
    <w:rsid w:val="5261AF19"/>
    <w:rsid w:val="52685E55"/>
    <w:rsid w:val="5268E572"/>
    <w:rsid w:val="526B70D4"/>
    <w:rsid w:val="526D25C1"/>
    <w:rsid w:val="52706BBC"/>
    <w:rsid w:val="5270904D"/>
    <w:rsid w:val="5278B9F3"/>
    <w:rsid w:val="527995A5"/>
    <w:rsid w:val="5282BF29"/>
    <w:rsid w:val="5284323A"/>
    <w:rsid w:val="5284C4B6"/>
    <w:rsid w:val="52850727"/>
    <w:rsid w:val="52872D21"/>
    <w:rsid w:val="528742EB"/>
    <w:rsid w:val="528949F4"/>
    <w:rsid w:val="528B4EE0"/>
    <w:rsid w:val="528B95CC"/>
    <w:rsid w:val="528E9526"/>
    <w:rsid w:val="528F229A"/>
    <w:rsid w:val="52905E4B"/>
    <w:rsid w:val="52912D5C"/>
    <w:rsid w:val="5292982B"/>
    <w:rsid w:val="5297AFB0"/>
    <w:rsid w:val="529BD9CC"/>
    <w:rsid w:val="529CF493"/>
    <w:rsid w:val="52A036D1"/>
    <w:rsid w:val="52A49A51"/>
    <w:rsid w:val="52A84AF3"/>
    <w:rsid w:val="52A9133B"/>
    <w:rsid w:val="52AC195F"/>
    <w:rsid w:val="52AC4B9E"/>
    <w:rsid w:val="52AD632D"/>
    <w:rsid w:val="52AF43D9"/>
    <w:rsid w:val="52B15490"/>
    <w:rsid w:val="52B53067"/>
    <w:rsid w:val="52BFCBBF"/>
    <w:rsid w:val="52C1FC53"/>
    <w:rsid w:val="52C75EE2"/>
    <w:rsid w:val="52C92E8A"/>
    <w:rsid w:val="52D23F9E"/>
    <w:rsid w:val="52D54BB9"/>
    <w:rsid w:val="52D64B7A"/>
    <w:rsid w:val="52D66ADE"/>
    <w:rsid w:val="52E44971"/>
    <w:rsid w:val="52E74A4F"/>
    <w:rsid w:val="52E9677D"/>
    <w:rsid w:val="52EC4554"/>
    <w:rsid w:val="52EE3497"/>
    <w:rsid w:val="52F21086"/>
    <w:rsid w:val="52F272D0"/>
    <w:rsid w:val="52F3E6EF"/>
    <w:rsid w:val="52F87B84"/>
    <w:rsid w:val="52F9C7B5"/>
    <w:rsid w:val="52FB0E74"/>
    <w:rsid w:val="52FB587D"/>
    <w:rsid w:val="53025E64"/>
    <w:rsid w:val="53043D0B"/>
    <w:rsid w:val="53079FF2"/>
    <w:rsid w:val="5307BC7F"/>
    <w:rsid w:val="530D007C"/>
    <w:rsid w:val="531C7076"/>
    <w:rsid w:val="531E75D6"/>
    <w:rsid w:val="531E9585"/>
    <w:rsid w:val="5320371F"/>
    <w:rsid w:val="5323DC5F"/>
    <w:rsid w:val="53285638"/>
    <w:rsid w:val="532BA105"/>
    <w:rsid w:val="532BF372"/>
    <w:rsid w:val="532D8482"/>
    <w:rsid w:val="5332D2B1"/>
    <w:rsid w:val="5333F83B"/>
    <w:rsid w:val="53343C92"/>
    <w:rsid w:val="533B30BA"/>
    <w:rsid w:val="533C0A2F"/>
    <w:rsid w:val="5341516C"/>
    <w:rsid w:val="53469481"/>
    <w:rsid w:val="534F2BE6"/>
    <w:rsid w:val="534FFB34"/>
    <w:rsid w:val="5352A7D1"/>
    <w:rsid w:val="5352A9FA"/>
    <w:rsid w:val="53542A9C"/>
    <w:rsid w:val="53544349"/>
    <w:rsid w:val="5357D945"/>
    <w:rsid w:val="5357E8B4"/>
    <w:rsid w:val="53633900"/>
    <w:rsid w:val="5363CC17"/>
    <w:rsid w:val="5364F332"/>
    <w:rsid w:val="53691647"/>
    <w:rsid w:val="536A204F"/>
    <w:rsid w:val="536F7AD9"/>
    <w:rsid w:val="537010BB"/>
    <w:rsid w:val="53705408"/>
    <w:rsid w:val="5374966C"/>
    <w:rsid w:val="5375E6EE"/>
    <w:rsid w:val="53786316"/>
    <w:rsid w:val="537EE372"/>
    <w:rsid w:val="537F9EE5"/>
    <w:rsid w:val="537FA973"/>
    <w:rsid w:val="5383D476"/>
    <w:rsid w:val="538AD0B7"/>
    <w:rsid w:val="538E4DFE"/>
    <w:rsid w:val="539349F9"/>
    <w:rsid w:val="5396DF80"/>
    <w:rsid w:val="539F062E"/>
    <w:rsid w:val="53A18E40"/>
    <w:rsid w:val="53AA9196"/>
    <w:rsid w:val="53AA928E"/>
    <w:rsid w:val="53AA9E89"/>
    <w:rsid w:val="53AC1CEC"/>
    <w:rsid w:val="53AEC77F"/>
    <w:rsid w:val="53AFD05D"/>
    <w:rsid w:val="53B06EF6"/>
    <w:rsid w:val="53BAAD27"/>
    <w:rsid w:val="53BE717A"/>
    <w:rsid w:val="53C33411"/>
    <w:rsid w:val="53CD3263"/>
    <w:rsid w:val="53CF8650"/>
    <w:rsid w:val="53D7887A"/>
    <w:rsid w:val="53D88D73"/>
    <w:rsid w:val="53D8BE85"/>
    <w:rsid w:val="53D921DE"/>
    <w:rsid w:val="53DB8776"/>
    <w:rsid w:val="53DF715F"/>
    <w:rsid w:val="53E123E3"/>
    <w:rsid w:val="53E15D3E"/>
    <w:rsid w:val="53E64A9F"/>
    <w:rsid w:val="53EA1C9F"/>
    <w:rsid w:val="53EC90D3"/>
    <w:rsid w:val="53F00DB8"/>
    <w:rsid w:val="53F0285A"/>
    <w:rsid w:val="53F6632D"/>
    <w:rsid w:val="53F86449"/>
    <w:rsid w:val="53FD1915"/>
    <w:rsid w:val="5402FE3C"/>
    <w:rsid w:val="5403AAC1"/>
    <w:rsid w:val="54065FB5"/>
    <w:rsid w:val="540DC2AE"/>
    <w:rsid w:val="54102493"/>
    <w:rsid w:val="54120C0C"/>
    <w:rsid w:val="541C2D3E"/>
    <w:rsid w:val="541F7F39"/>
    <w:rsid w:val="5421380E"/>
    <w:rsid w:val="54220119"/>
    <w:rsid w:val="5422F599"/>
    <w:rsid w:val="5423CF92"/>
    <w:rsid w:val="5425393E"/>
    <w:rsid w:val="54281135"/>
    <w:rsid w:val="542F037E"/>
    <w:rsid w:val="542F15F1"/>
    <w:rsid w:val="542FC64E"/>
    <w:rsid w:val="543090A9"/>
    <w:rsid w:val="54331CE1"/>
    <w:rsid w:val="543625A9"/>
    <w:rsid w:val="543636BD"/>
    <w:rsid w:val="5437841C"/>
    <w:rsid w:val="543990BE"/>
    <w:rsid w:val="543AA0F1"/>
    <w:rsid w:val="543C33D5"/>
    <w:rsid w:val="543C35F8"/>
    <w:rsid w:val="543FDAD2"/>
    <w:rsid w:val="543FE3D7"/>
    <w:rsid w:val="5442C34B"/>
    <w:rsid w:val="5449836F"/>
    <w:rsid w:val="544A2E87"/>
    <w:rsid w:val="544CA1D8"/>
    <w:rsid w:val="54527B5F"/>
    <w:rsid w:val="5454D77F"/>
    <w:rsid w:val="545A2753"/>
    <w:rsid w:val="545B9D24"/>
    <w:rsid w:val="545DCD87"/>
    <w:rsid w:val="546023DE"/>
    <w:rsid w:val="5462CCB9"/>
    <w:rsid w:val="546623E2"/>
    <w:rsid w:val="5466C76B"/>
    <w:rsid w:val="5471D772"/>
    <w:rsid w:val="5478093B"/>
    <w:rsid w:val="54799DBB"/>
    <w:rsid w:val="5480F66B"/>
    <w:rsid w:val="548B2C8B"/>
    <w:rsid w:val="548D3CDC"/>
    <w:rsid w:val="548DCCE1"/>
    <w:rsid w:val="548F71F6"/>
    <w:rsid w:val="54915818"/>
    <w:rsid w:val="54943EFA"/>
    <w:rsid w:val="549BE441"/>
    <w:rsid w:val="549DC37E"/>
    <w:rsid w:val="54A47ABC"/>
    <w:rsid w:val="54A4CEDB"/>
    <w:rsid w:val="54A6F24F"/>
    <w:rsid w:val="54A8E1B0"/>
    <w:rsid w:val="54AC4F7B"/>
    <w:rsid w:val="54ACF98A"/>
    <w:rsid w:val="54B18377"/>
    <w:rsid w:val="54BB7680"/>
    <w:rsid w:val="54C713BB"/>
    <w:rsid w:val="54D04A80"/>
    <w:rsid w:val="54D5669C"/>
    <w:rsid w:val="54DAD367"/>
    <w:rsid w:val="54DC409B"/>
    <w:rsid w:val="54ED7BFF"/>
    <w:rsid w:val="54EEB99F"/>
    <w:rsid w:val="54F97B37"/>
    <w:rsid w:val="54F9C646"/>
    <w:rsid w:val="54FB2B40"/>
    <w:rsid w:val="54FFE57D"/>
    <w:rsid w:val="55008A3C"/>
    <w:rsid w:val="5504E403"/>
    <w:rsid w:val="55055C2F"/>
    <w:rsid w:val="5507AACF"/>
    <w:rsid w:val="550F0485"/>
    <w:rsid w:val="550FC83C"/>
    <w:rsid w:val="55152534"/>
    <w:rsid w:val="5517A45C"/>
    <w:rsid w:val="551C7582"/>
    <w:rsid w:val="551EBDD9"/>
    <w:rsid w:val="5522597E"/>
    <w:rsid w:val="55275964"/>
    <w:rsid w:val="552CE0F9"/>
    <w:rsid w:val="552D40C1"/>
    <w:rsid w:val="552EE93C"/>
    <w:rsid w:val="5532860E"/>
    <w:rsid w:val="5532F566"/>
    <w:rsid w:val="5535D23B"/>
    <w:rsid w:val="55409F9A"/>
    <w:rsid w:val="5543EE0B"/>
    <w:rsid w:val="55552D85"/>
    <w:rsid w:val="555D71FF"/>
    <w:rsid w:val="5564CB50"/>
    <w:rsid w:val="55666091"/>
    <w:rsid w:val="55667C6E"/>
    <w:rsid w:val="556793E1"/>
    <w:rsid w:val="5569A4D2"/>
    <w:rsid w:val="55720F77"/>
    <w:rsid w:val="5577775D"/>
    <w:rsid w:val="557B7D08"/>
    <w:rsid w:val="557E7779"/>
    <w:rsid w:val="557F73EC"/>
    <w:rsid w:val="558077EB"/>
    <w:rsid w:val="55818EC8"/>
    <w:rsid w:val="55823FB2"/>
    <w:rsid w:val="5589857F"/>
    <w:rsid w:val="558A0072"/>
    <w:rsid w:val="558CA5C1"/>
    <w:rsid w:val="558D1198"/>
    <w:rsid w:val="558EA7EE"/>
    <w:rsid w:val="559DF74F"/>
    <w:rsid w:val="55A1CC91"/>
    <w:rsid w:val="55ACE1CC"/>
    <w:rsid w:val="55B774BE"/>
    <w:rsid w:val="55B955CD"/>
    <w:rsid w:val="55B9A52F"/>
    <w:rsid w:val="55BA6AF1"/>
    <w:rsid w:val="55BAFE9A"/>
    <w:rsid w:val="55BC5A7D"/>
    <w:rsid w:val="55BCAE7D"/>
    <w:rsid w:val="55BE2B6E"/>
    <w:rsid w:val="55C1424A"/>
    <w:rsid w:val="55C15264"/>
    <w:rsid w:val="55C16A5E"/>
    <w:rsid w:val="55C56C27"/>
    <w:rsid w:val="55C7C170"/>
    <w:rsid w:val="55C9B1F9"/>
    <w:rsid w:val="55D12B64"/>
    <w:rsid w:val="55D77A82"/>
    <w:rsid w:val="55D7EF5B"/>
    <w:rsid w:val="55E0F7EB"/>
    <w:rsid w:val="55E12829"/>
    <w:rsid w:val="55E6B25B"/>
    <w:rsid w:val="55E71C46"/>
    <w:rsid w:val="55EC6FD0"/>
    <w:rsid w:val="55ECAFCA"/>
    <w:rsid w:val="55ECC4D1"/>
    <w:rsid w:val="55F0A4E3"/>
    <w:rsid w:val="55F0A4F0"/>
    <w:rsid w:val="55F74000"/>
    <w:rsid w:val="55FA21BC"/>
    <w:rsid w:val="55FC961D"/>
    <w:rsid w:val="560AD5E0"/>
    <w:rsid w:val="560DF259"/>
    <w:rsid w:val="56185FAC"/>
    <w:rsid w:val="56197EAB"/>
    <w:rsid w:val="561A491D"/>
    <w:rsid w:val="561B6F20"/>
    <w:rsid w:val="561EE6E5"/>
    <w:rsid w:val="56237B6C"/>
    <w:rsid w:val="5623A524"/>
    <w:rsid w:val="56242956"/>
    <w:rsid w:val="5625A82A"/>
    <w:rsid w:val="56278BE6"/>
    <w:rsid w:val="562B71C8"/>
    <w:rsid w:val="56310302"/>
    <w:rsid w:val="5635C476"/>
    <w:rsid w:val="5638A6EA"/>
    <w:rsid w:val="563B5621"/>
    <w:rsid w:val="563C5E30"/>
    <w:rsid w:val="563D4D83"/>
    <w:rsid w:val="5640E7FF"/>
    <w:rsid w:val="56438796"/>
    <w:rsid w:val="5644F566"/>
    <w:rsid w:val="5652B3A8"/>
    <w:rsid w:val="5653C417"/>
    <w:rsid w:val="56543CF8"/>
    <w:rsid w:val="5656B485"/>
    <w:rsid w:val="565A2BBB"/>
    <w:rsid w:val="565ECA2B"/>
    <w:rsid w:val="56618C2F"/>
    <w:rsid w:val="566569FA"/>
    <w:rsid w:val="5668CDC2"/>
    <w:rsid w:val="566982E8"/>
    <w:rsid w:val="566D99EA"/>
    <w:rsid w:val="566F10A1"/>
    <w:rsid w:val="566FAD25"/>
    <w:rsid w:val="567208DD"/>
    <w:rsid w:val="567414ED"/>
    <w:rsid w:val="5675B6E2"/>
    <w:rsid w:val="5680A817"/>
    <w:rsid w:val="5683747C"/>
    <w:rsid w:val="56879931"/>
    <w:rsid w:val="568F4A61"/>
    <w:rsid w:val="5690ED05"/>
    <w:rsid w:val="569209AB"/>
    <w:rsid w:val="5692B6A3"/>
    <w:rsid w:val="569BB22E"/>
    <w:rsid w:val="569D999E"/>
    <w:rsid w:val="56A12DF8"/>
    <w:rsid w:val="56A4C760"/>
    <w:rsid w:val="56A51D9C"/>
    <w:rsid w:val="56A61833"/>
    <w:rsid w:val="56AECD4E"/>
    <w:rsid w:val="56B000F4"/>
    <w:rsid w:val="56B21438"/>
    <w:rsid w:val="56B23A83"/>
    <w:rsid w:val="56B28D72"/>
    <w:rsid w:val="56B29A7D"/>
    <w:rsid w:val="56B69C05"/>
    <w:rsid w:val="56BA50E1"/>
    <w:rsid w:val="56BBFD03"/>
    <w:rsid w:val="56BCFB23"/>
    <w:rsid w:val="56C29097"/>
    <w:rsid w:val="56CE760F"/>
    <w:rsid w:val="56CF5F8C"/>
    <w:rsid w:val="56D07939"/>
    <w:rsid w:val="56D772B5"/>
    <w:rsid w:val="56DD0EBE"/>
    <w:rsid w:val="56E0A168"/>
    <w:rsid w:val="56E0F38B"/>
    <w:rsid w:val="56E2DB04"/>
    <w:rsid w:val="56E4663A"/>
    <w:rsid w:val="56E7DDD2"/>
    <w:rsid w:val="56E7FED4"/>
    <w:rsid w:val="56E84DE2"/>
    <w:rsid w:val="56EA8851"/>
    <w:rsid w:val="56ECA5EB"/>
    <w:rsid w:val="56EDF3AE"/>
    <w:rsid w:val="56F4D87D"/>
    <w:rsid w:val="56F5F422"/>
    <w:rsid w:val="56F9151E"/>
    <w:rsid w:val="56FAC667"/>
    <w:rsid w:val="56FCB9EE"/>
    <w:rsid w:val="56FDBAFB"/>
    <w:rsid w:val="56FE744C"/>
    <w:rsid w:val="570E5F85"/>
    <w:rsid w:val="5710274C"/>
    <w:rsid w:val="5710E949"/>
    <w:rsid w:val="5715EC97"/>
    <w:rsid w:val="57162072"/>
    <w:rsid w:val="5720FCAA"/>
    <w:rsid w:val="5723F2F4"/>
    <w:rsid w:val="572529CF"/>
    <w:rsid w:val="5725E518"/>
    <w:rsid w:val="572E627F"/>
    <w:rsid w:val="573F3003"/>
    <w:rsid w:val="5748F76E"/>
    <w:rsid w:val="574F812B"/>
    <w:rsid w:val="57529A13"/>
    <w:rsid w:val="575BE57A"/>
    <w:rsid w:val="575D36A7"/>
    <w:rsid w:val="5761138E"/>
    <w:rsid w:val="57650339"/>
    <w:rsid w:val="576719B7"/>
    <w:rsid w:val="576A1D6D"/>
    <w:rsid w:val="576CA0E8"/>
    <w:rsid w:val="576F7563"/>
    <w:rsid w:val="57722C43"/>
    <w:rsid w:val="577458F5"/>
    <w:rsid w:val="57769AB1"/>
    <w:rsid w:val="577DB601"/>
    <w:rsid w:val="57803A1A"/>
    <w:rsid w:val="57853090"/>
    <w:rsid w:val="5787C04E"/>
    <w:rsid w:val="578E64AB"/>
    <w:rsid w:val="57911FB6"/>
    <w:rsid w:val="5794772D"/>
    <w:rsid w:val="579765B8"/>
    <w:rsid w:val="5798ECC5"/>
    <w:rsid w:val="579A3EB6"/>
    <w:rsid w:val="579C69B5"/>
    <w:rsid w:val="57A39A0E"/>
    <w:rsid w:val="57A7BF73"/>
    <w:rsid w:val="57AB5DBB"/>
    <w:rsid w:val="57ACBA7B"/>
    <w:rsid w:val="57AF91B3"/>
    <w:rsid w:val="57BD8676"/>
    <w:rsid w:val="57C0B3AC"/>
    <w:rsid w:val="57C28B5B"/>
    <w:rsid w:val="57C7B43A"/>
    <w:rsid w:val="57CA81BE"/>
    <w:rsid w:val="57CAD572"/>
    <w:rsid w:val="57CBBE9B"/>
    <w:rsid w:val="57CFA854"/>
    <w:rsid w:val="57D0A393"/>
    <w:rsid w:val="57D0F790"/>
    <w:rsid w:val="57D517AF"/>
    <w:rsid w:val="57D7971F"/>
    <w:rsid w:val="57D79C6B"/>
    <w:rsid w:val="57D7AE7F"/>
    <w:rsid w:val="57D80F43"/>
    <w:rsid w:val="57E08089"/>
    <w:rsid w:val="57E111D8"/>
    <w:rsid w:val="57E46AF3"/>
    <w:rsid w:val="57EF0481"/>
    <w:rsid w:val="57F9AE29"/>
    <w:rsid w:val="5800AB10"/>
    <w:rsid w:val="58024F78"/>
    <w:rsid w:val="58027988"/>
    <w:rsid w:val="580F1786"/>
    <w:rsid w:val="58125087"/>
    <w:rsid w:val="5815C096"/>
    <w:rsid w:val="5815EEF0"/>
    <w:rsid w:val="581947CE"/>
    <w:rsid w:val="581A1439"/>
    <w:rsid w:val="58200C79"/>
    <w:rsid w:val="582035E2"/>
    <w:rsid w:val="582156F9"/>
    <w:rsid w:val="5822B302"/>
    <w:rsid w:val="58233CBD"/>
    <w:rsid w:val="582F9AFE"/>
    <w:rsid w:val="58310FA5"/>
    <w:rsid w:val="5832E0EF"/>
    <w:rsid w:val="58361B02"/>
    <w:rsid w:val="5838F5D6"/>
    <w:rsid w:val="58417DD3"/>
    <w:rsid w:val="584AA707"/>
    <w:rsid w:val="584B9024"/>
    <w:rsid w:val="584F1330"/>
    <w:rsid w:val="585126BD"/>
    <w:rsid w:val="58514A34"/>
    <w:rsid w:val="58529429"/>
    <w:rsid w:val="5853171A"/>
    <w:rsid w:val="585332A8"/>
    <w:rsid w:val="585811E2"/>
    <w:rsid w:val="585C88FF"/>
    <w:rsid w:val="58609C1B"/>
    <w:rsid w:val="58662BDC"/>
    <w:rsid w:val="5867B41D"/>
    <w:rsid w:val="586FB299"/>
    <w:rsid w:val="5874B627"/>
    <w:rsid w:val="58757B2C"/>
    <w:rsid w:val="58779DE6"/>
    <w:rsid w:val="5878544C"/>
    <w:rsid w:val="5879A23A"/>
    <w:rsid w:val="587C581C"/>
    <w:rsid w:val="587C9D76"/>
    <w:rsid w:val="587CDBC7"/>
    <w:rsid w:val="587EDB6E"/>
    <w:rsid w:val="58827623"/>
    <w:rsid w:val="58866C76"/>
    <w:rsid w:val="588A0799"/>
    <w:rsid w:val="58924E8A"/>
    <w:rsid w:val="5892A8F5"/>
    <w:rsid w:val="5897AD98"/>
    <w:rsid w:val="5899ECD8"/>
    <w:rsid w:val="589C5247"/>
    <w:rsid w:val="589CBD44"/>
    <w:rsid w:val="58A03887"/>
    <w:rsid w:val="58A4FC4F"/>
    <w:rsid w:val="58A9A18C"/>
    <w:rsid w:val="58ACBFAC"/>
    <w:rsid w:val="58AD9BCD"/>
    <w:rsid w:val="58AE59F0"/>
    <w:rsid w:val="58AEBE20"/>
    <w:rsid w:val="58B4950B"/>
    <w:rsid w:val="58BD07EC"/>
    <w:rsid w:val="58C38C8C"/>
    <w:rsid w:val="58C3F643"/>
    <w:rsid w:val="58C5F72C"/>
    <w:rsid w:val="58C79982"/>
    <w:rsid w:val="58C89E54"/>
    <w:rsid w:val="58CE3510"/>
    <w:rsid w:val="58CECF46"/>
    <w:rsid w:val="58D1BB3A"/>
    <w:rsid w:val="58D21394"/>
    <w:rsid w:val="58D22AB8"/>
    <w:rsid w:val="58D442D9"/>
    <w:rsid w:val="58D72021"/>
    <w:rsid w:val="58D98B80"/>
    <w:rsid w:val="58DAA0BC"/>
    <w:rsid w:val="58E0B0A5"/>
    <w:rsid w:val="58EA2DB4"/>
    <w:rsid w:val="58EAC511"/>
    <w:rsid w:val="58EDE555"/>
    <w:rsid w:val="58EF059A"/>
    <w:rsid w:val="58F3D84B"/>
    <w:rsid w:val="58F4FEA6"/>
    <w:rsid w:val="58FA9E81"/>
    <w:rsid w:val="58FAF848"/>
    <w:rsid w:val="58FE4971"/>
    <w:rsid w:val="5906933E"/>
    <w:rsid w:val="59094128"/>
    <w:rsid w:val="590C1AEC"/>
    <w:rsid w:val="591526B6"/>
    <w:rsid w:val="59164078"/>
    <w:rsid w:val="5917C52C"/>
    <w:rsid w:val="591D813F"/>
    <w:rsid w:val="591E23E4"/>
    <w:rsid w:val="5922D60E"/>
    <w:rsid w:val="5923481C"/>
    <w:rsid w:val="59276030"/>
    <w:rsid w:val="592847B0"/>
    <w:rsid w:val="592D0A03"/>
    <w:rsid w:val="59319CB5"/>
    <w:rsid w:val="59325CA7"/>
    <w:rsid w:val="594107C9"/>
    <w:rsid w:val="5941E4E4"/>
    <w:rsid w:val="59425174"/>
    <w:rsid w:val="5944AD5E"/>
    <w:rsid w:val="5946EC67"/>
    <w:rsid w:val="594764DD"/>
    <w:rsid w:val="5947F694"/>
    <w:rsid w:val="594B0AA1"/>
    <w:rsid w:val="594C7079"/>
    <w:rsid w:val="59501478"/>
    <w:rsid w:val="59508BE9"/>
    <w:rsid w:val="59577680"/>
    <w:rsid w:val="5957E675"/>
    <w:rsid w:val="595AAE5C"/>
    <w:rsid w:val="595C12C7"/>
    <w:rsid w:val="595CAD53"/>
    <w:rsid w:val="595D293D"/>
    <w:rsid w:val="595EBD56"/>
    <w:rsid w:val="59619418"/>
    <w:rsid w:val="596B61B9"/>
    <w:rsid w:val="596BB486"/>
    <w:rsid w:val="596C81E9"/>
    <w:rsid w:val="596DB62F"/>
    <w:rsid w:val="5973436A"/>
    <w:rsid w:val="5976CEA7"/>
    <w:rsid w:val="597CF9E5"/>
    <w:rsid w:val="597EA4F1"/>
    <w:rsid w:val="59800A10"/>
    <w:rsid w:val="59837572"/>
    <w:rsid w:val="5996755F"/>
    <w:rsid w:val="599E5F84"/>
    <w:rsid w:val="59A07496"/>
    <w:rsid w:val="59A27A8F"/>
    <w:rsid w:val="59A390EC"/>
    <w:rsid w:val="59A5E106"/>
    <w:rsid w:val="59A67377"/>
    <w:rsid w:val="59AC259C"/>
    <w:rsid w:val="59ADFF75"/>
    <w:rsid w:val="59BB75BD"/>
    <w:rsid w:val="59BE98BE"/>
    <w:rsid w:val="59C15B0C"/>
    <w:rsid w:val="59C2F864"/>
    <w:rsid w:val="59C416E7"/>
    <w:rsid w:val="59C525A7"/>
    <w:rsid w:val="59C557D1"/>
    <w:rsid w:val="59CBC833"/>
    <w:rsid w:val="59CC2775"/>
    <w:rsid w:val="59CC9CB7"/>
    <w:rsid w:val="59D3052E"/>
    <w:rsid w:val="59D42D2F"/>
    <w:rsid w:val="59D61C55"/>
    <w:rsid w:val="59D92A90"/>
    <w:rsid w:val="59DB0AD5"/>
    <w:rsid w:val="59DB2E23"/>
    <w:rsid w:val="59DBFE42"/>
    <w:rsid w:val="59DC258F"/>
    <w:rsid w:val="59DCA6C0"/>
    <w:rsid w:val="59E18816"/>
    <w:rsid w:val="59E3BAB7"/>
    <w:rsid w:val="59E7990E"/>
    <w:rsid w:val="59F16439"/>
    <w:rsid w:val="59F2E3DD"/>
    <w:rsid w:val="59F62A5C"/>
    <w:rsid w:val="59F78011"/>
    <w:rsid w:val="59FBDED4"/>
    <w:rsid w:val="59FC883C"/>
    <w:rsid w:val="5A01628B"/>
    <w:rsid w:val="5A046405"/>
    <w:rsid w:val="5A0555D4"/>
    <w:rsid w:val="5A070A52"/>
    <w:rsid w:val="5A0744C6"/>
    <w:rsid w:val="5A14152A"/>
    <w:rsid w:val="5A1AC380"/>
    <w:rsid w:val="5A1E64F5"/>
    <w:rsid w:val="5A1EF20E"/>
    <w:rsid w:val="5A21ED9F"/>
    <w:rsid w:val="5A2293E4"/>
    <w:rsid w:val="5A232742"/>
    <w:rsid w:val="5A2611CB"/>
    <w:rsid w:val="5A276599"/>
    <w:rsid w:val="5A27C7E3"/>
    <w:rsid w:val="5A2B0402"/>
    <w:rsid w:val="5A2EABEE"/>
    <w:rsid w:val="5A319BE4"/>
    <w:rsid w:val="5A321B57"/>
    <w:rsid w:val="5A38B319"/>
    <w:rsid w:val="5A3A1508"/>
    <w:rsid w:val="5A3BCD92"/>
    <w:rsid w:val="5A3D16D3"/>
    <w:rsid w:val="5A458062"/>
    <w:rsid w:val="5A487F52"/>
    <w:rsid w:val="5A517363"/>
    <w:rsid w:val="5A54D41D"/>
    <w:rsid w:val="5A551533"/>
    <w:rsid w:val="5A5D9E77"/>
    <w:rsid w:val="5A60730B"/>
    <w:rsid w:val="5A6428D5"/>
    <w:rsid w:val="5A723FC8"/>
    <w:rsid w:val="5A7294B1"/>
    <w:rsid w:val="5A7ECBC4"/>
    <w:rsid w:val="5A80A46E"/>
    <w:rsid w:val="5A883840"/>
    <w:rsid w:val="5A88767C"/>
    <w:rsid w:val="5A8E6968"/>
    <w:rsid w:val="5A8E7E7C"/>
    <w:rsid w:val="5A8F3B1C"/>
    <w:rsid w:val="5A9309CA"/>
    <w:rsid w:val="5A93920B"/>
    <w:rsid w:val="5A9704AE"/>
    <w:rsid w:val="5A9AE0BB"/>
    <w:rsid w:val="5A9B7706"/>
    <w:rsid w:val="5AA25303"/>
    <w:rsid w:val="5AA5E968"/>
    <w:rsid w:val="5AA6A6EF"/>
    <w:rsid w:val="5AA723A7"/>
    <w:rsid w:val="5AA79A53"/>
    <w:rsid w:val="5AA8BA29"/>
    <w:rsid w:val="5AAB2D94"/>
    <w:rsid w:val="5AACC7B3"/>
    <w:rsid w:val="5AADD383"/>
    <w:rsid w:val="5AAF04C9"/>
    <w:rsid w:val="5AB08C83"/>
    <w:rsid w:val="5AB0DA13"/>
    <w:rsid w:val="5AB4E492"/>
    <w:rsid w:val="5AB50280"/>
    <w:rsid w:val="5ABB9EB1"/>
    <w:rsid w:val="5AC2C6B1"/>
    <w:rsid w:val="5ACE08AB"/>
    <w:rsid w:val="5ACF409A"/>
    <w:rsid w:val="5ACFB77F"/>
    <w:rsid w:val="5AD33BC2"/>
    <w:rsid w:val="5AD4E0B0"/>
    <w:rsid w:val="5AD4F7F1"/>
    <w:rsid w:val="5AD72542"/>
    <w:rsid w:val="5AE4E41C"/>
    <w:rsid w:val="5AE8934B"/>
    <w:rsid w:val="5AEF0AC8"/>
    <w:rsid w:val="5AF0BE6B"/>
    <w:rsid w:val="5AF1FA22"/>
    <w:rsid w:val="5AF37AD3"/>
    <w:rsid w:val="5AF7CDD5"/>
    <w:rsid w:val="5AFC9888"/>
    <w:rsid w:val="5AFDB50C"/>
    <w:rsid w:val="5AFE8E29"/>
    <w:rsid w:val="5AFF1F69"/>
    <w:rsid w:val="5B011C9E"/>
    <w:rsid w:val="5B01D7CE"/>
    <w:rsid w:val="5B0773BB"/>
    <w:rsid w:val="5B0B5766"/>
    <w:rsid w:val="5B1280F5"/>
    <w:rsid w:val="5B164562"/>
    <w:rsid w:val="5B17E961"/>
    <w:rsid w:val="5B1A6802"/>
    <w:rsid w:val="5B1E355F"/>
    <w:rsid w:val="5B1E9BD3"/>
    <w:rsid w:val="5B1FCB8D"/>
    <w:rsid w:val="5B216F39"/>
    <w:rsid w:val="5B221BF8"/>
    <w:rsid w:val="5B22C80C"/>
    <w:rsid w:val="5B24F3F3"/>
    <w:rsid w:val="5B25A490"/>
    <w:rsid w:val="5B28450D"/>
    <w:rsid w:val="5B3729E2"/>
    <w:rsid w:val="5B3A0C0C"/>
    <w:rsid w:val="5B3B9B7D"/>
    <w:rsid w:val="5B3D20DA"/>
    <w:rsid w:val="5B3DFF91"/>
    <w:rsid w:val="5B3F5DB4"/>
    <w:rsid w:val="5B41A61E"/>
    <w:rsid w:val="5B41AA11"/>
    <w:rsid w:val="5B4E472E"/>
    <w:rsid w:val="5B4E8789"/>
    <w:rsid w:val="5B576540"/>
    <w:rsid w:val="5B5B4CF7"/>
    <w:rsid w:val="5B5C3806"/>
    <w:rsid w:val="5B5CD12A"/>
    <w:rsid w:val="5B5D7D96"/>
    <w:rsid w:val="5B60F107"/>
    <w:rsid w:val="5B63608F"/>
    <w:rsid w:val="5B63CAF3"/>
    <w:rsid w:val="5B649EBE"/>
    <w:rsid w:val="5B651679"/>
    <w:rsid w:val="5B65FF53"/>
    <w:rsid w:val="5B681623"/>
    <w:rsid w:val="5B6A6EC4"/>
    <w:rsid w:val="5B6F1B15"/>
    <w:rsid w:val="5B726304"/>
    <w:rsid w:val="5B77112C"/>
    <w:rsid w:val="5B79B809"/>
    <w:rsid w:val="5B7BA9EB"/>
    <w:rsid w:val="5B7C498E"/>
    <w:rsid w:val="5B7D430F"/>
    <w:rsid w:val="5B881824"/>
    <w:rsid w:val="5B894187"/>
    <w:rsid w:val="5B8A6232"/>
    <w:rsid w:val="5B94798C"/>
    <w:rsid w:val="5B958B88"/>
    <w:rsid w:val="5B96C334"/>
    <w:rsid w:val="5BA160E9"/>
    <w:rsid w:val="5BA614BB"/>
    <w:rsid w:val="5BA7A0FC"/>
    <w:rsid w:val="5BA99AAE"/>
    <w:rsid w:val="5BABFDA0"/>
    <w:rsid w:val="5BB70C5E"/>
    <w:rsid w:val="5BB70DE4"/>
    <w:rsid w:val="5BBA9E21"/>
    <w:rsid w:val="5BC2E30F"/>
    <w:rsid w:val="5BD493EF"/>
    <w:rsid w:val="5BDCC3DC"/>
    <w:rsid w:val="5BDD40BB"/>
    <w:rsid w:val="5BE5A78A"/>
    <w:rsid w:val="5BE6DF51"/>
    <w:rsid w:val="5BED4B05"/>
    <w:rsid w:val="5BF0099D"/>
    <w:rsid w:val="5BF36547"/>
    <w:rsid w:val="5BF8AB3C"/>
    <w:rsid w:val="5BF9379C"/>
    <w:rsid w:val="5BFEF803"/>
    <w:rsid w:val="5BFF3D06"/>
    <w:rsid w:val="5C077BF5"/>
    <w:rsid w:val="5C097502"/>
    <w:rsid w:val="5C0AA372"/>
    <w:rsid w:val="5C0D181F"/>
    <w:rsid w:val="5C104150"/>
    <w:rsid w:val="5C137FA1"/>
    <w:rsid w:val="5C1EE37D"/>
    <w:rsid w:val="5C1F8F2A"/>
    <w:rsid w:val="5C1FD123"/>
    <w:rsid w:val="5C209908"/>
    <w:rsid w:val="5C2EADBD"/>
    <w:rsid w:val="5C2F0C05"/>
    <w:rsid w:val="5C3231FD"/>
    <w:rsid w:val="5C36C177"/>
    <w:rsid w:val="5C372C89"/>
    <w:rsid w:val="5C3A18CE"/>
    <w:rsid w:val="5C3FFCD5"/>
    <w:rsid w:val="5C409BC1"/>
    <w:rsid w:val="5C41568C"/>
    <w:rsid w:val="5C45D0B8"/>
    <w:rsid w:val="5C498C43"/>
    <w:rsid w:val="5C4A8333"/>
    <w:rsid w:val="5C4FCFE4"/>
    <w:rsid w:val="5C50DB46"/>
    <w:rsid w:val="5C573659"/>
    <w:rsid w:val="5C587DB0"/>
    <w:rsid w:val="5C588BBF"/>
    <w:rsid w:val="5C59608C"/>
    <w:rsid w:val="5C5A80D3"/>
    <w:rsid w:val="5C5CC6D2"/>
    <w:rsid w:val="5C5EB82F"/>
    <w:rsid w:val="5C65EC25"/>
    <w:rsid w:val="5C67335A"/>
    <w:rsid w:val="5C698284"/>
    <w:rsid w:val="5C69A91A"/>
    <w:rsid w:val="5C6C9545"/>
    <w:rsid w:val="5C6DEB46"/>
    <w:rsid w:val="5C6E1066"/>
    <w:rsid w:val="5C72CFF0"/>
    <w:rsid w:val="5C7BF4F1"/>
    <w:rsid w:val="5C7FFF45"/>
    <w:rsid w:val="5C800A70"/>
    <w:rsid w:val="5C80673A"/>
    <w:rsid w:val="5C835866"/>
    <w:rsid w:val="5C8358E9"/>
    <w:rsid w:val="5C899144"/>
    <w:rsid w:val="5C8E6754"/>
    <w:rsid w:val="5C922EE8"/>
    <w:rsid w:val="5C93CDF0"/>
    <w:rsid w:val="5C9AF4DF"/>
    <w:rsid w:val="5C9C1EB6"/>
    <w:rsid w:val="5CA09444"/>
    <w:rsid w:val="5CA23FF2"/>
    <w:rsid w:val="5CA4146C"/>
    <w:rsid w:val="5CAB1BAE"/>
    <w:rsid w:val="5CB27B64"/>
    <w:rsid w:val="5CB2E9E6"/>
    <w:rsid w:val="5CB46E0C"/>
    <w:rsid w:val="5CB4E01B"/>
    <w:rsid w:val="5CB6B945"/>
    <w:rsid w:val="5CB9311E"/>
    <w:rsid w:val="5CB9B5BA"/>
    <w:rsid w:val="5CCA6C19"/>
    <w:rsid w:val="5CCA7501"/>
    <w:rsid w:val="5CCB3F7F"/>
    <w:rsid w:val="5CCDC320"/>
    <w:rsid w:val="5CCE0361"/>
    <w:rsid w:val="5CCE095E"/>
    <w:rsid w:val="5CD761C4"/>
    <w:rsid w:val="5CD93FF6"/>
    <w:rsid w:val="5CD9E7BA"/>
    <w:rsid w:val="5CDA197A"/>
    <w:rsid w:val="5CDC0997"/>
    <w:rsid w:val="5CE0D5F7"/>
    <w:rsid w:val="5CE2A032"/>
    <w:rsid w:val="5CE446F2"/>
    <w:rsid w:val="5CE6E5E5"/>
    <w:rsid w:val="5CE772B6"/>
    <w:rsid w:val="5CEA66CC"/>
    <w:rsid w:val="5CF20994"/>
    <w:rsid w:val="5CF6806F"/>
    <w:rsid w:val="5CFAFC46"/>
    <w:rsid w:val="5CFD3688"/>
    <w:rsid w:val="5CFDD387"/>
    <w:rsid w:val="5D01A482"/>
    <w:rsid w:val="5D057A95"/>
    <w:rsid w:val="5D06392E"/>
    <w:rsid w:val="5D098C01"/>
    <w:rsid w:val="5D0A616B"/>
    <w:rsid w:val="5D0F5502"/>
    <w:rsid w:val="5D127B43"/>
    <w:rsid w:val="5D1367E3"/>
    <w:rsid w:val="5D165730"/>
    <w:rsid w:val="5D173319"/>
    <w:rsid w:val="5D1E1CFB"/>
    <w:rsid w:val="5D2AB6B6"/>
    <w:rsid w:val="5D2BFCFE"/>
    <w:rsid w:val="5D31C495"/>
    <w:rsid w:val="5D338F74"/>
    <w:rsid w:val="5D351CA0"/>
    <w:rsid w:val="5D3BAEEC"/>
    <w:rsid w:val="5D3F44B7"/>
    <w:rsid w:val="5D454408"/>
    <w:rsid w:val="5D470B6E"/>
    <w:rsid w:val="5D4A5C8D"/>
    <w:rsid w:val="5D4CD714"/>
    <w:rsid w:val="5D50124B"/>
    <w:rsid w:val="5D55A3A1"/>
    <w:rsid w:val="5D5EEDF4"/>
    <w:rsid w:val="5D5F0074"/>
    <w:rsid w:val="5D66BDCB"/>
    <w:rsid w:val="5D6722C8"/>
    <w:rsid w:val="5D6814B4"/>
    <w:rsid w:val="5D689D3B"/>
    <w:rsid w:val="5D6B34FA"/>
    <w:rsid w:val="5D7B3D13"/>
    <w:rsid w:val="5D7ECA50"/>
    <w:rsid w:val="5D7EEDAC"/>
    <w:rsid w:val="5D8A6811"/>
    <w:rsid w:val="5D928B4E"/>
    <w:rsid w:val="5D92A9E4"/>
    <w:rsid w:val="5D93C60D"/>
    <w:rsid w:val="5D974EAF"/>
    <w:rsid w:val="5D9BC5BF"/>
    <w:rsid w:val="5D9DDE68"/>
    <w:rsid w:val="5D9F5608"/>
    <w:rsid w:val="5D9F6D47"/>
    <w:rsid w:val="5DA3BD37"/>
    <w:rsid w:val="5DA4DE6B"/>
    <w:rsid w:val="5DA5399D"/>
    <w:rsid w:val="5DA6131C"/>
    <w:rsid w:val="5DA92861"/>
    <w:rsid w:val="5DB735A0"/>
    <w:rsid w:val="5DC2CB2D"/>
    <w:rsid w:val="5DC2E1DA"/>
    <w:rsid w:val="5DC30E3D"/>
    <w:rsid w:val="5DC4B87B"/>
    <w:rsid w:val="5DC56DB2"/>
    <w:rsid w:val="5DC859FB"/>
    <w:rsid w:val="5DC85B99"/>
    <w:rsid w:val="5DCAEA69"/>
    <w:rsid w:val="5DCC25B0"/>
    <w:rsid w:val="5DCCBB08"/>
    <w:rsid w:val="5DCD867B"/>
    <w:rsid w:val="5DCE595D"/>
    <w:rsid w:val="5DE0A3DD"/>
    <w:rsid w:val="5DE2F5E1"/>
    <w:rsid w:val="5DE540BD"/>
    <w:rsid w:val="5DE5FEB0"/>
    <w:rsid w:val="5DE623B2"/>
    <w:rsid w:val="5DEDFBB5"/>
    <w:rsid w:val="5DEE078F"/>
    <w:rsid w:val="5DF727B8"/>
    <w:rsid w:val="5DF94106"/>
    <w:rsid w:val="5DFE0B21"/>
    <w:rsid w:val="5DFE2BB1"/>
    <w:rsid w:val="5DFEC370"/>
    <w:rsid w:val="5DFF4094"/>
    <w:rsid w:val="5E038B34"/>
    <w:rsid w:val="5E05A023"/>
    <w:rsid w:val="5E09F55A"/>
    <w:rsid w:val="5E1425B6"/>
    <w:rsid w:val="5E158733"/>
    <w:rsid w:val="5E19B440"/>
    <w:rsid w:val="5E1B4B65"/>
    <w:rsid w:val="5E1F4F59"/>
    <w:rsid w:val="5E228EC4"/>
    <w:rsid w:val="5E275509"/>
    <w:rsid w:val="5E295146"/>
    <w:rsid w:val="5E30DBEE"/>
    <w:rsid w:val="5E30F69D"/>
    <w:rsid w:val="5E319CB6"/>
    <w:rsid w:val="5E31C3F5"/>
    <w:rsid w:val="5E339816"/>
    <w:rsid w:val="5E404E3C"/>
    <w:rsid w:val="5E4C755D"/>
    <w:rsid w:val="5E5070CB"/>
    <w:rsid w:val="5E517915"/>
    <w:rsid w:val="5E582AAD"/>
    <w:rsid w:val="5E5ACE96"/>
    <w:rsid w:val="5E5D7911"/>
    <w:rsid w:val="5E5EBB6D"/>
    <w:rsid w:val="5E6013D0"/>
    <w:rsid w:val="5E65510A"/>
    <w:rsid w:val="5E65CC5D"/>
    <w:rsid w:val="5E6743F6"/>
    <w:rsid w:val="5E68EAC0"/>
    <w:rsid w:val="5E6C950C"/>
    <w:rsid w:val="5E6DD4C1"/>
    <w:rsid w:val="5E774515"/>
    <w:rsid w:val="5E7805A2"/>
    <w:rsid w:val="5E7FADCC"/>
    <w:rsid w:val="5E8141E4"/>
    <w:rsid w:val="5E81D879"/>
    <w:rsid w:val="5E82FD70"/>
    <w:rsid w:val="5E87A4E6"/>
    <w:rsid w:val="5E8A2E69"/>
    <w:rsid w:val="5E8C6B40"/>
    <w:rsid w:val="5E8F928D"/>
    <w:rsid w:val="5E922B3F"/>
    <w:rsid w:val="5E94487B"/>
    <w:rsid w:val="5E96422C"/>
    <w:rsid w:val="5E9AE4D8"/>
    <w:rsid w:val="5E9CB49E"/>
    <w:rsid w:val="5EA0B36F"/>
    <w:rsid w:val="5EA4F55C"/>
    <w:rsid w:val="5EA561D4"/>
    <w:rsid w:val="5EAF1044"/>
    <w:rsid w:val="5EBCF3C3"/>
    <w:rsid w:val="5EBE05D7"/>
    <w:rsid w:val="5EBF6B1E"/>
    <w:rsid w:val="5EBF8F14"/>
    <w:rsid w:val="5EBF9D79"/>
    <w:rsid w:val="5EC3AD18"/>
    <w:rsid w:val="5ECD6129"/>
    <w:rsid w:val="5ED141DD"/>
    <w:rsid w:val="5ED14BD9"/>
    <w:rsid w:val="5ED21CF4"/>
    <w:rsid w:val="5ED2D226"/>
    <w:rsid w:val="5ED3076A"/>
    <w:rsid w:val="5ED40E46"/>
    <w:rsid w:val="5EDAEBF4"/>
    <w:rsid w:val="5EDBA9DF"/>
    <w:rsid w:val="5EE1034D"/>
    <w:rsid w:val="5EE2C4F5"/>
    <w:rsid w:val="5EE5B82F"/>
    <w:rsid w:val="5EE603A8"/>
    <w:rsid w:val="5EE622FF"/>
    <w:rsid w:val="5EE984D3"/>
    <w:rsid w:val="5EEF4059"/>
    <w:rsid w:val="5EF6C6E4"/>
    <w:rsid w:val="5EFA4513"/>
    <w:rsid w:val="5EFA5EA0"/>
    <w:rsid w:val="5EFD4125"/>
    <w:rsid w:val="5EFE6C8A"/>
    <w:rsid w:val="5F01F319"/>
    <w:rsid w:val="5F0310AE"/>
    <w:rsid w:val="5F072EEC"/>
    <w:rsid w:val="5F09D0BF"/>
    <w:rsid w:val="5F0C25B3"/>
    <w:rsid w:val="5F0F0BF5"/>
    <w:rsid w:val="5F125295"/>
    <w:rsid w:val="5F190510"/>
    <w:rsid w:val="5F1C4DF8"/>
    <w:rsid w:val="5F1EDD28"/>
    <w:rsid w:val="5F1FCE7E"/>
    <w:rsid w:val="5F21F762"/>
    <w:rsid w:val="5F2286C1"/>
    <w:rsid w:val="5F231AB1"/>
    <w:rsid w:val="5F270A2E"/>
    <w:rsid w:val="5F277C01"/>
    <w:rsid w:val="5F3570C9"/>
    <w:rsid w:val="5F4425FF"/>
    <w:rsid w:val="5F45354F"/>
    <w:rsid w:val="5F47C60D"/>
    <w:rsid w:val="5F4B2FCD"/>
    <w:rsid w:val="5F5393CC"/>
    <w:rsid w:val="5F57CA46"/>
    <w:rsid w:val="5F5B90ED"/>
    <w:rsid w:val="5F5C6E84"/>
    <w:rsid w:val="5F609DBC"/>
    <w:rsid w:val="5F62D928"/>
    <w:rsid w:val="5F65E552"/>
    <w:rsid w:val="5F689E25"/>
    <w:rsid w:val="5F699551"/>
    <w:rsid w:val="5F6AC496"/>
    <w:rsid w:val="5F6B5862"/>
    <w:rsid w:val="5F6BACEC"/>
    <w:rsid w:val="5F746214"/>
    <w:rsid w:val="5F7B8D9E"/>
    <w:rsid w:val="5F7ECE9D"/>
    <w:rsid w:val="5F815D79"/>
    <w:rsid w:val="5F820012"/>
    <w:rsid w:val="5F846D67"/>
    <w:rsid w:val="5F89D35C"/>
    <w:rsid w:val="5F8C0567"/>
    <w:rsid w:val="5F8C714E"/>
    <w:rsid w:val="5F8DFC6D"/>
    <w:rsid w:val="5F8FB092"/>
    <w:rsid w:val="5F9F386B"/>
    <w:rsid w:val="5FAA0AD2"/>
    <w:rsid w:val="5FAC5923"/>
    <w:rsid w:val="5FB17E4E"/>
    <w:rsid w:val="5FB1F0C1"/>
    <w:rsid w:val="5FB2E71E"/>
    <w:rsid w:val="5FB35DC3"/>
    <w:rsid w:val="5FB388F4"/>
    <w:rsid w:val="5FBFD89B"/>
    <w:rsid w:val="5FC4DDD8"/>
    <w:rsid w:val="5FC7D038"/>
    <w:rsid w:val="5FC7EE2A"/>
    <w:rsid w:val="5FCF4744"/>
    <w:rsid w:val="5FD83CC3"/>
    <w:rsid w:val="5FDA684C"/>
    <w:rsid w:val="5FE3231A"/>
    <w:rsid w:val="5FE5214D"/>
    <w:rsid w:val="5FE82D28"/>
    <w:rsid w:val="5FEC8933"/>
    <w:rsid w:val="5FF02EC8"/>
    <w:rsid w:val="5FF11743"/>
    <w:rsid w:val="5FF132C7"/>
    <w:rsid w:val="5FF3298A"/>
    <w:rsid w:val="5FF4482A"/>
    <w:rsid w:val="5FFA17D3"/>
    <w:rsid w:val="5FFF6FE8"/>
    <w:rsid w:val="600D32C6"/>
    <w:rsid w:val="600DB7EC"/>
    <w:rsid w:val="600E3152"/>
    <w:rsid w:val="60164CAE"/>
    <w:rsid w:val="601AF25A"/>
    <w:rsid w:val="601B5637"/>
    <w:rsid w:val="601E147F"/>
    <w:rsid w:val="6037E18C"/>
    <w:rsid w:val="6039D62B"/>
    <w:rsid w:val="603CBE73"/>
    <w:rsid w:val="603DB746"/>
    <w:rsid w:val="603E65E4"/>
    <w:rsid w:val="604092BC"/>
    <w:rsid w:val="604511D5"/>
    <w:rsid w:val="604776F5"/>
    <w:rsid w:val="6047F177"/>
    <w:rsid w:val="604E351B"/>
    <w:rsid w:val="6050A08D"/>
    <w:rsid w:val="605A8041"/>
    <w:rsid w:val="605BD084"/>
    <w:rsid w:val="60637157"/>
    <w:rsid w:val="606B43A2"/>
    <w:rsid w:val="606C72DC"/>
    <w:rsid w:val="60736172"/>
    <w:rsid w:val="607F36F6"/>
    <w:rsid w:val="60854E2F"/>
    <w:rsid w:val="608DA0AB"/>
    <w:rsid w:val="608EA88E"/>
    <w:rsid w:val="608EDD71"/>
    <w:rsid w:val="608FC8BE"/>
    <w:rsid w:val="60903F0B"/>
    <w:rsid w:val="60974D12"/>
    <w:rsid w:val="60999EE7"/>
    <w:rsid w:val="609A0B78"/>
    <w:rsid w:val="609D1655"/>
    <w:rsid w:val="60A257E7"/>
    <w:rsid w:val="60A66C31"/>
    <w:rsid w:val="60A69A5B"/>
    <w:rsid w:val="60A75B4B"/>
    <w:rsid w:val="60A9140C"/>
    <w:rsid w:val="60AC3E18"/>
    <w:rsid w:val="60AFD225"/>
    <w:rsid w:val="60B2C057"/>
    <w:rsid w:val="60B359D6"/>
    <w:rsid w:val="60B7BA5A"/>
    <w:rsid w:val="60BAAC4C"/>
    <w:rsid w:val="60C1E06E"/>
    <w:rsid w:val="60C86F50"/>
    <w:rsid w:val="60CC28E2"/>
    <w:rsid w:val="60CCE92B"/>
    <w:rsid w:val="60CE46C4"/>
    <w:rsid w:val="60CE74AC"/>
    <w:rsid w:val="60D637E5"/>
    <w:rsid w:val="60D8C9AE"/>
    <w:rsid w:val="60D9CEE0"/>
    <w:rsid w:val="60EAF6AD"/>
    <w:rsid w:val="60EBC75D"/>
    <w:rsid w:val="60ED3320"/>
    <w:rsid w:val="60EEE4DB"/>
    <w:rsid w:val="60F1F8D1"/>
    <w:rsid w:val="60F5DCC3"/>
    <w:rsid w:val="60F985D3"/>
    <w:rsid w:val="60F9E691"/>
    <w:rsid w:val="60FCCD53"/>
    <w:rsid w:val="6103853F"/>
    <w:rsid w:val="6106C666"/>
    <w:rsid w:val="61079A6A"/>
    <w:rsid w:val="610BAD81"/>
    <w:rsid w:val="610E3B23"/>
    <w:rsid w:val="6114A84C"/>
    <w:rsid w:val="611AFE69"/>
    <w:rsid w:val="611EAC2B"/>
    <w:rsid w:val="6122AF4F"/>
    <w:rsid w:val="6126BBFC"/>
    <w:rsid w:val="612B3D73"/>
    <w:rsid w:val="612B58D0"/>
    <w:rsid w:val="613070EA"/>
    <w:rsid w:val="61317665"/>
    <w:rsid w:val="6132FF1B"/>
    <w:rsid w:val="6133A643"/>
    <w:rsid w:val="6133D3BD"/>
    <w:rsid w:val="6134948C"/>
    <w:rsid w:val="6134C570"/>
    <w:rsid w:val="6134F8B1"/>
    <w:rsid w:val="6135891F"/>
    <w:rsid w:val="6135DA08"/>
    <w:rsid w:val="613AECDD"/>
    <w:rsid w:val="613C6E5B"/>
    <w:rsid w:val="6140E176"/>
    <w:rsid w:val="614A177A"/>
    <w:rsid w:val="614ACC1D"/>
    <w:rsid w:val="6150C26F"/>
    <w:rsid w:val="6164B44F"/>
    <w:rsid w:val="616760E8"/>
    <w:rsid w:val="616B1310"/>
    <w:rsid w:val="616DE7AE"/>
    <w:rsid w:val="616F15E5"/>
    <w:rsid w:val="6173125A"/>
    <w:rsid w:val="6178D734"/>
    <w:rsid w:val="61805857"/>
    <w:rsid w:val="6181AF43"/>
    <w:rsid w:val="61863BB9"/>
    <w:rsid w:val="61890813"/>
    <w:rsid w:val="618A25CC"/>
    <w:rsid w:val="618E6AC4"/>
    <w:rsid w:val="6196ADBB"/>
    <w:rsid w:val="619808C8"/>
    <w:rsid w:val="619DB7C9"/>
    <w:rsid w:val="619F8F34"/>
    <w:rsid w:val="61A3DF3C"/>
    <w:rsid w:val="61A40417"/>
    <w:rsid w:val="61A798C8"/>
    <w:rsid w:val="61AABB07"/>
    <w:rsid w:val="61ABC1D9"/>
    <w:rsid w:val="61ACC419"/>
    <w:rsid w:val="61B60E80"/>
    <w:rsid w:val="61B8C66C"/>
    <w:rsid w:val="61BCB4D8"/>
    <w:rsid w:val="61BE0BFE"/>
    <w:rsid w:val="61D1BC1A"/>
    <w:rsid w:val="61D3581B"/>
    <w:rsid w:val="61D562C2"/>
    <w:rsid w:val="61D74879"/>
    <w:rsid w:val="61D89268"/>
    <w:rsid w:val="61D949AB"/>
    <w:rsid w:val="61DA7CE3"/>
    <w:rsid w:val="61DD9E18"/>
    <w:rsid w:val="61E1EC0F"/>
    <w:rsid w:val="61E4C7A9"/>
    <w:rsid w:val="61E4E816"/>
    <w:rsid w:val="61E8C966"/>
    <w:rsid w:val="61E9A731"/>
    <w:rsid w:val="61EB1EDC"/>
    <w:rsid w:val="61EB9351"/>
    <w:rsid w:val="61F300C4"/>
    <w:rsid w:val="61F59EE9"/>
    <w:rsid w:val="61F62CC0"/>
    <w:rsid w:val="61F89C1D"/>
    <w:rsid w:val="61F8EA67"/>
    <w:rsid w:val="61FC3A11"/>
    <w:rsid w:val="61FF0C41"/>
    <w:rsid w:val="6201B712"/>
    <w:rsid w:val="62031100"/>
    <w:rsid w:val="62037E91"/>
    <w:rsid w:val="6206E3B7"/>
    <w:rsid w:val="62085C1A"/>
    <w:rsid w:val="620997DB"/>
    <w:rsid w:val="620A047B"/>
    <w:rsid w:val="6210153C"/>
    <w:rsid w:val="6215B051"/>
    <w:rsid w:val="621A2477"/>
    <w:rsid w:val="62220954"/>
    <w:rsid w:val="622A828E"/>
    <w:rsid w:val="622EA1E3"/>
    <w:rsid w:val="62377852"/>
    <w:rsid w:val="6239BBB9"/>
    <w:rsid w:val="623CFE7F"/>
    <w:rsid w:val="6241367D"/>
    <w:rsid w:val="6245D03B"/>
    <w:rsid w:val="624A88C8"/>
    <w:rsid w:val="624AF650"/>
    <w:rsid w:val="624C6384"/>
    <w:rsid w:val="62519A65"/>
    <w:rsid w:val="62688BDE"/>
    <w:rsid w:val="626FA7F2"/>
    <w:rsid w:val="62701D04"/>
    <w:rsid w:val="627389F2"/>
    <w:rsid w:val="6274704F"/>
    <w:rsid w:val="62776B6A"/>
    <w:rsid w:val="62794923"/>
    <w:rsid w:val="627BABAC"/>
    <w:rsid w:val="627C3F3E"/>
    <w:rsid w:val="627D32CA"/>
    <w:rsid w:val="627EE07E"/>
    <w:rsid w:val="628024FD"/>
    <w:rsid w:val="6282AFDA"/>
    <w:rsid w:val="628B41B5"/>
    <w:rsid w:val="628BA1B5"/>
    <w:rsid w:val="629025E0"/>
    <w:rsid w:val="629104BF"/>
    <w:rsid w:val="629244CD"/>
    <w:rsid w:val="6293D8D3"/>
    <w:rsid w:val="62958C1C"/>
    <w:rsid w:val="6296AED0"/>
    <w:rsid w:val="6296AFF8"/>
    <w:rsid w:val="62A57A79"/>
    <w:rsid w:val="62A7DB13"/>
    <w:rsid w:val="62B473DC"/>
    <w:rsid w:val="62B901AA"/>
    <w:rsid w:val="62BF9E9C"/>
    <w:rsid w:val="62BFB7B3"/>
    <w:rsid w:val="62C0B135"/>
    <w:rsid w:val="62C6942F"/>
    <w:rsid w:val="62C81C1C"/>
    <w:rsid w:val="62C904A9"/>
    <w:rsid w:val="62C920EE"/>
    <w:rsid w:val="62CD4140"/>
    <w:rsid w:val="62D07431"/>
    <w:rsid w:val="62D93ABD"/>
    <w:rsid w:val="62DC04E6"/>
    <w:rsid w:val="62DE1C53"/>
    <w:rsid w:val="62DE34B9"/>
    <w:rsid w:val="62E83A86"/>
    <w:rsid w:val="62E8BE30"/>
    <w:rsid w:val="62E966D2"/>
    <w:rsid w:val="62EABFB2"/>
    <w:rsid w:val="62ECC925"/>
    <w:rsid w:val="62EDBC87"/>
    <w:rsid w:val="62EEFC3A"/>
    <w:rsid w:val="62F50DD3"/>
    <w:rsid w:val="62F5EA59"/>
    <w:rsid w:val="62F93D9D"/>
    <w:rsid w:val="62FA946E"/>
    <w:rsid w:val="62FBE4A3"/>
    <w:rsid w:val="6301142A"/>
    <w:rsid w:val="63017C86"/>
    <w:rsid w:val="6302FEB4"/>
    <w:rsid w:val="6309E222"/>
    <w:rsid w:val="630B4B8A"/>
    <w:rsid w:val="630BADC5"/>
    <w:rsid w:val="630D48EC"/>
    <w:rsid w:val="6314A488"/>
    <w:rsid w:val="6314C077"/>
    <w:rsid w:val="6317D4BA"/>
    <w:rsid w:val="63184833"/>
    <w:rsid w:val="631F21AC"/>
    <w:rsid w:val="6327A798"/>
    <w:rsid w:val="63299F55"/>
    <w:rsid w:val="632F4AE2"/>
    <w:rsid w:val="633179E4"/>
    <w:rsid w:val="6332A2A0"/>
    <w:rsid w:val="63331B07"/>
    <w:rsid w:val="63362F24"/>
    <w:rsid w:val="6336C037"/>
    <w:rsid w:val="6336C724"/>
    <w:rsid w:val="633763B1"/>
    <w:rsid w:val="633AA3CE"/>
    <w:rsid w:val="633CC256"/>
    <w:rsid w:val="633CD111"/>
    <w:rsid w:val="634443E0"/>
    <w:rsid w:val="634705DD"/>
    <w:rsid w:val="6347959B"/>
    <w:rsid w:val="6347B94A"/>
    <w:rsid w:val="634A3FE2"/>
    <w:rsid w:val="634FADD7"/>
    <w:rsid w:val="63515ABC"/>
    <w:rsid w:val="63523F5F"/>
    <w:rsid w:val="63530F8E"/>
    <w:rsid w:val="63533B91"/>
    <w:rsid w:val="63558375"/>
    <w:rsid w:val="63582349"/>
    <w:rsid w:val="635B5995"/>
    <w:rsid w:val="635DEDEB"/>
    <w:rsid w:val="6361BC4F"/>
    <w:rsid w:val="6362B5F3"/>
    <w:rsid w:val="6364A940"/>
    <w:rsid w:val="63658087"/>
    <w:rsid w:val="6366DF16"/>
    <w:rsid w:val="636972CC"/>
    <w:rsid w:val="6369A3F6"/>
    <w:rsid w:val="636B353C"/>
    <w:rsid w:val="6370C6F9"/>
    <w:rsid w:val="637496FD"/>
    <w:rsid w:val="637EC133"/>
    <w:rsid w:val="63802C7E"/>
    <w:rsid w:val="638314E5"/>
    <w:rsid w:val="63858154"/>
    <w:rsid w:val="638AB5F6"/>
    <w:rsid w:val="638E2FD7"/>
    <w:rsid w:val="6390B20C"/>
    <w:rsid w:val="639A9663"/>
    <w:rsid w:val="639C802B"/>
    <w:rsid w:val="639D61FD"/>
    <w:rsid w:val="639F3FE9"/>
    <w:rsid w:val="63A3C7DA"/>
    <w:rsid w:val="63A7839C"/>
    <w:rsid w:val="63A8441A"/>
    <w:rsid w:val="63A903E4"/>
    <w:rsid w:val="63AA668B"/>
    <w:rsid w:val="63ABF765"/>
    <w:rsid w:val="63AE53D9"/>
    <w:rsid w:val="63B0D426"/>
    <w:rsid w:val="63B32903"/>
    <w:rsid w:val="63B4502D"/>
    <w:rsid w:val="63B5F239"/>
    <w:rsid w:val="63BA492A"/>
    <w:rsid w:val="63BB8C3A"/>
    <w:rsid w:val="63BBADFE"/>
    <w:rsid w:val="63BEFECA"/>
    <w:rsid w:val="63C4B49A"/>
    <w:rsid w:val="63CBE1F0"/>
    <w:rsid w:val="63CEC4D7"/>
    <w:rsid w:val="63CFD2E2"/>
    <w:rsid w:val="63D048A4"/>
    <w:rsid w:val="63D14AC8"/>
    <w:rsid w:val="63D2DBF7"/>
    <w:rsid w:val="63D3BB5A"/>
    <w:rsid w:val="63D6C53B"/>
    <w:rsid w:val="63D6ED25"/>
    <w:rsid w:val="63D938E0"/>
    <w:rsid w:val="63DDFEAB"/>
    <w:rsid w:val="63DE269A"/>
    <w:rsid w:val="63E46449"/>
    <w:rsid w:val="63E61489"/>
    <w:rsid w:val="63E6FA6E"/>
    <w:rsid w:val="63E801C2"/>
    <w:rsid w:val="63E9CB9F"/>
    <w:rsid w:val="63EC7532"/>
    <w:rsid w:val="63FA96E7"/>
    <w:rsid w:val="63FABC94"/>
    <w:rsid w:val="64017A8E"/>
    <w:rsid w:val="64035FD2"/>
    <w:rsid w:val="640607EA"/>
    <w:rsid w:val="640E0AEA"/>
    <w:rsid w:val="64168CE2"/>
    <w:rsid w:val="6416F9C6"/>
    <w:rsid w:val="64186067"/>
    <w:rsid w:val="641BBB11"/>
    <w:rsid w:val="64242FC8"/>
    <w:rsid w:val="6431693C"/>
    <w:rsid w:val="6435B4D0"/>
    <w:rsid w:val="643896A7"/>
    <w:rsid w:val="64393692"/>
    <w:rsid w:val="6439BBC6"/>
    <w:rsid w:val="643B237A"/>
    <w:rsid w:val="643B62F3"/>
    <w:rsid w:val="6448C79C"/>
    <w:rsid w:val="644E9424"/>
    <w:rsid w:val="645429B9"/>
    <w:rsid w:val="6456DA1B"/>
    <w:rsid w:val="64570D28"/>
    <w:rsid w:val="645B7288"/>
    <w:rsid w:val="6461890F"/>
    <w:rsid w:val="64657B67"/>
    <w:rsid w:val="64675667"/>
    <w:rsid w:val="6467DF36"/>
    <w:rsid w:val="6469789E"/>
    <w:rsid w:val="646FE0B7"/>
    <w:rsid w:val="6472E51F"/>
    <w:rsid w:val="64733BFC"/>
    <w:rsid w:val="6479B801"/>
    <w:rsid w:val="648355A2"/>
    <w:rsid w:val="648812A7"/>
    <w:rsid w:val="6489FA41"/>
    <w:rsid w:val="648D00C8"/>
    <w:rsid w:val="648F8BF1"/>
    <w:rsid w:val="648F8FAB"/>
    <w:rsid w:val="649F3CFE"/>
    <w:rsid w:val="64A28A9F"/>
    <w:rsid w:val="64A49613"/>
    <w:rsid w:val="64A4B1FC"/>
    <w:rsid w:val="64A7175E"/>
    <w:rsid w:val="64AC03D2"/>
    <w:rsid w:val="64ADF36D"/>
    <w:rsid w:val="64AE78A2"/>
    <w:rsid w:val="64AF9F03"/>
    <w:rsid w:val="64B05158"/>
    <w:rsid w:val="64B110C7"/>
    <w:rsid w:val="64B1C207"/>
    <w:rsid w:val="64B44F9B"/>
    <w:rsid w:val="64B537BC"/>
    <w:rsid w:val="64B7F2B3"/>
    <w:rsid w:val="64B9C26C"/>
    <w:rsid w:val="64BA9D41"/>
    <w:rsid w:val="64BBA774"/>
    <w:rsid w:val="64BC0477"/>
    <w:rsid w:val="64BD6DA3"/>
    <w:rsid w:val="64C9F2E8"/>
    <w:rsid w:val="64C9F32E"/>
    <w:rsid w:val="64CA80A6"/>
    <w:rsid w:val="64CB5368"/>
    <w:rsid w:val="64CC4943"/>
    <w:rsid w:val="64CDD7B7"/>
    <w:rsid w:val="64D01E38"/>
    <w:rsid w:val="64D0AD21"/>
    <w:rsid w:val="64D0C6FC"/>
    <w:rsid w:val="64D4940E"/>
    <w:rsid w:val="64D69F0D"/>
    <w:rsid w:val="64E01628"/>
    <w:rsid w:val="64E060FC"/>
    <w:rsid w:val="64E1CC96"/>
    <w:rsid w:val="64E2EA51"/>
    <w:rsid w:val="64E4D457"/>
    <w:rsid w:val="64E93677"/>
    <w:rsid w:val="64EA674C"/>
    <w:rsid w:val="64ED7D86"/>
    <w:rsid w:val="64EDD8AE"/>
    <w:rsid w:val="64EF525D"/>
    <w:rsid w:val="65014EDE"/>
    <w:rsid w:val="650B1C8B"/>
    <w:rsid w:val="650BBD0A"/>
    <w:rsid w:val="650E0CDB"/>
    <w:rsid w:val="650EF7E0"/>
    <w:rsid w:val="650FE2E1"/>
    <w:rsid w:val="65160A87"/>
    <w:rsid w:val="6518A3A2"/>
    <w:rsid w:val="651DBE50"/>
    <w:rsid w:val="65225FDB"/>
    <w:rsid w:val="6522CF15"/>
    <w:rsid w:val="6523E2F3"/>
    <w:rsid w:val="652B60F7"/>
    <w:rsid w:val="652D696F"/>
    <w:rsid w:val="652DCF31"/>
    <w:rsid w:val="6537CE2E"/>
    <w:rsid w:val="6539F3BB"/>
    <w:rsid w:val="653A5F03"/>
    <w:rsid w:val="653B5FF7"/>
    <w:rsid w:val="653C906C"/>
    <w:rsid w:val="653CD37A"/>
    <w:rsid w:val="653EF891"/>
    <w:rsid w:val="653F7C06"/>
    <w:rsid w:val="654149E3"/>
    <w:rsid w:val="6542EE3D"/>
    <w:rsid w:val="654549D3"/>
    <w:rsid w:val="65485186"/>
    <w:rsid w:val="654A579B"/>
    <w:rsid w:val="654DBC07"/>
    <w:rsid w:val="65534C08"/>
    <w:rsid w:val="655A5982"/>
    <w:rsid w:val="655B3D1E"/>
    <w:rsid w:val="655D849A"/>
    <w:rsid w:val="6563007C"/>
    <w:rsid w:val="6567C7D8"/>
    <w:rsid w:val="6568A5E5"/>
    <w:rsid w:val="6568BC9B"/>
    <w:rsid w:val="65697D53"/>
    <w:rsid w:val="656A1B08"/>
    <w:rsid w:val="656E4DD5"/>
    <w:rsid w:val="65703999"/>
    <w:rsid w:val="6572802B"/>
    <w:rsid w:val="6578689B"/>
    <w:rsid w:val="657B084D"/>
    <w:rsid w:val="657CB06B"/>
    <w:rsid w:val="657CC771"/>
    <w:rsid w:val="657D359A"/>
    <w:rsid w:val="657FD2E6"/>
    <w:rsid w:val="6580D0FE"/>
    <w:rsid w:val="6580E3D3"/>
    <w:rsid w:val="6581C8E1"/>
    <w:rsid w:val="658B9B13"/>
    <w:rsid w:val="658C0321"/>
    <w:rsid w:val="6591142E"/>
    <w:rsid w:val="6593F84A"/>
    <w:rsid w:val="659D23FD"/>
    <w:rsid w:val="659DF388"/>
    <w:rsid w:val="659F4360"/>
    <w:rsid w:val="65A5680E"/>
    <w:rsid w:val="65A824D7"/>
    <w:rsid w:val="65ACA865"/>
    <w:rsid w:val="65B04C4D"/>
    <w:rsid w:val="65B2FB9E"/>
    <w:rsid w:val="65B597A6"/>
    <w:rsid w:val="65B5F6AE"/>
    <w:rsid w:val="65B6E6CB"/>
    <w:rsid w:val="65B7AA0D"/>
    <w:rsid w:val="65C78B7F"/>
    <w:rsid w:val="65C7AC23"/>
    <w:rsid w:val="65C83E47"/>
    <w:rsid w:val="65CC27C5"/>
    <w:rsid w:val="65CC2E2A"/>
    <w:rsid w:val="65CDD3BB"/>
    <w:rsid w:val="65E67822"/>
    <w:rsid w:val="65EA087B"/>
    <w:rsid w:val="65EB910E"/>
    <w:rsid w:val="65ED293D"/>
    <w:rsid w:val="65EFCD0D"/>
    <w:rsid w:val="65F00AA2"/>
    <w:rsid w:val="65F21EA1"/>
    <w:rsid w:val="65F621B0"/>
    <w:rsid w:val="65FEA69B"/>
    <w:rsid w:val="65FFBB57"/>
    <w:rsid w:val="6604AF26"/>
    <w:rsid w:val="66061D2B"/>
    <w:rsid w:val="6607B05E"/>
    <w:rsid w:val="66099B05"/>
    <w:rsid w:val="660D8BDF"/>
    <w:rsid w:val="660ED7FB"/>
    <w:rsid w:val="661242E3"/>
    <w:rsid w:val="66143DCF"/>
    <w:rsid w:val="66171073"/>
    <w:rsid w:val="661714E8"/>
    <w:rsid w:val="661812E3"/>
    <w:rsid w:val="661CF98B"/>
    <w:rsid w:val="661D20F2"/>
    <w:rsid w:val="66203F16"/>
    <w:rsid w:val="66224079"/>
    <w:rsid w:val="6622A8BA"/>
    <w:rsid w:val="662361A3"/>
    <w:rsid w:val="6628B290"/>
    <w:rsid w:val="662A1B41"/>
    <w:rsid w:val="662FF636"/>
    <w:rsid w:val="66323E0A"/>
    <w:rsid w:val="6633E03B"/>
    <w:rsid w:val="66352901"/>
    <w:rsid w:val="663A7CD9"/>
    <w:rsid w:val="663B0AEB"/>
    <w:rsid w:val="663C2EFD"/>
    <w:rsid w:val="663EBFAE"/>
    <w:rsid w:val="6640BD42"/>
    <w:rsid w:val="6641CF7C"/>
    <w:rsid w:val="66426A10"/>
    <w:rsid w:val="6642B42C"/>
    <w:rsid w:val="6644FE49"/>
    <w:rsid w:val="6645EA28"/>
    <w:rsid w:val="66475572"/>
    <w:rsid w:val="664B1D1C"/>
    <w:rsid w:val="664BE24F"/>
    <w:rsid w:val="6655443D"/>
    <w:rsid w:val="665697FA"/>
    <w:rsid w:val="66575C81"/>
    <w:rsid w:val="665B2F31"/>
    <w:rsid w:val="6663D4A2"/>
    <w:rsid w:val="66673E21"/>
    <w:rsid w:val="66693DD8"/>
    <w:rsid w:val="666C969A"/>
    <w:rsid w:val="666D0926"/>
    <w:rsid w:val="6670C788"/>
    <w:rsid w:val="66750A3C"/>
    <w:rsid w:val="667D5507"/>
    <w:rsid w:val="667E2B86"/>
    <w:rsid w:val="6682CFB0"/>
    <w:rsid w:val="6687C99E"/>
    <w:rsid w:val="6688875F"/>
    <w:rsid w:val="668C1573"/>
    <w:rsid w:val="668D8EA2"/>
    <w:rsid w:val="668E9204"/>
    <w:rsid w:val="6692F06C"/>
    <w:rsid w:val="6693BC3D"/>
    <w:rsid w:val="66983578"/>
    <w:rsid w:val="6698B4A9"/>
    <w:rsid w:val="6698F63D"/>
    <w:rsid w:val="6699984D"/>
    <w:rsid w:val="669FBA17"/>
    <w:rsid w:val="669FDCB0"/>
    <w:rsid w:val="66A0B1C6"/>
    <w:rsid w:val="66A0F529"/>
    <w:rsid w:val="66A38024"/>
    <w:rsid w:val="66A70895"/>
    <w:rsid w:val="66ABA199"/>
    <w:rsid w:val="66ACF2C4"/>
    <w:rsid w:val="66B210A5"/>
    <w:rsid w:val="66BDA26F"/>
    <w:rsid w:val="66C04165"/>
    <w:rsid w:val="66C232E3"/>
    <w:rsid w:val="66C4FD75"/>
    <w:rsid w:val="66CE8F10"/>
    <w:rsid w:val="66D1DCE4"/>
    <w:rsid w:val="66D545C5"/>
    <w:rsid w:val="66D7C057"/>
    <w:rsid w:val="66D81108"/>
    <w:rsid w:val="66D98453"/>
    <w:rsid w:val="66DB27AA"/>
    <w:rsid w:val="66DEA4B4"/>
    <w:rsid w:val="66DEED17"/>
    <w:rsid w:val="66E587EA"/>
    <w:rsid w:val="66E799D1"/>
    <w:rsid w:val="66E821C7"/>
    <w:rsid w:val="66EAE300"/>
    <w:rsid w:val="66ECCC06"/>
    <w:rsid w:val="66F39C2F"/>
    <w:rsid w:val="66F3A722"/>
    <w:rsid w:val="66F899CB"/>
    <w:rsid w:val="66FA960C"/>
    <w:rsid w:val="66FB1992"/>
    <w:rsid w:val="6705D568"/>
    <w:rsid w:val="67132DEA"/>
    <w:rsid w:val="6727D154"/>
    <w:rsid w:val="672AB068"/>
    <w:rsid w:val="672C59EB"/>
    <w:rsid w:val="672C845D"/>
    <w:rsid w:val="673318B4"/>
    <w:rsid w:val="6733302B"/>
    <w:rsid w:val="67363BAC"/>
    <w:rsid w:val="6737A7E3"/>
    <w:rsid w:val="6740BFBB"/>
    <w:rsid w:val="67499AC4"/>
    <w:rsid w:val="6756DB8A"/>
    <w:rsid w:val="675796EB"/>
    <w:rsid w:val="675908BB"/>
    <w:rsid w:val="6759691B"/>
    <w:rsid w:val="675C118C"/>
    <w:rsid w:val="675EB9AF"/>
    <w:rsid w:val="676C5BE7"/>
    <w:rsid w:val="676F4618"/>
    <w:rsid w:val="67706945"/>
    <w:rsid w:val="67723B55"/>
    <w:rsid w:val="67729C9F"/>
    <w:rsid w:val="6776E3A8"/>
    <w:rsid w:val="678400F9"/>
    <w:rsid w:val="67878AE2"/>
    <w:rsid w:val="6789091C"/>
    <w:rsid w:val="6789B1E8"/>
    <w:rsid w:val="678C6D8C"/>
    <w:rsid w:val="678F6931"/>
    <w:rsid w:val="679508F2"/>
    <w:rsid w:val="679CCCE0"/>
    <w:rsid w:val="679D0EC3"/>
    <w:rsid w:val="679D392F"/>
    <w:rsid w:val="67A67C53"/>
    <w:rsid w:val="67B03D06"/>
    <w:rsid w:val="67B0806D"/>
    <w:rsid w:val="67B32365"/>
    <w:rsid w:val="67B34CD8"/>
    <w:rsid w:val="67B4C9AB"/>
    <w:rsid w:val="67B4D934"/>
    <w:rsid w:val="67B544F1"/>
    <w:rsid w:val="67B64A38"/>
    <w:rsid w:val="67B96A28"/>
    <w:rsid w:val="67BC551C"/>
    <w:rsid w:val="67BD9853"/>
    <w:rsid w:val="67BDE57A"/>
    <w:rsid w:val="67BEC8DF"/>
    <w:rsid w:val="67C3CC1B"/>
    <w:rsid w:val="67CA1162"/>
    <w:rsid w:val="67CA6383"/>
    <w:rsid w:val="67CB3A8B"/>
    <w:rsid w:val="67CDC789"/>
    <w:rsid w:val="67D17397"/>
    <w:rsid w:val="67DBD764"/>
    <w:rsid w:val="67DC3702"/>
    <w:rsid w:val="67DC52DA"/>
    <w:rsid w:val="67E2E9C3"/>
    <w:rsid w:val="67E5B776"/>
    <w:rsid w:val="67EAAD11"/>
    <w:rsid w:val="67EE1572"/>
    <w:rsid w:val="67F0AC32"/>
    <w:rsid w:val="67F1C056"/>
    <w:rsid w:val="67F4E18F"/>
    <w:rsid w:val="67F51659"/>
    <w:rsid w:val="67F89BFB"/>
    <w:rsid w:val="67FAB739"/>
    <w:rsid w:val="6800F504"/>
    <w:rsid w:val="6801A2DE"/>
    <w:rsid w:val="6801BA75"/>
    <w:rsid w:val="680291EC"/>
    <w:rsid w:val="68055777"/>
    <w:rsid w:val="6807CC9F"/>
    <w:rsid w:val="6808C133"/>
    <w:rsid w:val="680AB438"/>
    <w:rsid w:val="680B056E"/>
    <w:rsid w:val="680C236B"/>
    <w:rsid w:val="680CA944"/>
    <w:rsid w:val="680E82A8"/>
    <w:rsid w:val="68109996"/>
    <w:rsid w:val="681156F8"/>
    <w:rsid w:val="68120253"/>
    <w:rsid w:val="68178C30"/>
    <w:rsid w:val="682164EB"/>
    <w:rsid w:val="682DBF35"/>
    <w:rsid w:val="68325841"/>
    <w:rsid w:val="68403CF8"/>
    <w:rsid w:val="68413A10"/>
    <w:rsid w:val="684547DC"/>
    <w:rsid w:val="6845DBD8"/>
    <w:rsid w:val="684A1486"/>
    <w:rsid w:val="684A609E"/>
    <w:rsid w:val="684AD4DA"/>
    <w:rsid w:val="684AE4E6"/>
    <w:rsid w:val="684CF301"/>
    <w:rsid w:val="684E2DA2"/>
    <w:rsid w:val="684E8754"/>
    <w:rsid w:val="6854FC53"/>
    <w:rsid w:val="6855DEFE"/>
    <w:rsid w:val="68575E24"/>
    <w:rsid w:val="685A55DF"/>
    <w:rsid w:val="6860CD5D"/>
    <w:rsid w:val="6865CA89"/>
    <w:rsid w:val="68674904"/>
    <w:rsid w:val="686E055B"/>
    <w:rsid w:val="6872FE70"/>
    <w:rsid w:val="68736F17"/>
    <w:rsid w:val="68749AF1"/>
    <w:rsid w:val="6876B5FC"/>
    <w:rsid w:val="6884E9AA"/>
    <w:rsid w:val="6885F61D"/>
    <w:rsid w:val="6888A565"/>
    <w:rsid w:val="688AF34C"/>
    <w:rsid w:val="689C3B06"/>
    <w:rsid w:val="689C86C4"/>
    <w:rsid w:val="68A04436"/>
    <w:rsid w:val="68A613E0"/>
    <w:rsid w:val="68AB5188"/>
    <w:rsid w:val="68AE9E21"/>
    <w:rsid w:val="68B01C5D"/>
    <w:rsid w:val="68B18CD1"/>
    <w:rsid w:val="68B4A854"/>
    <w:rsid w:val="68BAD5EB"/>
    <w:rsid w:val="68BEAAC6"/>
    <w:rsid w:val="68C0892D"/>
    <w:rsid w:val="68C1805C"/>
    <w:rsid w:val="68C43371"/>
    <w:rsid w:val="68C5C1BC"/>
    <w:rsid w:val="68C5DB99"/>
    <w:rsid w:val="68C6179D"/>
    <w:rsid w:val="68C71A86"/>
    <w:rsid w:val="68C7A57C"/>
    <w:rsid w:val="68CAC0A2"/>
    <w:rsid w:val="68CBD895"/>
    <w:rsid w:val="68D2457A"/>
    <w:rsid w:val="68D2810E"/>
    <w:rsid w:val="68D366DA"/>
    <w:rsid w:val="68D8EB27"/>
    <w:rsid w:val="68EE6125"/>
    <w:rsid w:val="68F3C1B5"/>
    <w:rsid w:val="68F5D254"/>
    <w:rsid w:val="68F5D894"/>
    <w:rsid w:val="68F8FEBF"/>
    <w:rsid w:val="68F9601E"/>
    <w:rsid w:val="68FCFACB"/>
    <w:rsid w:val="68FF76EF"/>
    <w:rsid w:val="6901B09F"/>
    <w:rsid w:val="69064D5D"/>
    <w:rsid w:val="6907809E"/>
    <w:rsid w:val="690E913D"/>
    <w:rsid w:val="690F366C"/>
    <w:rsid w:val="691074B3"/>
    <w:rsid w:val="6910A6E9"/>
    <w:rsid w:val="6911B033"/>
    <w:rsid w:val="69125FB6"/>
    <w:rsid w:val="69149CD3"/>
    <w:rsid w:val="69199493"/>
    <w:rsid w:val="691DDD6F"/>
    <w:rsid w:val="69209F84"/>
    <w:rsid w:val="6920F0B7"/>
    <w:rsid w:val="69269839"/>
    <w:rsid w:val="69271F63"/>
    <w:rsid w:val="69287576"/>
    <w:rsid w:val="692D648F"/>
    <w:rsid w:val="6930E3EC"/>
    <w:rsid w:val="69324CAB"/>
    <w:rsid w:val="693332A3"/>
    <w:rsid w:val="6937D193"/>
    <w:rsid w:val="6938016E"/>
    <w:rsid w:val="693904F8"/>
    <w:rsid w:val="693BDAA3"/>
    <w:rsid w:val="693D8AA4"/>
    <w:rsid w:val="69422482"/>
    <w:rsid w:val="6945368E"/>
    <w:rsid w:val="694A0328"/>
    <w:rsid w:val="694C72D9"/>
    <w:rsid w:val="69503C3C"/>
    <w:rsid w:val="6954AF8F"/>
    <w:rsid w:val="69567110"/>
    <w:rsid w:val="695A3424"/>
    <w:rsid w:val="695B2AA5"/>
    <w:rsid w:val="695C9002"/>
    <w:rsid w:val="6960C788"/>
    <w:rsid w:val="69668C8E"/>
    <w:rsid w:val="696B520D"/>
    <w:rsid w:val="69708DB7"/>
    <w:rsid w:val="697649C5"/>
    <w:rsid w:val="6977696C"/>
    <w:rsid w:val="6977C0D2"/>
    <w:rsid w:val="6979C5FE"/>
    <w:rsid w:val="6985FF15"/>
    <w:rsid w:val="69862776"/>
    <w:rsid w:val="698D52C3"/>
    <w:rsid w:val="698D5764"/>
    <w:rsid w:val="69918C9E"/>
    <w:rsid w:val="69946665"/>
    <w:rsid w:val="6997050A"/>
    <w:rsid w:val="69A74F23"/>
    <w:rsid w:val="69A8252A"/>
    <w:rsid w:val="69A8F0F6"/>
    <w:rsid w:val="69AC1441"/>
    <w:rsid w:val="69AE45A7"/>
    <w:rsid w:val="69B01EB3"/>
    <w:rsid w:val="69B8E0FD"/>
    <w:rsid w:val="69BF2E16"/>
    <w:rsid w:val="69C1EAB4"/>
    <w:rsid w:val="69C2BD9A"/>
    <w:rsid w:val="69C42886"/>
    <w:rsid w:val="69C750A6"/>
    <w:rsid w:val="69C7AA51"/>
    <w:rsid w:val="69D0CD2D"/>
    <w:rsid w:val="69D20B47"/>
    <w:rsid w:val="69D2B320"/>
    <w:rsid w:val="69D72ADD"/>
    <w:rsid w:val="69D74E0B"/>
    <w:rsid w:val="69D8D43A"/>
    <w:rsid w:val="69D9EEC2"/>
    <w:rsid w:val="69DA7224"/>
    <w:rsid w:val="69DD5B52"/>
    <w:rsid w:val="69DE76C6"/>
    <w:rsid w:val="69E08619"/>
    <w:rsid w:val="69E6C622"/>
    <w:rsid w:val="69E8142C"/>
    <w:rsid w:val="69ED3EA1"/>
    <w:rsid w:val="69EE886B"/>
    <w:rsid w:val="69EE97BC"/>
    <w:rsid w:val="69F2B009"/>
    <w:rsid w:val="69F3A4D8"/>
    <w:rsid w:val="69FA19D7"/>
    <w:rsid w:val="69FDAF03"/>
    <w:rsid w:val="6A06474E"/>
    <w:rsid w:val="6A07BB06"/>
    <w:rsid w:val="6A0A99CE"/>
    <w:rsid w:val="6A0A9A49"/>
    <w:rsid w:val="6A108844"/>
    <w:rsid w:val="6A171C34"/>
    <w:rsid w:val="6A1A2AC2"/>
    <w:rsid w:val="6A1C3E71"/>
    <w:rsid w:val="6A1E12F8"/>
    <w:rsid w:val="6A235260"/>
    <w:rsid w:val="6A23DAA9"/>
    <w:rsid w:val="6A257468"/>
    <w:rsid w:val="6A25D175"/>
    <w:rsid w:val="6A2E0BB0"/>
    <w:rsid w:val="6A2F6B1E"/>
    <w:rsid w:val="6A34694A"/>
    <w:rsid w:val="6A35EE5D"/>
    <w:rsid w:val="6A367F2B"/>
    <w:rsid w:val="6A3709C2"/>
    <w:rsid w:val="6A396DA8"/>
    <w:rsid w:val="6A397507"/>
    <w:rsid w:val="6A398B99"/>
    <w:rsid w:val="6A3B2B79"/>
    <w:rsid w:val="6A40DEEC"/>
    <w:rsid w:val="6A436067"/>
    <w:rsid w:val="6A445A78"/>
    <w:rsid w:val="6A468551"/>
    <w:rsid w:val="6A4FEC23"/>
    <w:rsid w:val="6A5061CD"/>
    <w:rsid w:val="6A508B60"/>
    <w:rsid w:val="6A568BBF"/>
    <w:rsid w:val="6A580C6E"/>
    <w:rsid w:val="6A5A68EB"/>
    <w:rsid w:val="6A5C3E34"/>
    <w:rsid w:val="6A5E6070"/>
    <w:rsid w:val="6A616A62"/>
    <w:rsid w:val="6A621803"/>
    <w:rsid w:val="6A676501"/>
    <w:rsid w:val="6A6DC359"/>
    <w:rsid w:val="6A7132D5"/>
    <w:rsid w:val="6A76C4DA"/>
    <w:rsid w:val="6A7994EE"/>
    <w:rsid w:val="6A7C8385"/>
    <w:rsid w:val="6A7D4906"/>
    <w:rsid w:val="6A7E8E70"/>
    <w:rsid w:val="6A84BACC"/>
    <w:rsid w:val="6A853CDA"/>
    <w:rsid w:val="6A8666E5"/>
    <w:rsid w:val="6A8972EC"/>
    <w:rsid w:val="6A8CC92C"/>
    <w:rsid w:val="6A902EE2"/>
    <w:rsid w:val="6A917464"/>
    <w:rsid w:val="6A9B88B4"/>
    <w:rsid w:val="6AA9E747"/>
    <w:rsid w:val="6AAB8504"/>
    <w:rsid w:val="6AB6D7E0"/>
    <w:rsid w:val="6ABADD52"/>
    <w:rsid w:val="6ABE593A"/>
    <w:rsid w:val="6AC384EA"/>
    <w:rsid w:val="6AC67D39"/>
    <w:rsid w:val="6AD07442"/>
    <w:rsid w:val="6AD105CB"/>
    <w:rsid w:val="6ADB6439"/>
    <w:rsid w:val="6AE09361"/>
    <w:rsid w:val="6AE11412"/>
    <w:rsid w:val="6AE1643D"/>
    <w:rsid w:val="6AE3B2E0"/>
    <w:rsid w:val="6AEC2AFE"/>
    <w:rsid w:val="6AF14EAF"/>
    <w:rsid w:val="6AF23C71"/>
    <w:rsid w:val="6AF80145"/>
    <w:rsid w:val="6AF900A9"/>
    <w:rsid w:val="6AFC2A5A"/>
    <w:rsid w:val="6AFED5E1"/>
    <w:rsid w:val="6AFFD133"/>
    <w:rsid w:val="6B031BE8"/>
    <w:rsid w:val="6B04BBE8"/>
    <w:rsid w:val="6B08571B"/>
    <w:rsid w:val="6B0AC1D4"/>
    <w:rsid w:val="6B0B5226"/>
    <w:rsid w:val="6B0BFD40"/>
    <w:rsid w:val="6B0FD699"/>
    <w:rsid w:val="6B12AB73"/>
    <w:rsid w:val="6B1333F4"/>
    <w:rsid w:val="6B14DCF9"/>
    <w:rsid w:val="6B16069A"/>
    <w:rsid w:val="6B166BA6"/>
    <w:rsid w:val="6B172DA0"/>
    <w:rsid w:val="6B17AECC"/>
    <w:rsid w:val="6B1CAD58"/>
    <w:rsid w:val="6B1FFC74"/>
    <w:rsid w:val="6B21C393"/>
    <w:rsid w:val="6B26591E"/>
    <w:rsid w:val="6B26A9C7"/>
    <w:rsid w:val="6B2A558F"/>
    <w:rsid w:val="6B2BFEBA"/>
    <w:rsid w:val="6B2FA3FA"/>
    <w:rsid w:val="6B33A0D6"/>
    <w:rsid w:val="6B35729E"/>
    <w:rsid w:val="6B3F3561"/>
    <w:rsid w:val="6B40DED9"/>
    <w:rsid w:val="6B48CBD7"/>
    <w:rsid w:val="6B493E5C"/>
    <w:rsid w:val="6B544D74"/>
    <w:rsid w:val="6B5AF763"/>
    <w:rsid w:val="6B64ED8C"/>
    <w:rsid w:val="6B6BB3C7"/>
    <w:rsid w:val="6B6CBF5C"/>
    <w:rsid w:val="6B6D1074"/>
    <w:rsid w:val="6B6F4C1D"/>
    <w:rsid w:val="6B738D5F"/>
    <w:rsid w:val="6B755AC2"/>
    <w:rsid w:val="6B77E77B"/>
    <w:rsid w:val="6B7861CB"/>
    <w:rsid w:val="6B79D93A"/>
    <w:rsid w:val="6B79F40C"/>
    <w:rsid w:val="6B81CD9B"/>
    <w:rsid w:val="6B82770B"/>
    <w:rsid w:val="6B865080"/>
    <w:rsid w:val="6B892C9A"/>
    <w:rsid w:val="6B8E30B7"/>
    <w:rsid w:val="6B9C12A5"/>
    <w:rsid w:val="6B9CF2AC"/>
    <w:rsid w:val="6BA0FEB5"/>
    <w:rsid w:val="6BA178DD"/>
    <w:rsid w:val="6BA5EAAE"/>
    <w:rsid w:val="6BAA5C1A"/>
    <w:rsid w:val="6BAB3FBC"/>
    <w:rsid w:val="6BB06125"/>
    <w:rsid w:val="6BB09220"/>
    <w:rsid w:val="6BB1565E"/>
    <w:rsid w:val="6BB419EE"/>
    <w:rsid w:val="6BB45571"/>
    <w:rsid w:val="6BB76C75"/>
    <w:rsid w:val="6BBAF10A"/>
    <w:rsid w:val="6BBC22AF"/>
    <w:rsid w:val="6BBEFE14"/>
    <w:rsid w:val="6BBF34B8"/>
    <w:rsid w:val="6BC3F607"/>
    <w:rsid w:val="6BC8A7CB"/>
    <w:rsid w:val="6BCBED29"/>
    <w:rsid w:val="6BCD4CD3"/>
    <w:rsid w:val="6BD9B22B"/>
    <w:rsid w:val="6BDAD547"/>
    <w:rsid w:val="6BDB3A7E"/>
    <w:rsid w:val="6BF1B89E"/>
    <w:rsid w:val="6BF2073D"/>
    <w:rsid w:val="6BF20A9A"/>
    <w:rsid w:val="6BF5C7C2"/>
    <w:rsid w:val="6BF77296"/>
    <w:rsid w:val="6BF7A5A7"/>
    <w:rsid w:val="6BF84CDC"/>
    <w:rsid w:val="6BF909E2"/>
    <w:rsid w:val="6BFDCAE2"/>
    <w:rsid w:val="6BFE730C"/>
    <w:rsid w:val="6C035438"/>
    <w:rsid w:val="6C0DCEA7"/>
    <w:rsid w:val="6C151A35"/>
    <w:rsid w:val="6C17D354"/>
    <w:rsid w:val="6C180608"/>
    <w:rsid w:val="6C181370"/>
    <w:rsid w:val="6C1835AB"/>
    <w:rsid w:val="6C1D441E"/>
    <w:rsid w:val="6C1E6A9D"/>
    <w:rsid w:val="6C1FE947"/>
    <w:rsid w:val="6C28C1CE"/>
    <w:rsid w:val="6C29116D"/>
    <w:rsid w:val="6C310879"/>
    <w:rsid w:val="6C327C36"/>
    <w:rsid w:val="6C3E3D3C"/>
    <w:rsid w:val="6C3EE6D1"/>
    <w:rsid w:val="6C413F9A"/>
    <w:rsid w:val="6C46D32F"/>
    <w:rsid w:val="6C485DE4"/>
    <w:rsid w:val="6C4E9C9F"/>
    <w:rsid w:val="6C542DCA"/>
    <w:rsid w:val="6C55BA80"/>
    <w:rsid w:val="6C5D76B1"/>
    <w:rsid w:val="6C5D7F61"/>
    <w:rsid w:val="6C64000A"/>
    <w:rsid w:val="6C662B35"/>
    <w:rsid w:val="6C68326C"/>
    <w:rsid w:val="6C6AF933"/>
    <w:rsid w:val="6C6B619C"/>
    <w:rsid w:val="6C6BE94F"/>
    <w:rsid w:val="6C6CF456"/>
    <w:rsid w:val="6C702160"/>
    <w:rsid w:val="6C751E49"/>
    <w:rsid w:val="6C79EAB6"/>
    <w:rsid w:val="6C7E0433"/>
    <w:rsid w:val="6C880471"/>
    <w:rsid w:val="6C8ADF5E"/>
    <w:rsid w:val="6C8B58F9"/>
    <w:rsid w:val="6C8C9D27"/>
    <w:rsid w:val="6C8FC0B0"/>
    <w:rsid w:val="6C968018"/>
    <w:rsid w:val="6C999E80"/>
    <w:rsid w:val="6C99A084"/>
    <w:rsid w:val="6C9B8273"/>
    <w:rsid w:val="6C9BD4BB"/>
    <w:rsid w:val="6C9CAAA7"/>
    <w:rsid w:val="6C9F5B68"/>
    <w:rsid w:val="6C9F5F08"/>
    <w:rsid w:val="6CA5225A"/>
    <w:rsid w:val="6CA9F004"/>
    <w:rsid w:val="6CAC51F7"/>
    <w:rsid w:val="6CB00ED1"/>
    <w:rsid w:val="6CB20A9A"/>
    <w:rsid w:val="6CB4E9C7"/>
    <w:rsid w:val="6CB5758C"/>
    <w:rsid w:val="6CB942FB"/>
    <w:rsid w:val="6CB960B1"/>
    <w:rsid w:val="6CBEAC95"/>
    <w:rsid w:val="6CC0C8B5"/>
    <w:rsid w:val="6CC1EDDF"/>
    <w:rsid w:val="6CCBEE67"/>
    <w:rsid w:val="6CCD4F81"/>
    <w:rsid w:val="6CD152E8"/>
    <w:rsid w:val="6CD19F84"/>
    <w:rsid w:val="6CD209FF"/>
    <w:rsid w:val="6CD5E398"/>
    <w:rsid w:val="6CD723EC"/>
    <w:rsid w:val="6CD97670"/>
    <w:rsid w:val="6CE1271C"/>
    <w:rsid w:val="6CE4118F"/>
    <w:rsid w:val="6CE6DA8A"/>
    <w:rsid w:val="6CEC632F"/>
    <w:rsid w:val="6CEED8EA"/>
    <w:rsid w:val="6CF0CF36"/>
    <w:rsid w:val="6CF45CE6"/>
    <w:rsid w:val="6CF69945"/>
    <w:rsid w:val="6CF7131B"/>
    <w:rsid w:val="6CFC8C15"/>
    <w:rsid w:val="6CFDE130"/>
    <w:rsid w:val="6D004156"/>
    <w:rsid w:val="6D0AA278"/>
    <w:rsid w:val="6D11B922"/>
    <w:rsid w:val="6D130978"/>
    <w:rsid w:val="6D15D28C"/>
    <w:rsid w:val="6D18FF2D"/>
    <w:rsid w:val="6D1C3E42"/>
    <w:rsid w:val="6D1E6784"/>
    <w:rsid w:val="6D1F214F"/>
    <w:rsid w:val="6D21BC30"/>
    <w:rsid w:val="6D299957"/>
    <w:rsid w:val="6D2B3BDF"/>
    <w:rsid w:val="6D330666"/>
    <w:rsid w:val="6D341957"/>
    <w:rsid w:val="6D372890"/>
    <w:rsid w:val="6D393CD3"/>
    <w:rsid w:val="6D396789"/>
    <w:rsid w:val="6D3CB854"/>
    <w:rsid w:val="6D40ED7D"/>
    <w:rsid w:val="6D41CC1C"/>
    <w:rsid w:val="6D480F41"/>
    <w:rsid w:val="6D48B215"/>
    <w:rsid w:val="6D4AC2F5"/>
    <w:rsid w:val="6D4C1752"/>
    <w:rsid w:val="6D4F4DDA"/>
    <w:rsid w:val="6D5366EC"/>
    <w:rsid w:val="6D579B77"/>
    <w:rsid w:val="6D6118A1"/>
    <w:rsid w:val="6D66EAB6"/>
    <w:rsid w:val="6D6E9A22"/>
    <w:rsid w:val="6D6F0087"/>
    <w:rsid w:val="6D7114B2"/>
    <w:rsid w:val="6D75823A"/>
    <w:rsid w:val="6D7A00C7"/>
    <w:rsid w:val="6D7A396D"/>
    <w:rsid w:val="6D7C9478"/>
    <w:rsid w:val="6D86D3C3"/>
    <w:rsid w:val="6D87E446"/>
    <w:rsid w:val="6D8D26D0"/>
    <w:rsid w:val="6D9198DD"/>
    <w:rsid w:val="6D99EB7C"/>
    <w:rsid w:val="6D9A8D4B"/>
    <w:rsid w:val="6DA09DD9"/>
    <w:rsid w:val="6DA28126"/>
    <w:rsid w:val="6DA3EDCA"/>
    <w:rsid w:val="6DA4E664"/>
    <w:rsid w:val="6DA9BC57"/>
    <w:rsid w:val="6DB4435A"/>
    <w:rsid w:val="6DB468BA"/>
    <w:rsid w:val="6DB49F18"/>
    <w:rsid w:val="6DB548AE"/>
    <w:rsid w:val="6DB83370"/>
    <w:rsid w:val="6DB8796C"/>
    <w:rsid w:val="6DBD253D"/>
    <w:rsid w:val="6DC4274F"/>
    <w:rsid w:val="6DC55AF7"/>
    <w:rsid w:val="6DC7D5FA"/>
    <w:rsid w:val="6DC838D2"/>
    <w:rsid w:val="6DCA9269"/>
    <w:rsid w:val="6DCABACD"/>
    <w:rsid w:val="6DD38BAE"/>
    <w:rsid w:val="6DD512E4"/>
    <w:rsid w:val="6DDA62D0"/>
    <w:rsid w:val="6DDC7DB2"/>
    <w:rsid w:val="6DDE4BB0"/>
    <w:rsid w:val="6DE157DF"/>
    <w:rsid w:val="6DE4860F"/>
    <w:rsid w:val="6DEBF7A7"/>
    <w:rsid w:val="6DEDD708"/>
    <w:rsid w:val="6DEF4940"/>
    <w:rsid w:val="6DF098A9"/>
    <w:rsid w:val="6DF0BAFE"/>
    <w:rsid w:val="6DF2BA8F"/>
    <w:rsid w:val="6DF34788"/>
    <w:rsid w:val="6DF67EC3"/>
    <w:rsid w:val="6DFC87D4"/>
    <w:rsid w:val="6E074689"/>
    <w:rsid w:val="6E0D91D9"/>
    <w:rsid w:val="6E10A0C3"/>
    <w:rsid w:val="6E16E7DC"/>
    <w:rsid w:val="6E1EF7C4"/>
    <w:rsid w:val="6E1FA8D0"/>
    <w:rsid w:val="6E1FD7C3"/>
    <w:rsid w:val="6E1FDFC8"/>
    <w:rsid w:val="6E27FA8D"/>
    <w:rsid w:val="6E28F2E7"/>
    <w:rsid w:val="6E2AAF28"/>
    <w:rsid w:val="6E2B5A1C"/>
    <w:rsid w:val="6E2BC143"/>
    <w:rsid w:val="6E35187C"/>
    <w:rsid w:val="6E3527BB"/>
    <w:rsid w:val="6E376404"/>
    <w:rsid w:val="6E3A2EFF"/>
    <w:rsid w:val="6E419F12"/>
    <w:rsid w:val="6E443106"/>
    <w:rsid w:val="6E461023"/>
    <w:rsid w:val="6E47186F"/>
    <w:rsid w:val="6E473163"/>
    <w:rsid w:val="6E48BD33"/>
    <w:rsid w:val="6E4BC76F"/>
    <w:rsid w:val="6E580560"/>
    <w:rsid w:val="6E5B3458"/>
    <w:rsid w:val="6E5C3BEC"/>
    <w:rsid w:val="6E5E3580"/>
    <w:rsid w:val="6E611D67"/>
    <w:rsid w:val="6E627B0C"/>
    <w:rsid w:val="6E6586F6"/>
    <w:rsid w:val="6E6DD22B"/>
    <w:rsid w:val="6E6FAE83"/>
    <w:rsid w:val="6E73E969"/>
    <w:rsid w:val="6E773509"/>
    <w:rsid w:val="6E779FAA"/>
    <w:rsid w:val="6E7977E1"/>
    <w:rsid w:val="6E834B38"/>
    <w:rsid w:val="6E846025"/>
    <w:rsid w:val="6E88CD8F"/>
    <w:rsid w:val="6E89B3CF"/>
    <w:rsid w:val="6E92E975"/>
    <w:rsid w:val="6E948C7C"/>
    <w:rsid w:val="6EA5E16E"/>
    <w:rsid w:val="6EA63047"/>
    <w:rsid w:val="6EA6999E"/>
    <w:rsid w:val="6EA6B984"/>
    <w:rsid w:val="6EA81E1C"/>
    <w:rsid w:val="6EA89D9B"/>
    <w:rsid w:val="6EA9A3C6"/>
    <w:rsid w:val="6EAAFD9B"/>
    <w:rsid w:val="6EAD5065"/>
    <w:rsid w:val="6EAD614B"/>
    <w:rsid w:val="6EB7909B"/>
    <w:rsid w:val="6EB872D6"/>
    <w:rsid w:val="6EBF8317"/>
    <w:rsid w:val="6EBF9528"/>
    <w:rsid w:val="6EC068D9"/>
    <w:rsid w:val="6EC190AD"/>
    <w:rsid w:val="6EC25A26"/>
    <w:rsid w:val="6EC67C2C"/>
    <w:rsid w:val="6EC9849A"/>
    <w:rsid w:val="6ECB7910"/>
    <w:rsid w:val="6ECBB0F1"/>
    <w:rsid w:val="6ECBE392"/>
    <w:rsid w:val="6ECDD642"/>
    <w:rsid w:val="6ED18C6D"/>
    <w:rsid w:val="6ED66D87"/>
    <w:rsid w:val="6ED8FE6C"/>
    <w:rsid w:val="6EE2BB00"/>
    <w:rsid w:val="6EE2C356"/>
    <w:rsid w:val="6EE2F942"/>
    <w:rsid w:val="6EE59670"/>
    <w:rsid w:val="6EE5B760"/>
    <w:rsid w:val="6EF7B4AA"/>
    <w:rsid w:val="6EFACA54"/>
    <w:rsid w:val="6EFF33AC"/>
    <w:rsid w:val="6F0337D8"/>
    <w:rsid w:val="6F057532"/>
    <w:rsid w:val="6F0A7FAC"/>
    <w:rsid w:val="6F1194AA"/>
    <w:rsid w:val="6F190415"/>
    <w:rsid w:val="6F195956"/>
    <w:rsid w:val="6F195A4B"/>
    <w:rsid w:val="6F1E1912"/>
    <w:rsid w:val="6F20CC54"/>
    <w:rsid w:val="6F219A01"/>
    <w:rsid w:val="6F232889"/>
    <w:rsid w:val="6F26F8D8"/>
    <w:rsid w:val="6F2BFC38"/>
    <w:rsid w:val="6F2E380B"/>
    <w:rsid w:val="6F2FF5C1"/>
    <w:rsid w:val="6F37AAF7"/>
    <w:rsid w:val="6F3854B2"/>
    <w:rsid w:val="6F38B5C4"/>
    <w:rsid w:val="6F3D2053"/>
    <w:rsid w:val="6F41049A"/>
    <w:rsid w:val="6F46F243"/>
    <w:rsid w:val="6F495660"/>
    <w:rsid w:val="6F56BD7D"/>
    <w:rsid w:val="6F56D9BF"/>
    <w:rsid w:val="6F5BA242"/>
    <w:rsid w:val="6F5D9D14"/>
    <w:rsid w:val="6F612CD6"/>
    <w:rsid w:val="6F62A586"/>
    <w:rsid w:val="6F6914A0"/>
    <w:rsid w:val="6F6B4ED8"/>
    <w:rsid w:val="6F716022"/>
    <w:rsid w:val="6F74A47B"/>
    <w:rsid w:val="6F7573B6"/>
    <w:rsid w:val="6F76C8B9"/>
    <w:rsid w:val="6F7A8378"/>
    <w:rsid w:val="6F7AD623"/>
    <w:rsid w:val="6F81FBE0"/>
    <w:rsid w:val="6F823636"/>
    <w:rsid w:val="6F836405"/>
    <w:rsid w:val="6F84ABC7"/>
    <w:rsid w:val="6F886443"/>
    <w:rsid w:val="6F8BC252"/>
    <w:rsid w:val="6F8BD0A3"/>
    <w:rsid w:val="6F8CD8C1"/>
    <w:rsid w:val="6F8E4235"/>
    <w:rsid w:val="6F8ECE40"/>
    <w:rsid w:val="6F8F4540"/>
    <w:rsid w:val="6F8FE635"/>
    <w:rsid w:val="6F9383DF"/>
    <w:rsid w:val="6F94B79C"/>
    <w:rsid w:val="6F95E5D1"/>
    <w:rsid w:val="6F9694CD"/>
    <w:rsid w:val="6F998BEF"/>
    <w:rsid w:val="6F9B8548"/>
    <w:rsid w:val="6F9C9BFD"/>
    <w:rsid w:val="6FA19D81"/>
    <w:rsid w:val="6FA1AD1E"/>
    <w:rsid w:val="6FA27240"/>
    <w:rsid w:val="6FAA2489"/>
    <w:rsid w:val="6FB29CFE"/>
    <w:rsid w:val="6FB529E9"/>
    <w:rsid w:val="6FCD8811"/>
    <w:rsid w:val="6FCE2FE0"/>
    <w:rsid w:val="6FD03A1B"/>
    <w:rsid w:val="6FD2A949"/>
    <w:rsid w:val="6FD31040"/>
    <w:rsid w:val="6FDA1F6C"/>
    <w:rsid w:val="6FDC6C87"/>
    <w:rsid w:val="6FE1071F"/>
    <w:rsid w:val="6FE89A60"/>
    <w:rsid w:val="6FE9DC34"/>
    <w:rsid w:val="6FEC2A6E"/>
    <w:rsid w:val="6FEEDD9A"/>
    <w:rsid w:val="6FF8E46B"/>
    <w:rsid w:val="6FF98AB8"/>
    <w:rsid w:val="6FFCBB12"/>
    <w:rsid w:val="6FFF16D2"/>
    <w:rsid w:val="70040BDB"/>
    <w:rsid w:val="70046A7F"/>
    <w:rsid w:val="70055867"/>
    <w:rsid w:val="7005EC7E"/>
    <w:rsid w:val="7006F3B9"/>
    <w:rsid w:val="700A8394"/>
    <w:rsid w:val="700E4577"/>
    <w:rsid w:val="700FE548"/>
    <w:rsid w:val="70110041"/>
    <w:rsid w:val="70152B31"/>
    <w:rsid w:val="70160D2F"/>
    <w:rsid w:val="7017A3A7"/>
    <w:rsid w:val="701D0229"/>
    <w:rsid w:val="7023B4F4"/>
    <w:rsid w:val="7023BA80"/>
    <w:rsid w:val="7023E9F4"/>
    <w:rsid w:val="7028FCAC"/>
    <w:rsid w:val="702A7D6A"/>
    <w:rsid w:val="702A8168"/>
    <w:rsid w:val="702DD609"/>
    <w:rsid w:val="702F8702"/>
    <w:rsid w:val="703AFA70"/>
    <w:rsid w:val="703BA2C2"/>
    <w:rsid w:val="703F8346"/>
    <w:rsid w:val="7045021E"/>
    <w:rsid w:val="70479B49"/>
    <w:rsid w:val="7049B7DE"/>
    <w:rsid w:val="704A5849"/>
    <w:rsid w:val="704B2452"/>
    <w:rsid w:val="705999D4"/>
    <w:rsid w:val="705ECC02"/>
    <w:rsid w:val="70686ADC"/>
    <w:rsid w:val="70720FD3"/>
    <w:rsid w:val="7074265D"/>
    <w:rsid w:val="7075A126"/>
    <w:rsid w:val="707AD193"/>
    <w:rsid w:val="708012E9"/>
    <w:rsid w:val="7081DB31"/>
    <w:rsid w:val="7082DDA0"/>
    <w:rsid w:val="70847867"/>
    <w:rsid w:val="708552F4"/>
    <w:rsid w:val="70872862"/>
    <w:rsid w:val="70888A73"/>
    <w:rsid w:val="7088C505"/>
    <w:rsid w:val="708B3868"/>
    <w:rsid w:val="708BF296"/>
    <w:rsid w:val="70934341"/>
    <w:rsid w:val="70935F76"/>
    <w:rsid w:val="709376F2"/>
    <w:rsid w:val="7093BE9C"/>
    <w:rsid w:val="7094AC9D"/>
    <w:rsid w:val="7095F894"/>
    <w:rsid w:val="7096C4B7"/>
    <w:rsid w:val="7099C3DA"/>
    <w:rsid w:val="709BB910"/>
    <w:rsid w:val="709C1ABD"/>
    <w:rsid w:val="709CA046"/>
    <w:rsid w:val="709E98BE"/>
    <w:rsid w:val="70A423A3"/>
    <w:rsid w:val="70AD15CD"/>
    <w:rsid w:val="70AD49F8"/>
    <w:rsid w:val="70B14A75"/>
    <w:rsid w:val="70B28A8B"/>
    <w:rsid w:val="70B6C150"/>
    <w:rsid w:val="70BBFCC1"/>
    <w:rsid w:val="70BC7FAA"/>
    <w:rsid w:val="70C14C09"/>
    <w:rsid w:val="70C22EBF"/>
    <w:rsid w:val="70C54E91"/>
    <w:rsid w:val="70CB6497"/>
    <w:rsid w:val="70CC7E9F"/>
    <w:rsid w:val="70D00091"/>
    <w:rsid w:val="70D15D66"/>
    <w:rsid w:val="70D74022"/>
    <w:rsid w:val="70D77132"/>
    <w:rsid w:val="70D79EA2"/>
    <w:rsid w:val="70DFA1AE"/>
    <w:rsid w:val="70E1CA11"/>
    <w:rsid w:val="70E3F75D"/>
    <w:rsid w:val="70EA43F5"/>
    <w:rsid w:val="70EE05AB"/>
    <w:rsid w:val="70F15602"/>
    <w:rsid w:val="70F2BF43"/>
    <w:rsid w:val="70F50EF2"/>
    <w:rsid w:val="70F6BF63"/>
    <w:rsid w:val="70F74BF5"/>
    <w:rsid w:val="70F9981B"/>
    <w:rsid w:val="70FA5228"/>
    <w:rsid w:val="70FB4308"/>
    <w:rsid w:val="70FBD391"/>
    <w:rsid w:val="7102599C"/>
    <w:rsid w:val="71060FB0"/>
    <w:rsid w:val="71088D61"/>
    <w:rsid w:val="710DBD96"/>
    <w:rsid w:val="710F1E4A"/>
    <w:rsid w:val="71110E10"/>
    <w:rsid w:val="7112C067"/>
    <w:rsid w:val="711A1333"/>
    <w:rsid w:val="71213612"/>
    <w:rsid w:val="71228F40"/>
    <w:rsid w:val="7124158A"/>
    <w:rsid w:val="7127B553"/>
    <w:rsid w:val="712E6A18"/>
    <w:rsid w:val="7131D5F4"/>
    <w:rsid w:val="71393FDD"/>
    <w:rsid w:val="71435666"/>
    <w:rsid w:val="7144E9D4"/>
    <w:rsid w:val="7144F664"/>
    <w:rsid w:val="7145B2CE"/>
    <w:rsid w:val="7145E32B"/>
    <w:rsid w:val="7147DB8C"/>
    <w:rsid w:val="71484885"/>
    <w:rsid w:val="714EB794"/>
    <w:rsid w:val="714EBA1B"/>
    <w:rsid w:val="71546BE7"/>
    <w:rsid w:val="7157D627"/>
    <w:rsid w:val="716786A1"/>
    <w:rsid w:val="716860C4"/>
    <w:rsid w:val="71759033"/>
    <w:rsid w:val="718069FD"/>
    <w:rsid w:val="718367FA"/>
    <w:rsid w:val="718396C0"/>
    <w:rsid w:val="718825EA"/>
    <w:rsid w:val="718A5C1E"/>
    <w:rsid w:val="718BC6C1"/>
    <w:rsid w:val="71924C97"/>
    <w:rsid w:val="7192CD15"/>
    <w:rsid w:val="7197A6B2"/>
    <w:rsid w:val="719FBE74"/>
    <w:rsid w:val="71A07193"/>
    <w:rsid w:val="71AE36A6"/>
    <w:rsid w:val="71AEBBFB"/>
    <w:rsid w:val="71B28B9D"/>
    <w:rsid w:val="71B663AC"/>
    <w:rsid w:val="71B772A5"/>
    <w:rsid w:val="71B77539"/>
    <w:rsid w:val="71B9B025"/>
    <w:rsid w:val="71BCE46F"/>
    <w:rsid w:val="71C3246B"/>
    <w:rsid w:val="71C595C2"/>
    <w:rsid w:val="71C9273E"/>
    <w:rsid w:val="71CBEC6E"/>
    <w:rsid w:val="71CD23E4"/>
    <w:rsid w:val="71CF69D8"/>
    <w:rsid w:val="71D1A16F"/>
    <w:rsid w:val="71D53DD7"/>
    <w:rsid w:val="71D5D0B2"/>
    <w:rsid w:val="71D678F0"/>
    <w:rsid w:val="71D7AFC4"/>
    <w:rsid w:val="71D99675"/>
    <w:rsid w:val="71D9B10E"/>
    <w:rsid w:val="71DA46E5"/>
    <w:rsid w:val="71DAAC80"/>
    <w:rsid w:val="71DC9BD8"/>
    <w:rsid w:val="71DF0BF3"/>
    <w:rsid w:val="71E641F9"/>
    <w:rsid w:val="71E64564"/>
    <w:rsid w:val="71E67FD0"/>
    <w:rsid w:val="71E7382E"/>
    <w:rsid w:val="71E8C8C9"/>
    <w:rsid w:val="71E8D075"/>
    <w:rsid w:val="71ECCA78"/>
    <w:rsid w:val="71F0DE20"/>
    <w:rsid w:val="71F42DDE"/>
    <w:rsid w:val="71F96902"/>
    <w:rsid w:val="71F9DED4"/>
    <w:rsid w:val="71FB6906"/>
    <w:rsid w:val="71FC3C35"/>
    <w:rsid w:val="71FEBC2C"/>
    <w:rsid w:val="7205A96D"/>
    <w:rsid w:val="7206463B"/>
    <w:rsid w:val="7206EA61"/>
    <w:rsid w:val="720AC0CA"/>
    <w:rsid w:val="720AD5AE"/>
    <w:rsid w:val="720AF6B5"/>
    <w:rsid w:val="72132819"/>
    <w:rsid w:val="72137864"/>
    <w:rsid w:val="7214A6B0"/>
    <w:rsid w:val="72156E43"/>
    <w:rsid w:val="72174299"/>
    <w:rsid w:val="721D6B77"/>
    <w:rsid w:val="721E94EB"/>
    <w:rsid w:val="7222926A"/>
    <w:rsid w:val="722370B3"/>
    <w:rsid w:val="722488C4"/>
    <w:rsid w:val="722E3007"/>
    <w:rsid w:val="722E7678"/>
    <w:rsid w:val="7232F0EA"/>
    <w:rsid w:val="72361F91"/>
    <w:rsid w:val="7238B0DC"/>
    <w:rsid w:val="7241FFA5"/>
    <w:rsid w:val="7249763D"/>
    <w:rsid w:val="724C66E7"/>
    <w:rsid w:val="72545CF0"/>
    <w:rsid w:val="7255FF34"/>
    <w:rsid w:val="7259DBE8"/>
    <w:rsid w:val="7259DD35"/>
    <w:rsid w:val="725BDDD3"/>
    <w:rsid w:val="726DCAB0"/>
    <w:rsid w:val="727081E3"/>
    <w:rsid w:val="72717BEC"/>
    <w:rsid w:val="72724284"/>
    <w:rsid w:val="72759F66"/>
    <w:rsid w:val="727B39AD"/>
    <w:rsid w:val="727BFE05"/>
    <w:rsid w:val="727CCD96"/>
    <w:rsid w:val="7280BD96"/>
    <w:rsid w:val="72816471"/>
    <w:rsid w:val="7282A2C9"/>
    <w:rsid w:val="728461E2"/>
    <w:rsid w:val="728515DC"/>
    <w:rsid w:val="72864D38"/>
    <w:rsid w:val="728F4448"/>
    <w:rsid w:val="72912C50"/>
    <w:rsid w:val="729378CC"/>
    <w:rsid w:val="7293867F"/>
    <w:rsid w:val="7293E746"/>
    <w:rsid w:val="72958E1F"/>
    <w:rsid w:val="7295ED4B"/>
    <w:rsid w:val="7296D249"/>
    <w:rsid w:val="729774FE"/>
    <w:rsid w:val="7298AF46"/>
    <w:rsid w:val="729CF766"/>
    <w:rsid w:val="72A3E5A3"/>
    <w:rsid w:val="72A3F703"/>
    <w:rsid w:val="72AAA624"/>
    <w:rsid w:val="72AAEE64"/>
    <w:rsid w:val="72AD7411"/>
    <w:rsid w:val="72B57AF9"/>
    <w:rsid w:val="72BC0F75"/>
    <w:rsid w:val="72BF078C"/>
    <w:rsid w:val="72C3E86F"/>
    <w:rsid w:val="72C9346F"/>
    <w:rsid w:val="72CFB107"/>
    <w:rsid w:val="72DDEF61"/>
    <w:rsid w:val="72DE3B57"/>
    <w:rsid w:val="72E263FA"/>
    <w:rsid w:val="72E8F793"/>
    <w:rsid w:val="72E9031D"/>
    <w:rsid w:val="72E9EA40"/>
    <w:rsid w:val="72EDF1B2"/>
    <w:rsid w:val="72F24448"/>
    <w:rsid w:val="72F636FB"/>
    <w:rsid w:val="72F756AA"/>
    <w:rsid w:val="72FCF562"/>
    <w:rsid w:val="72FFA8DF"/>
    <w:rsid w:val="730C7E0A"/>
    <w:rsid w:val="730E2119"/>
    <w:rsid w:val="7310ABE2"/>
    <w:rsid w:val="7318B6F7"/>
    <w:rsid w:val="731926E4"/>
    <w:rsid w:val="731CAAE0"/>
    <w:rsid w:val="73210DF7"/>
    <w:rsid w:val="7324F66B"/>
    <w:rsid w:val="7329EDE2"/>
    <w:rsid w:val="732AE5FA"/>
    <w:rsid w:val="733C9F44"/>
    <w:rsid w:val="733D04DC"/>
    <w:rsid w:val="7340FF23"/>
    <w:rsid w:val="734A78AD"/>
    <w:rsid w:val="734EA9B9"/>
    <w:rsid w:val="734F7D5C"/>
    <w:rsid w:val="7350B271"/>
    <w:rsid w:val="735361CC"/>
    <w:rsid w:val="73536C37"/>
    <w:rsid w:val="7355B23E"/>
    <w:rsid w:val="7358C946"/>
    <w:rsid w:val="735AB61C"/>
    <w:rsid w:val="735DEA65"/>
    <w:rsid w:val="735F12B9"/>
    <w:rsid w:val="7362EE22"/>
    <w:rsid w:val="7366D517"/>
    <w:rsid w:val="7367FEBF"/>
    <w:rsid w:val="736E91AB"/>
    <w:rsid w:val="736F3441"/>
    <w:rsid w:val="736FB67E"/>
    <w:rsid w:val="7370706C"/>
    <w:rsid w:val="7375CC58"/>
    <w:rsid w:val="737FCED8"/>
    <w:rsid w:val="7380473A"/>
    <w:rsid w:val="7388140F"/>
    <w:rsid w:val="738C8E55"/>
    <w:rsid w:val="738CA1F9"/>
    <w:rsid w:val="738CA6CF"/>
    <w:rsid w:val="738CEDCD"/>
    <w:rsid w:val="738D85E7"/>
    <w:rsid w:val="7392F344"/>
    <w:rsid w:val="7398B358"/>
    <w:rsid w:val="739D8ECF"/>
    <w:rsid w:val="739DD4D8"/>
    <w:rsid w:val="739E1134"/>
    <w:rsid w:val="739FB058"/>
    <w:rsid w:val="73A98A00"/>
    <w:rsid w:val="73AECFAD"/>
    <w:rsid w:val="73B730F4"/>
    <w:rsid w:val="73B98312"/>
    <w:rsid w:val="73BDD892"/>
    <w:rsid w:val="73C390E9"/>
    <w:rsid w:val="73C705AC"/>
    <w:rsid w:val="73CBAFBE"/>
    <w:rsid w:val="73D02166"/>
    <w:rsid w:val="73D6D6CE"/>
    <w:rsid w:val="73D7473A"/>
    <w:rsid w:val="73D878BB"/>
    <w:rsid w:val="73D92862"/>
    <w:rsid w:val="73DB6415"/>
    <w:rsid w:val="73EB4894"/>
    <w:rsid w:val="73ED83C4"/>
    <w:rsid w:val="73EF9E03"/>
    <w:rsid w:val="73F0D5B1"/>
    <w:rsid w:val="73F28267"/>
    <w:rsid w:val="73F3F9DF"/>
    <w:rsid w:val="73F7ADB2"/>
    <w:rsid w:val="740241F2"/>
    <w:rsid w:val="74045A2F"/>
    <w:rsid w:val="7404A399"/>
    <w:rsid w:val="7405C8C6"/>
    <w:rsid w:val="740600FE"/>
    <w:rsid w:val="74064FCB"/>
    <w:rsid w:val="740664B2"/>
    <w:rsid w:val="7407A57A"/>
    <w:rsid w:val="740BB544"/>
    <w:rsid w:val="74108680"/>
    <w:rsid w:val="741588B3"/>
    <w:rsid w:val="741CF437"/>
    <w:rsid w:val="741EB938"/>
    <w:rsid w:val="7420A272"/>
    <w:rsid w:val="7422E91F"/>
    <w:rsid w:val="74252420"/>
    <w:rsid w:val="742845FA"/>
    <w:rsid w:val="742DE387"/>
    <w:rsid w:val="742F2CBA"/>
    <w:rsid w:val="74315667"/>
    <w:rsid w:val="74389838"/>
    <w:rsid w:val="7439EA90"/>
    <w:rsid w:val="74451CFA"/>
    <w:rsid w:val="744E96B4"/>
    <w:rsid w:val="745C731A"/>
    <w:rsid w:val="74615615"/>
    <w:rsid w:val="7463DB45"/>
    <w:rsid w:val="74679121"/>
    <w:rsid w:val="746CB899"/>
    <w:rsid w:val="746DE88A"/>
    <w:rsid w:val="7471FC97"/>
    <w:rsid w:val="747E2BFA"/>
    <w:rsid w:val="747EE9BE"/>
    <w:rsid w:val="74804782"/>
    <w:rsid w:val="74804B97"/>
    <w:rsid w:val="748420D7"/>
    <w:rsid w:val="748686F7"/>
    <w:rsid w:val="74937322"/>
    <w:rsid w:val="74940EA0"/>
    <w:rsid w:val="749783B7"/>
    <w:rsid w:val="7497DFD1"/>
    <w:rsid w:val="749A6876"/>
    <w:rsid w:val="749ABD51"/>
    <w:rsid w:val="749DC5AB"/>
    <w:rsid w:val="749E27E2"/>
    <w:rsid w:val="74A22465"/>
    <w:rsid w:val="74A7B813"/>
    <w:rsid w:val="74AE9EDB"/>
    <w:rsid w:val="74B3B146"/>
    <w:rsid w:val="74B91561"/>
    <w:rsid w:val="74BAB376"/>
    <w:rsid w:val="74C24B22"/>
    <w:rsid w:val="74C3E8AF"/>
    <w:rsid w:val="74CB2C67"/>
    <w:rsid w:val="74CB8E19"/>
    <w:rsid w:val="74CD64EB"/>
    <w:rsid w:val="74CD6C85"/>
    <w:rsid w:val="74CDB81F"/>
    <w:rsid w:val="74CE4C2A"/>
    <w:rsid w:val="74CED188"/>
    <w:rsid w:val="74CF11FA"/>
    <w:rsid w:val="74CF3AB4"/>
    <w:rsid w:val="74D0F55A"/>
    <w:rsid w:val="74D227CE"/>
    <w:rsid w:val="74D73729"/>
    <w:rsid w:val="74D82ED5"/>
    <w:rsid w:val="74D9211C"/>
    <w:rsid w:val="74D99FE9"/>
    <w:rsid w:val="74DB59A6"/>
    <w:rsid w:val="74E15ED2"/>
    <w:rsid w:val="74E3745C"/>
    <w:rsid w:val="74E66A94"/>
    <w:rsid w:val="74EA8583"/>
    <w:rsid w:val="74EE4329"/>
    <w:rsid w:val="74EEBC93"/>
    <w:rsid w:val="74FB25D9"/>
    <w:rsid w:val="74FD7D67"/>
    <w:rsid w:val="75033ADB"/>
    <w:rsid w:val="75084D83"/>
    <w:rsid w:val="7508570A"/>
    <w:rsid w:val="750A7E56"/>
    <w:rsid w:val="750ABE6B"/>
    <w:rsid w:val="750ED30F"/>
    <w:rsid w:val="750FD163"/>
    <w:rsid w:val="751024FC"/>
    <w:rsid w:val="75116C23"/>
    <w:rsid w:val="75132343"/>
    <w:rsid w:val="7516325D"/>
    <w:rsid w:val="75178FA9"/>
    <w:rsid w:val="751861D4"/>
    <w:rsid w:val="7521BBE8"/>
    <w:rsid w:val="7524925A"/>
    <w:rsid w:val="75294E74"/>
    <w:rsid w:val="7529D6ED"/>
    <w:rsid w:val="752C240F"/>
    <w:rsid w:val="752FF83D"/>
    <w:rsid w:val="75300DEF"/>
    <w:rsid w:val="753508E4"/>
    <w:rsid w:val="7535E040"/>
    <w:rsid w:val="75379E69"/>
    <w:rsid w:val="75386636"/>
    <w:rsid w:val="75392DC3"/>
    <w:rsid w:val="753D8446"/>
    <w:rsid w:val="75400444"/>
    <w:rsid w:val="7547797D"/>
    <w:rsid w:val="754A4B89"/>
    <w:rsid w:val="754CDFC4"/>
    <w:rsid w:val="754E9CCC"/>
    <w:rsid w:val="755423B6"/>
    <w:rsid w:val="755B6309"/>
    <w:rsid w:val="755C5570"/>
    <w:rsid w:val="755D0F2F"/>
    <w:rsid w:val="756166C4"/>
    <w:rsid w:val="7562B341"/>
    <w:rsid w:val="7562D5E2"/>
    <w:rsid w:val="756836CC"/>
    <w:rsid w:val="75768641"/>
    <w:rsid w:val="757AEC95"/>
    <w:rsid w:val="757CA480"/>
    <w:rsid w:val="7580545C"/>
    <w:rsid w:val="7580EE98"/>
    <w:rsid w:val="75816465"/>
    <w:rsid w:val="7583550B"/>
    <w:rsid w:val="758BB0EE"/>
    <w:rsid w:val="75912E7A"/>
    <w:rsid w:val="75955546"/>
    <w:rsid w:val="75963729"/>
    <w:rsid w:val="75990EF7"/>
    <w:rsid w:val="759D1849"/>
    <w:rsid w:val="759D8184"/>
    <w:rsid w:val="75A12E2B"/>
    <w:rsid w:val="75A20988"/>
    <w:rsid w:val="75A38A92"/>
    <w:rsid w:val="75A59FE3"/>
    <w:rsid w:val="75A7CE26"/>
    <w:rsid w:val="75A8ABF1"/>
    <w:rsid w:val="75A95327"/>
    <w:rsid w:val="75B06A01"/>
    <w:rsid w:val="75B17066"/>
    <w:rsid w:val="75B927AF"/>
    <w:rsid w:val="75BADDAE"/>
    <w:rsid w:val="75BDEDB6"/>
    <w:rsid w:val="75BE506A"/>
    <w:rsid w:val="75C56680"/>
    <w:rsid w:val="75C656A5"/>
    <w:rsid w:val="75CA0D1F"/>
    <w:rsid w:val="75CA5344"/>
    <w:rsid w:val="75CD747A"/>
    <w:rsid w:val="75CD74C7"/>
    <w:rsid w:val="75D3A869"/>
    <w:rsid w:val="75D556C3"/>
    <w:rsid w:val="75D57EEB"/>
    <w:rsid w:val="75D76677"/>
    <w:rsid w:val="75DD1EFD"/>
    <w:rsid w:val="75DEBC16"/>
    <w:rsid w:val="75E3CEFA"/>
    <w:rsid w:val="75E4F149"/>
    <w:rsid w:val="75E5159F"/>
    <w:rsid w:val="75E788E1"/>
    <w:rsid w:val="75E7F5D4"/>
    <w:rsid w:val="75EAA9EF"/>
    <w:rsid w:val="75F0781F"/>
    <w:rsid w:val="75F81517"/>
    <w:rsid w:val="75FE995E"/>
    <w:rsid w:val="76017DD5"/>
    <w:rsid w:val="760715C2"/>
    <w:rsid w:val="76097C1B"/>
    <w:rsid w:val="760C167C"/>
    <w:rsid w:val="760F99B2"/>
    <w:rsid w:val="76102707"/>
    <w:rsid w:val="761BBFEA"/>
    <w:rsid w:val="761E59E0"/>
    <w:rsid w:val="761E8D84"/>
    <w:rsid w:val="761FA600"/>
    <w:rsid w:val="761FDC1F"/>
    <w:rsid w:val="7623C14D"/>
    <w:rsid w:val="762613BD"/>
    <w:rsid w:val="7626BAE1"/>
    <w:rsid w:val="76283D29"/>
    <w:rsid w:val="76297917"/>
    <w:rsid w:val="762BF834"/>
    <w:rsid w:val="76348A97"/>
    <w:rsid w:val="763A5209"/>
    <w:rsid w:val="7641A265"/>
    <w:rsid w:val="76420A33"/>
    <w:rsid w:val="76479633"/>
    <w:rsid w:val="7647CDF9"/>
    <w:rsid w:val="7649F600"/>
    <w:rsid w:val="764C6205"/>
    <w:rsid w:val="764CCD95"/>
    <w:rsid w:val="764DA2E7"/>
    <w:rsid w:val="764FB1F0"/>
    <w:rsid w:val="76540280"/>
    <w:rsid w:val="76579C0F"/>
    <w:rsid w:val="765D45ED"/>
    <w:rsid w:val="765E7942"/>
    <w:rsid w:val="76617AB2"/>
    <w:rsid w:val="7661F931"/>
    <w:rsid w:val="7664A401"/>
    <w:rsid w:val="76672410"/>
    <w:rsid w:val="766768DE"/>
    <w:rsid w:val="7668AB3A"/>
    <w:rsid w:val="767141B6"/>
    <w:rsid w:val="76731D0C"/>
    <w:rsid w:val="76749F7E"/>
    <w:rsid w:val="7674FE9D"/>
    <w:rsid w:val="76793219"/>
    <w:rsid w:val="767BE1BB"/>
    <w:rsid w:val="76848889"/>
    <w:rsid w:val="7688101A"/>
    <w:rsid w:val="768BB5A3"/>
    <w:rsid w:val="768CADBB"/>
    <w:rsid w:val="768DF10B"/>
    <w:rsid w:val="769280AF"/>
    <w:rsid w:val="7694318A"/>
    <w:rsid w:val="7697C23A"/>
    <w:rsid w:val="76990CA3"/>
    <w:rsid w:val="769B34A5"/>
    <w:rsid w:val="769F4D7F"/>
    <w:rsid w:val="76A5664E"/>
    <w:rsid w:val="76A68AEF"/>
    <w:rsid w:val="76A86E8B"/>
    <w:rsid w:val="76AF51DC"/>
    <w:rsid w:val="76B227C6"/>
    <w:rsid w:val="76B2B555"/>
    <w:rsid w:val="76B3A8D5"/>
    <w:rsid w:val="76B88C1C"/>
    <w:rsid w:val="76BC22A1"/>
    <w:rsid w:val="76BC3ECC"/>
    <w:rsid w:val="76BCEEC4"/>
    <w:rsid w:val="76BDC692"/>
    <w:rsid w:val="76BF4B46"/>
    <w:rsid w:val="76C3B7DE"/>
    <w:rsid w:val="76C3D2E4"/>
    <w:rsid w:val="76C564B5"/>
    <w:rsid w:val="76C778C4"/>
    <w:rsid w:val="76C8C1CD"/>
    <w:rsid w:val="76CB54B0"/>
    <w:rsid w:val="76CC38DB"/>
    <w:rsid w:val="76CCC69D"/>
    <w:rsid w:val="76CF9EB8"/>
    <w:rsid w:val="76CFFF04"/>
    <w:rsid w:val="76D00A8C"/>
    <w:rsid w:val="76D0699F"/>
    <w:rsid w:val="76D0969F"/>
    <w:rsid w:val="76DEA819"/>
    <w:rsid w:val="76E23805"/>
    <w:rsid w:val="76EA2307"/>
    <w:rsid w:val="76EB5410"/>
    <w:rsid w:val="76F2661D"/>
    <w:rsid w:val="76F39EB7"/>
    <w:rsid w:val="76F94865"/>
    <w:rsid w:val="76FCF646"/>
    <w:rsid w:val="771452E3"/>
    <w:rsid w:val="771856CB"/>
    <w:rsid w:val="77218991"/>
    <w:rsid w:val="7726D296"/>
    <w:rsid w:val="772975AC"/>
    <w:rsid w:val="772F5E1E"/>
    <w:rsid w:val="7733C766"/>
    <w:rsid w:val="7734015E"/>
    <w:rsid w:val="77376B89"/>
    <w:rsid w:val="773AE1EF"/>
    <w:rsid w:val="7741A43F"/>
    <w:rsid w:val="7744C823"/>
    <w:rsid w:val="77454172"/>
    <w:rsid w:val="7747C87A"/>
    <w:rsid w:val="7755CC58"/>
    <w:rsid w:val="7756AEAB"/>
    <w:rsid w:val="7758CEE9"/>
    <w:rsid w:val="775B27AD"/>
    <w:rsid w:val="775CF923"/>
    <w:rsid w:val="775F1846"/>
    <w:rsid w:val="7764D521"/>
    <w:rsid w:val="77668322"/>
    <w:rsid w:val="7769D555"/>
    <w:rsid w:val="776CF8F5"/>
    <w:rsid w:val="77700455"/>
    <w:rsid w:val="777301EC"/>
    <w:rsid w:val="7776DA21"/>
    <w:rsid w:val="7776FBE9"/>
    <w:rsid w:val="77788FDC"/>
    <w:rsid w:val="777AC334"/>
    <w:rsid w:val="77853F20"/>
    <w:rsid w:val="7787F856"/>
    <w:rsid w:val="778AD76C"/>
    <w:rsid w:val="778B5C44"/>
    <w:rsid w:val="778B86A3"/>
    <w:rsid w:val="779801D9"/>
    <w:rsid w:val="7798784D"/>
    <w:rsid w:val="779BD06D"/>
    <w:rsid w:val="779BE77D"/>
    <w:rsid w:val="779C5480"/>
    <w:rsid w:val="779F0E82"/>
    <w:rsid w:val="779FE75D"/>
    <w:rsid w:val="77A5A733"/>
    <w:rsid w:val="77A64285"/>
    <w:rsid w:val="77A6573B"/>
    <w:rsid w:val="77A72CCB"/>
    <w:rsid w:val="77A8BB76"/>
    <w:rsid w:val="77AE868B"/>
    <w:rsid w:val="77B60772"/>
    <w:rsid w:val="77B65530"/>
    <w:rsid w:val="77BB7E61"/>
    <w:rsid w:val="77BD471D"/>
    <w:rsid w:val="77C05875"/>
    <w:rsid w:val="77C22542"/>
    <w:rsid w:val="77C87227"/>
    <w:rsid w:val="77CCF5BB"/>
    <w:rsid w:val="77CDBBBC"/>
    <w:rsid w:val="77CF5107"/>
    <w:rsid w:val="77D0D31C"/>
    <w:rsid w:val="77D2F692"/>
    <w:rsid w:val="77D7077C"/>
    <w:rsid w:val="77D73D3C"/>
    <w:rsid w:val="77D8DB5E"/>
    <w:rsid w:val="77D9C85F"/>
    <w:rsid w:val="77E2156A"/>
    <w:rsid w:val="77E89F65"/>
    <w:rsid w:val="77EA8961"/>
    <w:rsid w:val="77ED9CF1"/>
    <w:rsid w:val="77F04342"/>
    <w:rsid w:val="77F08F79"/>
    <w:rsid w:val="77F3AF59"/>
    <w:rsid w:val="77F3DF7E"/>
    <w:rsid w:val="77F4D0EE"/>
    <w:rsid w:val="77F69DF8"/>
    <w:rsid w:val="77F6FA4D"/>
    <w:rsid w:val="77F83FFD"/>
    <w:rsid w:val="77F910E7"/>
    <w:rsid w:val="78012F80"/>
    <w:rsid w:val="780175C0"/>
    <w:rsid w:val="7801D55E"/>
    <w:rsid w:val="78029167"/>
    <w:rsid w:val="78063E68"/>
    <w:rsid w:val="780FE846"/>
    <w:rsid w:val="7812FF5E"/>
    <w:rsid w:val="78159E56"/>
    <w:rsid w:val="7816E87C"/>
    <w:rsid w:val="781951F8"/>
    <w:rsid w:val="7819C707"/>
    <w:rsid w:val="781B18FC"/>
    <w:rsid w:val="781D46E8"/>
    <w:rsid w:val="781DAEA9"/>
    <w:rsid w:val="781EA7C8"/>
    <w:rsid w:val="781F06BF"/>
    <w:rsid w:val="7820568E"/>
    <w:rsid w:val="7820B798"/>
    <w:rsid w:val="7822DEF5"/>
    <w:rsid w:val="78276A4A"/>
    <w:rsid w:val="782D3930"/>
    <w:rsid w:val="782E5056"/>
    <w:rsid w:val="78312262"/>
    <w:rsid w:val="78350A5E"/>
    <w:rsid w:val="78357891"/>
    <w:rsid w:val="783F4FD8"/>
    <w:rsid w:val="78405103"/>
    <w:rsid w:val="784544EF"/>
    <w:rsid w:val="784694C8"/>
    <w:rsid w:val="7847C535"/>
    <w:rsid w:val="7849422E"/>
    <w:rsid w:val="784F16F5"/>
    <w:rsid w:val="785126A1"/>
    <w:rsid w:val="7851D4C1"/>
    <w:rsid w:val="7851EF34"/>
    <w:rsid w:val="7852D396"/>
    <w:rsid w:val="7853B266"/>
    <w:rsid w:val="7854F8F0"/>
    <w:rsid w:val="7855A663"/>
    <w:rsid w:val="785745B0"/>
    <w:rsid w:val="78596F4F"/>
    <w:rsid w:val="785C1326"/>
    <w:rsid w:val="785D623F"/>
    <w:rsid w:val="785EBC94"/>
    <w:rsid w:val="785F9D29"/>
    <w:rsid w:val="7866BADB"/>
    <w:rsid w:val="786A7879"/>
    <w:rsid w:val="786B069B"/>
    <w:rsid w:val="786C0799"/>
    <w:rsid w:val="786F3618"/>
    <w:rsid w:val="7870F3CB"/>
    <w:rsid w:val="78716134"/>
    <w:rsid w:val="787519CC"/>
    <w:rsid w:val="787AFCDA"/>
    <w:rsid w:val="787BB3CC"/>
    <w:rsid w:val="78815426"/>
    <w:rsid w:val="788710BB"/>
    <w:rsid w:val="788A5270"/>
    <w:rsid w:val="78909212"/>
    <w:rsid w:val="78957115"/>
    <w:rsid w:val="78987D99"/>
    <w:rsid w:val="789BFD45"/>
    <w:rsid w:val="789C5458"/>
    <w:rsid w:val="789D9928"/>
    <w:rsid w:val="78A3ED77"/>
    <w:rsid w:val="78A7014B"/>
    <w:rsid w:val="78A8C133"/>
    <w:rsid w:val="78AA3FE7"/>
    <w:rsid w:val="78AC12A4"/>
    <w:rsid w:val="78B0635F"/>
    <w:rsid w:val="78B7F384"/>
    <w:rsid w:val="78B85CDD"/>
    <w:rsid w:val="78B8CE7B"/>
    <w:rsid w:val="78B942F7"/>
    <w:rsid w:val="78BED579"/>
    <w:rsid w:val="78BFA798"/>
    <w:rsid w:val="78C94ED6"/>
    <w:rsid w:val="78CC237E"/>
    <w:rsid w:val="78CF6A45"/>
    <w:rsid w:val="78CFFFB4"/>
    <w:rsid w:val="78DD1D71"/>
    <w:rsid w:val="78DF4934"/>
    <w:rsid w:val="78DFDEC6"/>
    <w:rsid w:val="78E1C916"/>
    <w:rsid w:val="78E46255"/>
    <w:rsid w:val="78E64DB2"/>
    <w:rsid w:val="78ED7BD4"/>
    <w:rsid w:val="78EE914F"/>
    <w:rsid w:val="78EEFA5C"/>
    <w:rsid w:val="78EF1408"/>
    <w:rsid w:val="78F3D518"/>
    <w:rsid w:val="78F5BF37"/>
    <w:rsid w:val="78FAF362"/>
    <w:rsid w:val="78FF1312"/>
    <w:rsid w:val="78FF1FCC"/>
    <w:rsid w:val="7901C702"/>
    <w:rsid w:val="79055714"/>
    <w:rsid w:val="79070F48"/>
    <w:rsid w:val="790730D5"/>
    <w:rsid w:val="790BBD01"/>
    <w:rsid w:val="790E5D40"/>
    <w:rsid w:val="790ECF77"/>
    <w:rsid w:val="79137AF6"/>
    <w:rsid w:val="79147CF7"/>
    <w:rsid w:val="791B836F"/>
    <w:rsid w:val="791DE714"/>
    <w:rsid w:val="7920DC8C"/>
    <w:rsid w:val="79222221"/>
    <w:rsid w:val="79246107"/>
    <w:rsid w:val="79255F72"/>
    <w:rsid w:val="79269A1C"/>
    <w:rsid w:val="7928C0E0"/>
    <w:rsid w:val="7929308F"/>
    <w:rsid w:val="792B0076"/>
    <w:rsid w:val="792BF4C1"/>
    <w:rsid w:val="79313240"/>
    <w:rsid w:val="79350547"/>
    <w:rsid w:val="7939425A"/>
    <w:rsid w:val="793A85F1"/>
    <w:rsid w:val="793BB8E6"/>
    <w:rsid w:val="793DF613"/>
    <w:rsid w:val="7945E70E"/>
    <w:rsid w:val="794AB82B"/>
    <w:rsid w:val="794B5145"/>
    <w:rsid w:val="794D654E"/>
    <w:rsid w:val="7950F96A"/>
    <w:rsid w:val="7952094F"/>
    <w:rsid w:val="79542637"/>
    <w:rsid w:val="79599835"/>
    <w:rsid w:val="795AA680"/>
    <w:rsid w:val="795BB47F"/>
    <w:rsid w:val="795D3E78"/>
    <w:rsid w:val="795F56D9"/>
    <w:rsid w:val="7960E12F"/>
    <w:rsid w:val="7967D7A2"/>
    <w:rsid w:val="796DBA3F"/>
    <w:rsid w:val="796F0ED0"/>
    <w:rsid w:val="797A4693"/>
    <w:rsid w:val="797A7945"/>
    <w:rsid w:val="797CFA69"/>
    <w:rsid w:val="7982C503"/>
    <w:rsid w:val="7983671C"/>
    <w:rsid w:val="7984D6F2"/>
    <w:rsid w:val="798730E2"/>
    <w:rsid w:val="7987DDC1"/>
    <w:rsid w:val="798A95AE"/>
    <w:rsid w:val="798AD270"/>
    <w:rsid w:val="798BB43C"/>
    <w:rsid w:val="798CB98D"/>
    <w:rsid w:val="79901F18"/>
    <w:rsid w:val="7992B1EC"/>
    <w:rsid w:val="79948A89"/>
    <w:rsid w:val="7998B7A6"/>
    <w:rsid w:val="7998E2E7"/>
    <w:rsid w:val="799CF034"/>
    <w:rsid w:val="799D8719"/>
    <w:rsid w:val="79A8C671"/>
    <w:rsid w:val="79AA1180"/>
    <w:rsid w:val="79ABED24"/>
    <w:rsid w:val="79ACE663"/>
    <w:rsid w:val="79B3DAB7"/>
    <w:rsid w:val="79B579EB"/>
    <w:rsid w:val="79BDC166"/>
    <w:rsid w:val="79BEDC57"/>
    <w:rsid w:val="79C2748A"/>
    <w:rsid w:val="79C3238A"/>
    <w:rsid w:val="79C68233"/>
    <w:rsid w:val="79CCE2C6"/>
    <w:rsid w:val="79CD8845"/>
    <w:rsid w:val="79CE3D4F"/>
    <w:rsid w:val="79D0AA24"/>
    <w:rsid w:val="79DABEDF"/>
    <w:rsid w:val="79DD4374"/>
    <w:rsid w:val="79E2A055"/>
    <w:rsid w:val="79E373CA"/>
    <w:rsid w:val="79EAA8CF"/>
    <w:rsid w:val="79ED7FA5"/>
    <w:rsid w:val="79F087BC"/>
    <w:rsid w:val="79F86F1B"/>
    <w:rsid w:val="79F9AA8F"/>
    <w:rsid w:val="79FBCCEA"/>
    <w:rsid w:val="7A000B10"/>
    <w:rsid w:val="7A0198E5"/>
    <w:rsid w:val="7A06ECD0"/>
    <w:rsid w:val="7A070486"/>
    <w:rsid w:val="7A088EA4"/>
    <w:rsid w:val="7A0B465B"/>
    <w:rsid w:val="7A10C105"/>
    <w:rsid w:val="7A1428D6"/>
    <w:rsid w:val="7A1547FA"/>
    <w:rsid w:val="7A166DEF"/>
    <w:rsid w:val="7A175358"/>
    <w:rsid w:val="7A1D5715"/>
    <w:rsid w:val="7A297B86"/>
    <w:rsid w:val="7A2E1F4F"/>
    <w:rsid w:val="7A30F581"/>
    <w:rsid w:val="7A32B790"/>
    <w:rsid w:val="7A37E49A"/>
    <w:rsid w:val="7A384F7F"/>
    <w:rsid w:val="7A387234"/>
    <w:rsid w:val="7A39C5FA"/>
    <w:rsid w:val="7A3B4423"/>
    <w:rsid w:val="7A3BC5DA"/>
    <w:rsid w:val="7A3ECCED"/>
    <w:rsid w:val="7A434FA6"/>
    <w:rsid w:val="7A4883D3"/>
    <w:rsid w:val="7A4B8816"/>
    <w:rsid w:val="7A57B3C4"/>
    <w:rsid w:val="7A581FEB"/>
    <w:rsid w:val="7A5A7936"/>
    <w:rsid w:val="7A614BDE"/>
    <w:rsid w:val="7A641ED3"/>
    <w:rsid w:val="7A64CEB5"/>
    <w:rsid w:val="7A65C7C2"/>
    <w:rsid w:val="7A66DBA3"/>
    <w:rsid w:val="7A67BE3A"/>
    <w:rsid w:val="7A6C0419"/>
    <w:rsid w:val="7A6E6CD1"/>
    <w:rsid w:val="7A702C1C"/>
    <w:rsid w:val="7A708039"/>
    <w:rsid w:val="7A715998"/>
    <w:rsid w:val="7A72C3A1"/>
    <w:rsid w:val="7A730731"/>
    <w:rsid w:val="7A7655DC"/>
    <w:rsid w:val="7A7E64AF"/>
    <w:rsid w:val="7A7E7B92"/>
    <w:rsid w:val="7A81F214"/>
    <w:rsid w:val="7A824DC5"/>
    <w:rsid w:val="7A82AC71"/>
    <w:rsid w:val="7A83C38C"/>
    <w:rsid w:val="7A842FF3"/>
    <w:rsid w:val="7A871835"/>
    <w:rsid w:val="7A8C621D"/>
    <w:rsid w:val="7A8CF443"/>
    <w:rsid w:val="7A8FA996"/>
    <w:rsid w:val="7A90E438"/>
    <w:rsid w:val="7A91226A"/>
    <w:rsid w:val="7A92D0C0"/>
    <w:rsid w:val="7A92D9ED"/>
    <w:rsid w:val="7A931144"/>
    <w:rsid w:val="7A951F49"/>
    <w:rsid w:val="7A9535AC"/>
    <w:rsid w:val="7A9BA71A"/>
    <w:rsid w:val="7A9F3B89"/>
    <w:rsid w:val="7A9FCBFC"/>
    <w:rsid w:val="7AA00F67"/>
    <w:rsid w:val="7AA3E060"/>
    <w:rsid w:val="7AA74371"/>
    <w:rsid w:val="7AA83BD5"/>
    <w:rsid w:val="7AAA063D"/>
    <w:rsid w:val="7AAAAECB"/>
    <w:rsid w:val="7AAFDEEB"/>
    <w:rsid w:val="7AB07C58"/>
    <w:rsid w:val="7AB64363"/>
    <w:rsid w:val="7AB73EE9"/>
    <w:rsid w:val="7AB9BF33"/>
    <w:rsid w:val="7ABC0634"/>
    <w:rsid w:val="7AC0E50A"/>
    <w:rsid w:val="7AC514CC"/>
    <w:rsid w:val="7AC5A63B"/>
    <w:rsid w:val="7ACADBC1"/>
    <w:rsid w:val="7ACEA49D"/>
    <w:rsid w:val="7AD54BF5"/>
    <w:rsid w:val="7AD5594C"/>
    <w:rsid w:val="7AD7DE2E"/>
    <w:rsid w:val="7ADDDE1A"/>
    <w:rsid w:val="7AE0B28B"/>
    <w:rsid w:val="7AE15E02"/>
    <w:rsid w:val="7AE18095"/>
    <w:rsid w:val="7AE53AD1"/>
    <w:rsid w:val="7AE76A64"/>
    <w:rsid w:val="7AEA5343"/>
    <w:rsid w:val="7AEBBA77"/>
    <w:rsid w:val="7AEC11BD"/>
    <w:rsid w:val="7AECEB3D"/>
    <w:rsid w:val="7AEF6E57"/>
    <w:rsid w:val="7AEF8B68"/>
    <w:rsid w:val="7AF3C881"/>
    <w:rsid w:val="7AF60684"/>
    <w:rsid w:val="7AF787CD"/>
    <w:rsid w:val="7AFB117E"/>
    <w:rsid w:val="7AFDF77C"/>
    <w:rsid w:val="7AFE5C60"/>
    <w:rsid w:val="7B030473"/>
    <w:rsid w:val="7B036345"/>
    <w:rsid w:val="7B076827"/>
    <w:rsid w:val="7B0868DD"/>
    <w:rsid w:val="7B095CB4"/>
    <w:rsid w:val="7B0C7140"/>
    <w:rsid w:val="7B102EBC"/>
    <w:rsid w:val="7B107E3E"/>
    <w:rsid w:val="7B139DD9"/>
    <w:rsid w:val="7B17EF6C"/>
    <w:rsid w:val="7B1A1E3D"/>
    <w:rsid w:val="7B1FEB13"/>
    <w:rsid w:val="7B20094D"/>
    <w:rsid w:val="7B207559"/>
    <w:rsid w:val="7B2C0244"/>
    <w:rsid w:val="7B2E6BA9"/>
    <w:rsid w:val="7B32C537"/>
    <w:rsid w:val="7B338647"/>
    <w:rsid w:val="7B3710EC"/>
    <w:rsid w:val="7B3DA994"/>
    <w:rsid w:val="7B3E1A8B"/>
    <w:rsid w:val="7B42DADD"/>
    <w:rsid w:val="7B42ECD0"/>
    <w:rsid w:val="7B4CDDE2"/>
    <w:rsid w:val="7B53D948"/>
    <w:rsid w:val="7B547D6A"/>
    <w:rsid w:val="7B5E1A2A"/>
    <w:rsid w:val="7B627551"/>
    <w:rsid w:val="7B6372F0"/>
    <w:rsid w:val="7B638905"/>
    <w:rsid w:val="7B63A173"/>
    <w:rsid w:val="7B6AE656"/>
    <w:rsid w:val="7B6D6870"/>
    <w:rsid w:val="7B719A46"/>
    <w:rsid w:val="7B724F07"/>
    <w:rsid w:val="7B751F3E"/>
    <w:rsid w:val="7B7546AB"/>
    <w:rsid w:val="7B758D8C"/>
    <w:rsid w:val="7B7B89CA"/>
    <w:rsid w:val="7B803305"/>
    <w:rsid w:val="7B8725BA"/>
    <w:rsid w:val="7B8ABF50"/>
    <w:rsid w:val="7B8D4535"/>
    <w:rsid w:val="7B946172"/>
    <w:rsid w:val="7B9D3885"/>
    <w:rsid w:val="7BA3188C"/>
    <w:rsid w:val="7BA7BAA7"/>
    <w:rsid w:val="7BA8CADE"/>
    <w:rsid w:val="7BAB790B"/>
    <w:rsid w:val="7BAD8918"/>
    <w:rsid w:val="7BAFF4F2"/>
    <w:rsid w:val="7BB04CB1"/>
    <w:rsid w:val="7BB7BB50"/>
    <w:rsid w:val="7BB85EEF"/>
    <w:rsid w:val="7BB8FE8F"/>
    <w:rsid w:val="7BB90F14"/>
    <w:rsid w:val="7BBA25C9"/>
    <w:rsid w:val="7BC48D68"/>
    <w:rsid w:val="7BC7B3E4"/>
    <w:rsid w:val="7BC8315B"/>
    <w:rsid w:val="7BC83C2C"/>
    <w:rsid w:val="7BCAD1AC"/>
    <w:rsid w:val="7BCC01B7"/>
    <w:rsid w:val="7BD091CD"/>
    <w:rsid w:val="7BD621C6"/>
    <w:rsid w:val="7BDDC130"/>
    <w:rsid w:val="7BDDDE84"/>
    <w:rsid w:val="7BE2F3F5"/>
    <w:rsid w:val="7BECF17B"/>
    <w:rsid w:val="7BF092F3"/>
    <w:rsid w:val="7BF3585B"/>
    <w:rsid w:val="7BF534B1"/>
    <w:rsid w:val="7BF55564"/>
    <w:rsid w:val="7BF8F0A6"/>
    <w:rsid w:val="7C01BF70"/>
    <w:rsid w:val="7C035234"/>
    <w:rsid w:val="7C05D878"/>
    <w:rsid w:val="7C084F4D"/>
    <w:rsid w:val="7C0C319E"/>
    <w:rsid w:val="7C15BB33"/>
    <w:rsid w:val="7C1BA328"/>
    <w:rsid w:val="7C1C2D5A"/>
    <w:rsid w:val="7C207942"/>
    <w:rsid w:val="7C218EE7"/>
    <w:rsid w:val="7C21B7CB"/>
    <w:rsid w:val="7C22E5A6"/>
    <w:rsid w:val="7C22EA42"/>
    <w:rsid w:val="7C2635F7"/>
    <w:rsid w:val="7C284AD5"/>
    <w:rsid w:val="7C287EF5"/>
    <w:rsid w:val="7C293611"/>
    <w:rsid w:val="7C2992FA"/>
    <w:rsid w:val="7C2EC3B9"/>
    <w:rsid w:val="7C343E69"/>
    <w:rsid w:val="7C344572"/>
    <w:rsid w:val="7C39A8A3"/>
    <w:rsid w:val="7C3D6398"/>
    <w:rsid w:val="7C3FCFB9"/>
    <w:rsid w:val="7C412884"/>
    <w:rsid w:val="7C41876D"/>
    <w:rsid w:val="7C46C177"/>
    <w:rsid w:val="7C498BEB"/>
    <w:rsid w:val="7C49D4F8"/>
    <w:rsid w:val="7C4B4C93"/>
    <w:rsid w:val="7C4E3CAB"/>
    <w:rsid w:val="7C4E473D"/>
    <w:rsid w:val="7C50B10D"/>
    <w:rsid w:val="7C55D542"/>
    <w:rsid w:val="7C5730DE"/>
    <w:rsid w:val="7C59D315"/>
    <w:rsid w:val="7C5F3401"/>
    <w:rsid w:val="7C60E6EB"/>
    <w:rsid w:val="7C61476C"/>
    <w:rsid w:val="7C630C10"/>
    <w:rsid w:val="7C6610F9"/>
    <w:rsid w:val="7C6948EA"/>
    <w:rsid w:val="7C695CFC"/>
    <w:rsid w:val="7C6A68A4"/>
    <w:rsid w:val="7C6C8B38"/>
    <w:rsid w:val="7C713095"/>
    <w:rsid w:val="7C72E2D6"/>
    <w:rsid w:val="7C763DF0"/>
    <w:rsid w:val="7C77FF50"/>
    <w:rsid w:val="7C7965D1"/>
    <w:rsid w:val="7C7991CB"/>
    <w:rsid w:val="7C79BFA8"/>
    <w:rsid w:val="7C7EABC5"/>
    <w:rsid w:val="7C86D6CB"/>
    <w:rsid w:val="7C8815D8"/>
    <w:rsid w:val="7C89B914"/>
    <w:rsid w:val="7C8AB0E1"/>
    <w:rsid w:val="7C93DC31"/>
    <w:rsid w:val="7C953014"/>
    <w:rsid w:val="7C95489A"/>
    <w:rsid w:val="7C95CACD"/>
    <w:rsid w:val="7C971272"/>
    <w:rsid w:val="7C98DD2D"/>
    <w:rsid w:val="7C9933A7"/>
    <w:rsid w:val="7C9B1FBA"/>
    <w:rsid w:val="7C9D7CBF"/>
    <w:rsid w:val="7CA14D79"/>
    <w:rsid w:val="7CA3162C"/>
    <w:rsid w:val="7CA36466"/>
    <w:rsid w:val="7CA41845"/>
    <w:rsid w:val="7CA4D2D4"/>
    <w:rsid w:val="7CA5A9DC"/>
    <w:rsid w:val="7CA858E4"/>
    <w:rsid w:val="7CA9B8F1"/>
    <w:rsid w:val="7CAA33C6"/>
    <w:rsid w:val="7CADA594"/>
    <w:rsid w:val="7CB15A18"/>
    <w:rsid w:val="7CB57BF4"/>
    <w:rsid w:val="7CB5976F"/>
    <w:rsid w:val="7CB73BA4"/>
    <w:rsid w:val="7CB793DB"/>
    <w:rsid w:val="7CBA8C30"/>
    <w:rsid w:val="7CBD5BBB"/>
    <w:rsid w:val="7CC2F5A8"/>
    <w:rsid w:val="7CC4898A"/>
    <w:rsid w:val="7CC8FBCD"/>
    <w:rsid w:val="7CC91A36"/>
    <w:rsid w:val="7CCCF20D"/>
    <w:rsid w:val="7CD1ABF3"/>
    <w:rsid w:val="7CD5171F"/>
    <w:rsid w:val="7CD6C9BE"/>
    <w:rsid w:val="7CD75474"/>
    <w:rsid w:val="7CD8B8ED"/>
    <w:rsid w:val="7CD9FB21"/>
    <w:rsid w:val="7CDDDE5B"/>
    <w:rsid w:val="7CDECCD0"/>
    <w:rsid w:val="7CE2777E"/>
    <w:rsid w:val="7CE3819A"/>
    <w:rsid w:val="7CE420B5"/>
    <w:rsid w:val="7CE97321"/>
    <w:rsid w:val="7CF0DE92"/>
    <w:rsid w:val="7CF11A9E"/>
    <w:rsid w:val="7CF2616B"/>
    <w:rsid w:val="7CF2FCA9"/>
    <w:rsid w:val="7CF48CA2"/>
    <w:rsid w:val="7CF555C9"/>
    <w:rsid w:val="7CF636C2"/>
    <w:rsid w:val="7CF639EE"/>
    <w:rsid w:val="7CF96D56"/>
    <w:rsid w:val="7CFAF67C"/>
    <w:rsid w:val="7CFCDEE1"/>
    <w:rsid w:val="7D003578"/>
    <w:rsid w:val="7D03F53B"/>
    <w:rsid w:val="7D05FD6F"/>
    <w:rsid w:val="7D061718"/>
    <w:rsid w:val="7D0C13CA"/>
    <w:rsid w:val="7D0DD4B9"/>
    <w:rsid w:val="7D0DF81C"/>
    <w:rsid w:val="7D0E972B"/>
    <w:rsid w:val="7D1211CC"/>
    <w:rsid w:val="7D157D8C"/>
    <w:rsid w:val="7D15BEEF"/>
    <w:rsid w:val="7D16A84D"/>
    <w:rsid w:val="7D27C6EA"/>
    <w:rsid w:val="7D2A3BF5"/>
    <w:rsid w:val="7D2AE030"/>
    <w:rsid w:val="7D2B0902"/>
    <w:rsid w:val="7D2D64C5"/>
    <w:rsid w:val="7D307FDB"/>
    <w:rsid w:val="7D33AC46"/>
    <w:rsid w:val="7D350B79"/>
    <w:rsid w:val="7D3A4B44"/>
    <w:rsid w:val="7D3AD89C"/>
    <w:rsid w:val="7D3BCB1A"/>
    <w:rsid w:val="7D3FDDA1"/>
    <w:rsid w:val="7D40CEDC"/>
    <w:rsid w:val="7D41B6A0"/>
    <w:rsid w:val="7D443AFD"/>
    <w:rsid w:val="7D44A214"/>
    <w:rsid w:val="7D45FACC"/>
    <w:rsid w:val="7D475FC4"/>
    <w:rsid w:val="7D4C06AE"/>
    <w:rsid w:val="7D4D8E7F"/>
    <w:rsid w:val="7D4EDC91"/>
    <w:rsid w:val="7D4F30D9"/>
    <w:rsid w:val="7D513C93"/>
    <w:rsid w:val="7D59BF28"/>
    <w:rsid w:val="7D5B1609"/>
    <w:rsid w:val="7D5D9F7C"/>
    <w:rsid w:val="7D60CB4D"/>
    <w:rsid w:val="7D677002"/>
    <w:rsid w:val="7D67C2BD"/>
    <w:rsid w:val="7D6AF107"/>
    <w:rsid w:val="7D6B2133"/>
    <w:rsid w:val="7D6B3140"/>
    <w:rsid w:val="7D6D8378"/>
    <w:rsid w:val="7D6FBAC2"/>
    <w:rsid w:val="7D730601"/>
    <w:rsid w:val="7D7825DD"/>
    <w:rsid w:val="7D7DDD64"/>
    <w:rsid w:val="7D7F99AF"/>
    <w:rsid w:val="7D83C535"/>
    <w:rsid w:val="7D864B07"/>
    <w:rsid w:val="7D8832CB"/>
    <w:rsid w:val="7D89EEB1"/>
    <w:rsid w:val="7D911D9B"/>
    <w:rsid w:val="7D91EB20"/>
    <w:rsid w:val="7D944516"/>
    <w:rsid w:val="7D94D794"/>
    <w:rsid w:val="7D97E70C"/>
    <w:rsid w:val="7D9AB291"/>
    <w:rsid w:val="7D9B1BAA"/>
    <w:rsid w:val="7D9C689E"/>
    <w:rsid w:val="7DA1E4EF"/>
    <w:rsid w:val="7DA3895F"/>
    <w:rsid w:val="7DA8A30A"/>
    <w:rsid w:val="7DAE4B0F"/>
    <w:rsid w:val="7DB240F7"/>
    <w:rsid w:val="7DB2A23A"/>
    <w:rsid w:val="7DB8B31B"/>
    <w:rsid w:val="7DB9F0E1"/>
    <w:rsid w:val="7DBA34F4"/>
    <w:rsid w:val="7DBEBF86"/>
    <w:rsid w:val="7DBF76AA"/>
    <w:rsid w:val="7DC80B65"/>
    <w:rsid w:val="7DCCE14C"/>
    <w:rsid w:val="7DCD42DA"/>
    <w:rsid w:val="7DCE67C8"/>
    <w:rsid w:val="7DCF1DD3"/>
    <w:rsid w:val="7DD580D0"/>
    <w:rsid w:val="7DD87E87"/>
    <w:rsid w:val="7DD952CA"/>
    <w:rsid w:val="7DDA9C72"/>
    <w:rsid w:val="7DDB92A5"/>
    <w:rsid w:val="7DE07418"/>
    <w:rsid w:val="7DE3B1B6"/>
    <w:rsid w:val="7DE4A0F2"/>
    <w:rsid w:val="7DE76EF8"/>
    <w:rsid w:val="7DE79E07"/>
    <w:rsid w:val="7DE7E035"/>
    <w:rsid w:val="7DEAAFA9"/>
    <w:rsid w:val="7DEDA79E"/>
    <w:rsid w:val="7DEE95B6"/>
    <w:rsid w:val="7DF13D1B"/>
    <w:rsid w:val="7DF17415"/>
    <w:rsid w:val="7DF26D93"/>
    <w:rsid w:val="7DF3B469"/>
    <w:rsid w:val="7DF9AC1B"/>
    <w:rsid w:val="7E006CAD"/>
    <w:rsid w:val="7E02358F"/>
    <w:rsid w:val="7E02DD01"/>
    <w:rsid w:val="7E03458C"/>
    <w:rsid w:val="7E062961"/>
    <w:rsid w:val="7E087718"/>
    <w:rsid w:val="7E08BFD7"/>
    <w:rsid w:val="7E0E4A8A"/>
    <w:rsid w:val="7E0EB39C"/>
    <w:rsid w:val="7E12E64A"/>
    <w:rsid w:val="7E133665"/>
    <w:rsid w:val="7E24AECA"/>
    <w:rsid w:val="7E25E1D2"/>
    <w:rsid w:val="7E2603D8"/>
    <w:rsid w:val="7E28E80E"/>
    <w:rsid w:val="7E290CA1"/>
    <w:rsid w:val="7E2B1A3A"/>
    <w:rsid w:val="7E2CCB9A"/>
    <w:rsid w:val="7E32C87F"/>
    <w:rsid w:val="7E369E1F"/>
    <w:rsid w:val="7E3B5C75"/>
    <w:rsid w:val="7E3C4ACA"/>
    <w:rsid w:val="7E3D361E"/>
    <w:rsid w:val="7E403B29"/>
    <w:rsid w:val="7E452E45"/>
    <w:rsid w:val="7E457C1D"/>
    <w:rsid w:val="7E45B2FF"/>
    <w:rsid w:val="7E472E2C"/>
    <w:rsid w:val="7E499A55"/>
    <w:rsid w:val="7E52849F"/>
    <w:rsid w:val="7E52CF2A"/>
    <w:rsid w:val="7E542A60"/>
    <w:rsid w:val="7E569C63"/>
    <w:rsid w:val="7E595EC2"/>
    <w:rsid w:val="7E5D2BBB"/>
    <w:rsid w:val="7E601F5A"/>
    <w:rsid w:val="7E602961"/>
    <w:rsid w:val="7E6A744F"/>
    <w:rsid w:val="7E6C80B8"/>
    <w:rsid w:val="7E6D59BB"/>
    <w:rsid w:val="7E6DACAA"/>
    <w:rsid w:val="7E6E8806"/>
    <w:rsid w:val="7E75B0BF"/>
    <w:rsid w:val="7E75E64A"/>
    <w:rsid w:val="7E7F62C5"/>
    <w:rsid w:val="7E875D23"/>
    <w:rsid w:val="7E88876B"/>
    <w:rsid w:val="7E8F25D0"/>
    <w:rsid w:val="7E8FC249"/>
    <w:rsid w:val="7E909992"/>
    <w:rsid w:val="7E916D27"/>
    <w:rsid w:val="7E929396"/>
    <w:rsid w:val="7E9457E2"/>
    <w:rsid w:val="7E951693"/>
    <w:rsid w:val="7E97EA96"/>
    <w:rsid w:val="7E9A21E4"/>
    <w:rsid w:val="7E9F5AA5"/>
    <w:rsid w:val="7EA1DD19"/>
    <w:rsid w:val="7EAAC5E2"/>
    <w:rsid w:val="7EAC8E5A"/>
    <w:rsid w:val="7EAEE5BF"/>
    <w:rsid w:val="7EAEF22F"/>
    <w:rsid w:val="7EAFFF22"/>
    <w:rsid w:val="7EB00C41"/>
    <w:rsid w:val="7EB63D67"/>
    <w:rsid w:val="7EBE7CFA"/>
    <w:rsid w:val="7EC445E4"/>
    <w:rsid w:val="7EC8E40A"/>
    <w:rsid w:val="7ECAC571"/>
    <w:rsid w:val="7ED0E234"/>
    <w:rsid w:val="7ED32FA0"/>
    <w:rsid w:val="7ED56759"/>
    <w:rsid w:val="7ED8CC87"/>
    <w:rsid w:val="7EDF5921"/>
    <w:rsid w:val="7EDF910C"/>
    <w:rsid w:val="7EDF9CE7"/>
    <w:rsid w:val="7EDFFFE5"/>
    <w:rsid w:val="7EE25A76"/>
    <w:rsid w:val="7EE4A00A"/>
    <w:rsid w:val="7EE735C5"/>
    <w:rsid w:val="7EE9B7FF"/>
    <w:rsid w:val="7EF24B1B"/>
    <w:rsid w:val="7EF6010B"/>
    <w:rsid w:val="7EF6A26E"/>
    <w:rsid w:val="7EFB94B1"/>
    <w:rsid w:val="7EFCA622"/>
    <w:rsid w:val="7EFDA052"/>
    <w:rsid w:val="7F00AD4E"/>
    <w:rsid w:val="7F0162DF"/>
    <w:rsid w:val="7F026561"/>
    <w:rsid w:val="7F05BDB9"/>
    <w:rsid w:val="7F0C6A89"/>
    <w:rsid w:val="7F0FF7B9"/>
    <w:rsid w:val="7F166619"/>
    <w:rsid w:val="7F1B36BD"/>
    <w:rsid w:val="7F1BC531"/>
    <w:rsid w:val="7F23E52A"/>
    <w:rsid w:val="7F2AF2DB"/>
    <w:rsid w:val="7F2C2480"/>
    <w:rsid w:val="7F2CF61B"/>
    <w:rsid w:val="7F2EB589"/>
    <w:rsid w:val="7F2F1D88"/>
    <w:rsid w:val="7F32D32E"/>
    <w:rsid w:val="7F3517E0"/>
    <w:rsid w:val="7F353310"/>
    <w:rsid w:val="7F370A6F"/>
    <w:rsid w:val="7F45C0B0"/>
    <w:rsid w:val="7F476A23"/>
    <w:rsid w:val="7F478F49"/>
    <w:rsid w:val="7F496860"/>
    <w:rsid w:val="7F50E9FD"/>
    <w:rsid w:val="7F6549EA"/>
    <w:rsid w:val="7F6F3F3C"/>
    <w:rsid w:val="7F723D1E"/>
    <w:rsid w:val="7F82A4B1"/>
    <w:rsid w:val="7F895848"/>
    <w:rsid w:val="7F8B998B"/>
    <w:rsid w:val="7F8C4AB7"/>
    <w:rsid w:val="7F8CF9AC"/>
    <w:rsid w:val="7F8E13E7"/>
    <w:rsid w:val="7F8FE84A"/>
    <w:rsid w:val="7F90338D"/>
    <w:rsid w:val="7F9362F1"/>
    <w:rsid w:val="7F9792C5"/>
    <w:rsid w:val="7F9CC9EA"/>
    <w:rsid w:val="7FA193DB"/>
    <w:rsid w:val="7FA20C74"/>
    <w:rsid w:val="7FA4A0F2"/>
    <w:rsid w:val="7FA6CD07"/>
    <w:rsid w:val="7FA8BC7E"/>
    <w:rsid w:val="7FA92510"/>
    <w:rsid w:val="7FB2C41C"/>
    <w:rsid w:val="7FB35FBA"/>
    <w:rsid w:val="7FB44375"/>
    <w:rsid w:val="7FC17559"/>
    <w:rsid w:val="7FC8363C"/>
    <w:rsid w:val="7FD085BD"/>
    <w:rsid w:val="7FD22ED0"/>
    <w:rsid w:val="7FD6904A"/>
    <w:rsid w:val="7FD9B521"/>
    <w:rsid w:val="7FDBE641"/>
    <w:rsid w:val="7FDE9523"/>
    <w:rsid w:val="7FE32C1C"/>
    <w:rsid w:val="7FF08044"/>
    <w:rsid w:val="7FF0D6EB"/>
    <w:rsid w:val="7FF229B4"/>
    <w:rsid w:val="7FF3E8BF"/>
    <w:rsid w:val="7FF77D67"/>
    <w:rsid w:val="7FF78F4F"/>
    <w:rsid w:val="7FF821C1"/>
    <w:rsid w:val="7FFA9971"/>
    <w:rsid w:val="7FFB86FC"/>
    <w:rsid w:val="7FFC968B"/>
    <w:rsid w:val="7FFF65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B017CA8E-90A6-40A7-9A51-A3DC14309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autoRedefine/>
    <w:qFormat/>
    <w:rsid w:val="00781830"/>
    <w:pPr>
      <w:keepNext/>
      <w:spacing w:after="120"/>
      <w:outlineLvl w:val="0"/>
    </w:pPr>
    <w:rPr>
      <w:rFonts w:eastAsia="Times New Roman"/>
      <w:b/>
      <w:smallCaps/>
      <w:szCs w:val="20"/>
    </w:rPr>
  </w:style>
  <w:style w:type="paragraph" w:styleId="Heading2">
    <w:name w:val="heading 2"/>
    <w:basedOn w:val="Normal"/>
    <w:next w:val="Text2"/>
    <w:link w:val="Heading2Char"/>
    <w:autoRedefine/>
    <w:uiPriority w:val="9"/>
    <w:qFormat/>
    <w:rsid w:val="000C3545"/>
    <w:pPr>
      <w:widowControl w:val="0"/>
      <w:spacing w:after="0"/>
      <w:outlineLvl w:val="1"/>
    </w:pPr>
    <w:rPr>
      <w:rFonts w:eastAsia="Times New Roman"/>
      <w:b/>
      <w:szCs w:val="20"/>
    </w:rPr>
  </w:style>
  <w:style w:type="paragraph" w:styleId="Heading3">
    <w:name w:val="heading 3"/>
    <w:basedOn w:val="Normal"/>
    <w:next w:val="Normal"/>
    <w:link w:val="Heading3Char"/>
    <w:autoRedefine/>
    <w:qFormat/>
    <w:rsid w:val="000C3545"/>
    <w:pPr>
      <w:spacing w:before="240" w:after="120"/>
      <w:ind w:left="567"/>
      <w:outlineLvl w:val="2"/>
    </w:pPr>
    <w:rPr>
      <w:rFonts w:asciiTheme="majorBidi" w:eastAsia="Times New Roman" w:hAnsiTheme="majorBidi" w:cstheme="majorBidi"/>
      <w:i/>
      <w:szCs w:val="20"/>
    </w:rPr>
  </w:style>
  <w:style w:type="paragraph" w:styleId="Heading4">
    <w:name w:val="heading 4"/>
    <w:basedOn w:val="Normal"/>
    <w:next w:val="Normal"/>
    <w:link w:val="Heading4Char"/>
    <w:qFormat/>
    <w:rsid w:val="006B087E"/>
    <w:pPr>
      <w:keepNext/>
      <w:tabs>
        <w:tab w:val="num" w:pos="360"/>
      </w:tabs>
      <w:ind w:left="1920" w:hanging="720"/>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1830"/>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uiPriority w:val="9"/>
    <w:rsid w:val="000C3545"/>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0C3545"/>
    <w:rPr>
      <w:rFonts w:asciiTheme="majorBidi" w:eastAsia="Times New Roman" w:hAnsiTheme="majorBidi" w:cstheme="majorBidi"/>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ind w:left="283" w:hanging="283"/>
    </w:pPr>
    <w:rPr>
      <w:rFonts w:eastAsia="Times New Roman"/>
      <w:szCs w:val="20"/>
    </w:rPr>
  </w:style>
  <w:style w:type="paragraph" w:customStyle="1" w:styleId="ListDash1">
    <w:name w:val="List Dash 1"/>
    <w:basedOn w:val="Text1"/>
    <w:rsid w:val="006B087E"/>
    <w:pPr>
      <w:ind w:left="765" w:hanging="283"/>
    </w:pPr>
  </w:style>
  <w:style w:type="table" w:styleId="TableGrid">
    <w:name w:val="Table Grid"/>
    <w:aliases w:val="Document Table,CV1"/>
    <w:basedOn w:val="TableNormal"/>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C22AB4"/>
    <w:p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uiPriority w:val="39"/>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9A4842"/>
    <w:pPr>
      <w:widowControl w:val="0"/>
      <w:adjustRightInd w:val="0"/>
      <w:spacing w:after="160" w:line="240" w:lineRule="exact"/>
      <w:textAlignment w:val="baseline"/>
    </w:pPr>
    <w:rPr>
      <w:rFonts w:asciiTheme="minorHAnsi" w:eastAsia="Times New Roman" w:hAnsiTheme="minorHAnsi"/>
      <w:szCs w:val="20"/>
      <w:vertAlign w:val="superscript"/>
      <w:lang w:eastAsia="fr-BE"/>
    </w:rPr>
  </w:style>
  <w:style w:type="paragraph" w:styleId="BodyText">
    <w:name w:val="Body Text"/>
    <w:basedOn w:val="Normal"/>
    <w:link w:val="BodyTextChar"/>
    <w:qFormat/>
    <w:rsid w:val="00BC3BE4"/>
    <w:pPr>
      <w:spacing w:before="120" w:after="120"/>
    </w:pPr>
    <w:rPr>
      <w:rFonts w:ascii="Arial" w:eastAsia="Times New Roman" w:hAnsi="Arial"/>
      <w:sz w:val="22"/>
      <w:lang w:eastAsia="en-GB"/>
    </w:rPr>
  </w:style>
  <w:style w:type="character" w:customStyle="1" w:styleId="BodyTextChar">
    <w:name w:val="Body Text Char"/>
    <w:basedOn w:val="DefaultParagraphFont"/>
    <w:link w:val="BodyText"/>
    <w:rsid w:val="00BC3BE4"/>
    <w:rPr>
      <w:rFonts w:ascii="Arial" w:eastAsia="Times New Roman" w:hAnsi="Arial" w:cs="Times New Roman"/>
      <w:szCs w:val="24"/>
      <w:lang w:eastAsia="en-GB"/>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rsid w:val="00BC3BE4"/>
    <w:pPr>
      <w:spacing w:after="160" w:line="240" w:lineRule="exact"/>
      <w:jc w:val="left"/>
    </w:pPr>
    <w:rPr>
      <w:rFonts w:ascii="Arial" w:hAnsi="Arial"/>
      <w:sz w:val="22"/>
      <w:szCs w:val="22"/>
      <w:vertAlign w:val="superscript"/>
    </w:rPr>
  </w:style>
  <w:style w:type="paragraph" w:styleId="NormalWeb">
    <w:name w:val="Normal (Web)"/>
    <w:basedOn w:val="Normal"/>
    <w:uiPriority w:val="99"/>
    <w:unhideWhenUsed/>
    <w:rsid w:val="007707BD"/>
    <w:pPr>
      <w:spacing w:before="100" w:beforeAutospacing="1" w:after="100" w:afterAutospacing="1"/>
      <w:jc w:val="left"/>
    </w:pPr>
    <w:rPr>
      <w:rFonts w:eastAsia="Times New Roman"/>
      <w:lang w:val="en-IE" w:eastAsia="en-IE"/>
    </w:rPr>
  </w:style>
  <w:style w:type="character" w:styleId="Strong">
    <w:name w:val="Strong"/>
    <w:basedOn w:val="DefaultParagraphFont"/>
    <w:uiPriority w:val="22"/>
    <w:qFormat/>
    <w:rsid w:val="007707BD"/>
    <w:rPr>
      <w:b/>
      <w:bCs/>
    </w:rPr>
  </w:style>
  <w:style w:type="character" w:customStyle="1" w:styleId="relative">
    <w:name w:val="relative"/>
    <w:basedOn w:val="DefaultParagraphFont"/>
    <w:rsid w:val="007707BD"/>
  </w:style>
  <w:style w:type="paragraph" w:customStyle="1" w:styleId="not-prose">
    <w:name w:val="not-prose"/>
    <w:basedOn w:val="Normal"/>
    <w:rsid w:val="007707BD"/>
    <w:pPr>
      <w:spacing w:before="100" w:beforeAutospacing="1" w:after="100" w:afterAutospacing="1"/>
      <w:jc w:val="left"/>
    </w:pPr>
    <w:rPr>
      <w:rFonts w:eastAsia="Times New Roman"/>
      <w:lang w:val="en-IE" w:eastAsia="en-IE"/>
    </w:rPr>
  </w:style>
  <w:style w:type="character" w:styleId="Emphasis">
    <w:name w:val="Emphasis"/>
    <w:basedOn w:val="DefaultParagraphFont"/>
    <w:uiPriority w:val="20"/>
    <w:qFormat/>
    <w:rsid w:val="007707BD"/>
    <w:rPr>
      <w:i/>
      <w:iCs/>
    </w:rPr>
  </w:style>
  <w:style w:type="paragraph" w:customStyle="1" w:styleId="Languesfaisantfoi">
    <w:name w:val="Langues faisant foi"/>
    <w:basedOn w:val="Normal"/>
    <w:next w:val="Normal"/>
    <w:rsid w:val="0057620F"/>
    <w:pPr>
      <w:spacing w:before="360"/>
      <w:jc w:val="center"/>
    </w:pPr>
    <w:rPr>
      <w:szCs w:val="22"/>
    </w:rPr>
  </w:style>
  <w:style w:type="paragraph" w:customStyle="1" w:styleId="LanguesfaisantfoiPagedecouverture">
    <w:name w:val="Langues faisant foi (Page de couverture)"/>
    <w:basedOn w:val="Normal"/>
    <w:next w:val="Normal"/>
    <w:rsid w:val="0057620F"/>
    <w:pPr>
      <w:spacing w:before="360"/>
      <w:jc w:val="center"/>
    </w:pPr>
    <w:rPr>
      <w:szCs w:val="22"/>
    </w:rPr>
  </w:style>
  <w:style w:type="paragraph" w:customStyle="1" w:styleId="IntrtEEE">
    <w:name w:val="Intérêt EEE"/>
    <w:basedOn w:val="Languesfaisantfoi"/>
    <w:next w:val="Normal"/>
    <w:rsid w:val="0057620F"/>
    <w:pPr>
      <w:spacing w:after="0"/>
    </w:pPr>
  </w:style>
  <w:style w:type="paragraph" w:customStyle="1" w:styleId="IntrtEEEPagedecouverture">
    <w:name w:val="Intérêt EEE (Page de couverture)"/>
    <w:basedOn w:val="IntrtEEE"/>
    <w:next w:val="Normal"/>
    <w:rsid w:val="0057620F"/>
  </w:style>
  <w:style w:type="paragraph" w:styleId="TOC3">
    <w:name w:val="toc 3"/>
    <w:basedOn w:val="Normal"/>
    <w:next w:val="Normal"/>
    <w:autoRedefine/>
    <w:uiPriority w:val="39"/>
    <w:unhideWhenUsed/>
    <w:rsid w:val="00C04E7E"/>
    <w:pPr>
      <w:tabs>
        <w:tab w:val="left" w:pos="1440"/>
        <w:tab w:val="right" w:leader="dot" w:pos="8647"/>
      </w:tabs>
      <w:spacing w:after="100"/>
      <w:ind w:left="567" w:right="823" w:hanging="141"/>
      <w:jc w:val="left"/>
    </w:pPr>
  </w:style>
  <w:style w:type="paragraph" w:styleId="EndnoteText">
    <w:name w:val="endnote text"/>
    <w:basedOn w:val="Normal"/>
    <w:link w:val="EndnoteTextChar"/>
    <w:uiPriority w:val="99"/>
    <w:semiHidden/>
    <w:unhideWhenUsed/>
    <w:rsid w:val="008238A7"/>
    <w:pPr>
      <w:spacing w:after="0"/>
    </w:pPr>
    <w:rPr>
      <w:sz w:val="20"/>
      <w:szCs w:val="20"/>
    </w:rPr>
  </w:style>
  <w:style w:type="character" w:customStyle="1" w:styleId="EndnoteTextChar">
    <w:name w:val="Endnote Text Char"/>
    <w:basedOn w:val="DefaultParagraphFont"/>
    <w:link w:val="EndnoteText"/>
    <w:uiPriority w:val="99"/>
    <w:semiHidden/>
    <w:rsid w:val="008238A7"/>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8238A7"/>
    <w:rPr>
      <w:vertAlign w:val="superscript"/>
    </w:rPr>
  </w:style>
  <w:style w:type="character" w:customStyle="1" w:styleId="Mention">
    <w:name w:val="Mention"/>
    <w:basedOn w:val="DefaultParagraphFont"/>
    <w:uiPriority w:val="99"/>
    <w:unhideWhenUsed/>
    <w:rsid w:val="0061520B"/>
    <w:rPr>
      <w:color w:val="2B579A"/>
      <w:shd w:val="clear" w:color="auto" w:fill="E1DFDD"/>
    </w:rPr>
  </w:style>
  <w:style w:type="character" w:customStyle="1" w:styleId="whitespace-normal">
    <w:name w:val="whitespace-normal"/>
    <w:basedOn w:val="DefaultParagraphFont"/>
    <w:rsid w:val="001F4CAE"/>
  </w:style>
  <w:style w:type="character" w:customStyle="1" w:styleId="apple-converted-space">
    <w:name w:val="apple-converted-space"/>
    <w:basedOn w:val="DefaultParagraphFont"/>
    <w:rsid w:val="00303037"/>
  </w:style>
  <w:style w:type="character" w:styleId="CommentReference">
    <w:name w:val="annotation reference"/>
    <w:basedOn w:val="DefaultParagraphFont"/>
    <w:uiPriority w:val="99"/>
    <w:semiHidden/>
    <w:unhideWhenUsed/>
    <w:rsid w:val="1B34061A"/>
    <w:rPr>
      <w:sz w:val="16"/>
      <w:szCs w:val="16"/>
    </w:rPr>
  </w:style>
  <w:style w:type="paragraph" w:styleId="CommentSubject">
    <w:name w:val="annotation subject"/>
    <w:basedOn w:val="CommentText"/>
    <w:next w:val="CommentText"/>
    <w:link w:val="CommentSubjectChar"/>
    <w:uiPriority w:val="99"/>
    <w:semiHidden/>
    <w:unhideWhenUsed/>
    <w:rsid w:val="1B34061A"/>
    <w:rPr>
      <w:b/>
      <w:bCs/>
    </w:rPr>
  </w:style>
  <w:style w:type="paragraph" w:styleId="CommentText">
    <w:name w:val="annotation text"/>
    <w:basedOn w:val="Normal"/>
    <w:link w:val="CommentTextChar"/>
    <w:uiPriority w:val="99"/>
    <w:unhideWhenUsed/>
    <w:rsid w:val="1B34061A"/>
    <w:rPr>
      <w:sz w:val="20"/>
      <w:szCs w:val="20"/>
    </w:rPr>
  </w:style>
  <w:style w:type="character" w:customStyle="1" w:styleId="normaltextrun">
    <w:name w:val="normaltextrun"/>
    <w:basedOn w:val="DefaultParagraphFont"/>
    <w:uiPriority w:val="1"/>
    <w:rsid w:val="00F93CED"/>
    <w:rPr>
      <w:rFonts w:asciiTheme="minorHAnsi" w:eastAsiaTheme="minorEastAsia" w:hAnsiTheme="minorHAnsi" w:cstheme="minorBidi"/>
      <w:sz w:val="24"/>
      <w:szCs w:val="24"/>
    </w:rPr>
  </w:style>
  <w:style w:type="character" w:customStyle="1" w:styleId="eop">
    <w:name w:val="eop"/>
    <w:basedOn w:val="DefaultParagraphFont"/>
    <w:uiPriority w:val="1"/>
    <w:rsid w:val="00F93CED"/>
    <w:rPr>
      <w:rFonts w:asciiTheme="minorHAnsi" w:eastAsiaTheme="minorEastAsia" w:hAnsiTheme="minorHAnsi" w:cstheme="minorBidi"/>
      <w:sz w:val="24"/>
      <w:szCs w:val="24"/>
    </w:rPr>
  </w:style>
  <w:style w:type="character" w:customStyle="1" w:styleId="bzpyqfadein">
    <w:name w:val="bz_pyq_fadein"/>
    <w:basedOn w:val="DefaultParagraphFont"/>
    <w:uiPriority w:val="1"/>
    <w:rsid w:val="00F93CED"/>
    <w:rPr>
      <w:rFonts w:asciiTheme="minorHAnsi" w:eastAsiaTheme="minorEastAsia" w:hAnsiTheme="minorHAnsi" w:cstheme="minorBidi"/>
      <w:sz w:val="24"/>
      <w:szCs w:val="24"/>
    </w:rPr>
  </w:style>
  <w:style w:type="paragraph" w:customStyle="1" w:styleId="Header2">
    <w:name w:val="Header 2"/>
    <w:basedOn w:val="Normal"/>
    <w:rsid w:val="003B0D3B"/>
    <w:pPr>
      <w:spacing w:after="120"/>
      <w:ind w:firstLine="284"/>
    </w:pPr>
    <w:rPr>
      <w:rFonts w:eastAsia="Times New Roman"/>
      <w:b/>
      <w:bCs/>
      <w:color w:val="000000" w:themeColor="text1"/>
    </w:rPr>
  </w:style>
  <w:style w:type="paragraph" w:styleId="TOC4">
    <w:name w:val="toc 4"/>
    <w:basedOn w:val="Normal"/>
    <w:next w:val="Normal"/>
    <w:autoRedefine/>
    <w:uiPriority w:val="39"/>
    <w:unhideWhenUsed/>
    <w:rsid w:val="00142868"/>
    <w:pPr>
      <w:tabs>
        <w:tab w:val="left" w:pos="1680"/>
        <w:tab w:val="right" w:leader="dot" w:pos="8647"/>
      </w:tabs>
      <w:spacing w:after="100"/>
      <w:ind w:left="72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3909">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24257276">
      <w:bodyDiv w:val="1"/>
      <w:marLeft w:val="0"/>
      <w:marRight w:val="0"/>
      <w:marTop w:val="0"/>
      <w:marBottom w:val="0"/>
      <w:divBdr>
        <w:top w:val="none" w:sz="0" w:space="0" w:color="auto"/>
        <w:left w:val="none" w:sz="0" w:space="0" w:color="auto"/>
        <w:bottom w:val="none" w:sz="0" w:space="0" w:color="auto"/>
        <w:right w:val="none" w:sz="0" w:space="0" w:color="auto"/>
      </w:divBdr>
    </w:div>
    <w:div w:id="31539702">
      <w:bodyDiv w:val="1"/>
      <w:marLeft w:val="0"/>
      <w:marRight w:val="0"/>
      <w:marTop w:val="0"/>
      <w:marBottom w:val="0"/>
      <w:divBdr>
        <w:top w:val="none" w:sz="0" w:space="0" w:color="auto"/>
        <w:left w:val="none" w:sz="0" w:space="0" w:color="auto"/>
        <w:bottom w:val="none" w:sz="0" w:space="0" w:color="auto"/>
        <w:right w:val="none" w:sz="0" w:space="0" w:color="auto"/>
      </w:divBdr>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42681809">
      <w:bodyDiv w:val="1"/>
      <w:marLeft w:val="0"/>
      <w:marRight w:val="0"/>
      <w:marTop w:val="0"/>
      <w:marBottom w:val="0"/>
      <w:divBdr>
        <w:top w:val="none" w:sz="0" w:space="0" w:color="auto"/>
        <w:left w:val="none" w:sz="0" w:space="0" w:color="auto"/>
        <w:bottom w:val="none" w:sz="0" w:space="0" w:color="auto"/>
        <w:right w:val="none" w:sz="0" w:space="0" w:color="auto"/>
      </w:divBdr>
    </w:div>
    <w:div w:id="43799204">
      <w:bodyDiv w:val="1"/>
      <w:marLeft w:val="0"/>
      <w:marRight w:val="0"/>
      <w:marTop w:val="0"/>
      <w:marBottom w:val="0"/>
      <w:divBdr>
        <w:top w:val="none" w:sz="0" w:space="0" w:color="auto"/>
        <w:left w:val="none" w:sz="0" w:space="0" w:color="auto"/>
        <w:bottom w:val="none" w:sz="0" w:space="0" w:color="auto"/>
        <w:right w:val="none" w:sz="0" w:space="0" w:color="auto"/>
      </w:divBdr>
    </w:div>
    <w:div w:id="53352807">
      <w:bodyDiv w:val="1"/>
      <w:marLeft w:val="0"/>
      <w:marRight w:val="0"/>
      <w:marTop w:val="0"/>
      <w:marBottom w:val="0"/>
      <w:divBdr>
        <w:top w:val="none" w:sz="0" w:space="0" w:color="auto"/>
        <w:left w:val="none" w:sz="0" w:space="0" w:color="auto"/>
        <w:bottom w:val="none" w:sz="0" w:space="0" w:color="auto"/>
        <w:right w:val="none" w:sz="0" w:space="0" w:color="auto"/>
      </w:divBdr>
    </w:div>
    <w:div w:id="64226047">
      <w:bodyDiv w:val="1"/>
      <w:marLeft w:val="0"/>
      <w:marRight w:val="0"/>
      <w:marTop w:val="0"/>
      <w:marBottom w:val="0"/>
      <w:divBdr>
        <w:top w:val="none" w:sz="0" w:space="0" w:color="auto"/>
        <w:left w:val="none" w:sz="0" w:space="0" w:color="auto"/>
        <w:bottom w:val="none" w:sz="0" w:space="0" w:color="auto"/>
        <w:right w:val="none" w:sz="0" w:space="0" w:color="auto"/>
      </w:divBdr>
    </w:div>
    <w:div w:id="91055252">
      <w:bodyDiv w:val="1"/>
      <w:marLeft w:val="0"/>
      <w:marRight w:val="0"/>
      <w:marTop w:val="0"/>
      <w:marBottom w:val="0"/>
      <w:divBdr>
        <w:top w:val="none" w:sz="0" w:space="0" w:color="auto"/>
        <w:left w:val="none" w:sz="0" w:space="0" w:color="auto"/>
        <w:bottom w:val="none" w:sz="0" w:space="0" w:color="auto"/>
        <w:right w:val="none" w:sz="0" w:space="0" w:color="auto"/>
      </w:divBdr>
    </w:div>
    <w:div w:id="103116472">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20418940">
      <w:bodyDiv w:val="1"/>
      <w:marLeft w:val="0"/>
      <w:marRight w:val="0"/>
      <w:marTop w:val="0"/>
      <w:marBottom w:val="0"/>
      <w:divBdr>
        <w:top w:val="none" w:sz="0" w:space="0" w:color="auto"/>
        <w:left w:val="none" w:sz="0" w:space="0" w:color="auto"/>
        <w:bottom w:val="none" w:sz="0" w:space="0" w:color="auto"/>
        <w:right w:val="none" w:sz="0" w:space="0" w:color="auto"/>
      </w:divBdr>
    </w:div>
    <w:div w:id="125053226">
      <w:bodyDiv w:val="1"/>
      <w:marLeft w:val="0"/>
      <w:marRight w:val="0"/>
      <w:marTop w:val="0"/>
      <w:marBottom w:val="0"/>
      <w:divBdr>
        <w:top w:val="none" w:sz="0" w:space="0" w:color="auto"/>
        <w:left w:val="none" w:sz="0" w:space="0" w:color="auto"/>
        <w:bottom w:val="none" w:sz="0" w:space="0" w:color="auto"/>
        <w:right w:val="none" w:sz="0" w:space="0" w:color="auto"/>
      </w:divBdr>
    </w:div>
    <w:div w:id="154150517">
      <w:bodyDiv w:val="1"/>
      <w:marLeft w:val="0"/>
      <w:marRight w:val="0"/>
      <w:marTop w:val="0"/>
      <w:marBottom w:val="0"/>
      <w:divBdr>
        <w:top w:val="none" w:sz="0" w:space="0" w:color="auto"/>
        <w:left w:val="none" w:sz="0" w:space="0" w:color="auto"/>
        <w:bottom w:val="none" w:sz="0" w:space="0" w:color="auto"/>
        <w:right w:val="none" w:sz="0" w:space="0" w:color="auto"/>
      </w:divBdr>
    </w:div>
    <w:div w:id="191504822">
      <w:bodyDiv w:val="1"/>
      <w:marLeft w:val="0"/>
      <w:marRight w:val="0"/>
      <w:marTop w:val="0"/>
      <w:marBottom w:val="0"/>
      <w:divBdr>
        <w:top w:val="none" w:sz="0" w:space="0" w:color="auto"/>
        <w:left w:val="none" w:sz="0" w:space="0" w:color="auto"/>
        <w:bottom w:val="none" w:sz="0" w:space="0" w:color="auto"/>
        <w:right w:val="none" w:sz="0" w:space="0" w:color="auto"/>
      </w:divBdr>
    </w:div>
    <w:div w:id="207571198">
      <w:bodyDiv w:val="1"/>
      <w:marLeft w:val="0"/>
      <w:marRight w:val="0"/>
      <w:marTop w:val="0"/>
      <w:marBottom w:val="0"/>
      <w:divBdr>
        <w:top w:val="none" w:sz="0" w:space="0" w:color="auto"/>
        <w:left w:val="none" w:sz="0" w:space="0" w:color="auto"/>
        <w:bottom w:val="none" w:sz="0" w:space="0" w:color="auto"/>
        <w:right w:val="none" w:sz="0" w:space="0" w:color="auto"/>
      </w:divBdr>
    </w:div>
    <w:div w:id="220408287">
      <w:bodyDiv w:val="1"/>
      <w:marLeft w:val="0"/>
      <w:marRight w:val="0"/>
      <w:marTop w:val="0"/>
      <w:marBottom w:val="0"/>
      <w:divBdr>
        <w:top w:val="none" w:sz="0" w:space="0" w:color="auto"/>
        <w:left w:val="none" w:sz="0" w:space="0" w:color="auto"/>
        <w:bottom w:val="none" w:sz="0" w:space="0" w:color="auto"/>
        <w:right w:val="none" w:sz="0" w:space="0" w:color="auto"/>
      </w:divBdr>
    </w:div>
    <w:div w:id="223758914">
      <w:bodyDiv w:val="1"/>
      <w:marLeft w:val="0"/>
      <w:marRight w:val="0"/>
      <w:marTop w:val="0"/>
      <w:marBottom w:val="0"/>
      <w:divBdr>
        <w:top w:val="none" w:sz="0" w:space="0" w:color="auto"/>
        <w:left w:val="none" w:sz="0" w:space="0" w:color="auto"/>
        <w:bottom w:val="none" w:sz="0" w:space="0" w:color="auto"/>
        <w:right w:val="none" w:sz="0" w:space="0" w:color="auto"/>
      </w:divBdr>
    </w:div>
    <w:div w:id="246810075">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78227333">
      <w:bodyDiv w:val="1"/>
      <w:marLeft w:val="0"/>
      <w:marRight w:val="0"/>
      <w:marTop w:val="0"/>
      <w:marBottom w:val="0"/>
      <w:divBdr>
        <w:top w:val="none" w:sz="0" w:space="0" w:color="auto"/>
        <w:left w:val="none" w:sz="0" w:space="0" w:color="auto"/>
        <w:bottom w:val="none" w:sz="0" w:space="0" w:color="auto"/>
        <w:right w:val="none" w:sz="0" w:space="0" w:color="auto"/>
      </w:divBdr>
    </w:div>
    <w:div w:id="324864404">
      <w:bodyDiv w:val="1"/>
      <w:marLeft w:val="0"/>
      <w:marRight w:val="0"/>
      <w:marTop w:val="0"/>
      <w:marBottom w:val="0"/>
      <w:divBdr>
        <w:top w:val="none" w:sz="0" w:space="0" w:color="auto"/>
        <w:left w:val="none" w:sz="0" w:space="0" w:color="auto"/>
        <w:bottom w:val="none" w:sz="0" w:space="0" w:color="auto"/>
        <w:right w:val="none" w:sz="0" w:space="0" w:color="auto"/>
      </w:divBdr>
    </w:div>
    <w:div w:id="327951203">
      <w:bodyDiv w:val="1"/>
      <w:marLeft w:val="0"/>
      <w:marRight w:val="0"/>
      <w:marTop w:val="0"/>
      <w:marBottom w:val="0"/>
      <w:divBdr>
        <w:top w:val="none" w:sz="0" w:space="0" w:color="auto"/>
        <w:left w:val="none" w:sz="0" w:space="0" w:color="auto"/>
        <w:bottom w:val="none" w:sz="0" w:space="0" w:color="auto"/>
        <w:right w:val="none" w:sz="0" w:space="0" w:color="auto"/>
      </w:divBdr>
    </w:div>
    <w:div w:id="330910905">
      <w:bodyDiv w:val="1"/>
      <w:marLeft w:val="0"/>
      <w:marRight w:val="0"/>
      <w:marTop w:val="0"/>
      <w:marBottom w:val="0"/>
      <w:divBdr>
        <w:top w:val="none" w:sz="0" w:space="0" w:color="auto"/>
        <w:left w:val="none" w:sz="0" w:space="0" w:color="auto"/>
        <w:bottom w:val="none" w:sz="0" w:space="0" w:color="auto"/>
        <w:right w:val="none" w:sz="0" w:space="0" w:color="auto"/>
      </w:divBdr>
    </w:div>
    <w:div w:id="341392749">
      <w:bodyDiv w:val="1"/>
      <w:marLeft w:val="0"/>
      <w:marRight w:val="0"/>
      <w:marTop w:val="0"/>
      <w:marBottom w:val="0"/>
      <w:divBdr>
        <w:top w:val="none" w:sz="0" w:space="0" w:color="auto"/>
        <w:left w:val="none" w:sz="0" w:space="0" w:color="auto"/>
        <w:bottom w:val="none" w:sz="0" w:space="0" w:color="auto"/>
        <w:right w:val="none" w:sz="0" w:space="0" w:color="auto"/>
      </w:divBdr>
    </w:div>
    <w:div w:id="357202148">
      <w:bodyDiv w:val="1"/>
      <w:marLeft w:val="0"/>
      <w:marRight w:val="0"/>
      <w:marTop w:val="0"/>
      <w:marBottom w:val="0"/>
      <w:divBdr>
        <w:top w:val="none" w:sz="0" w:space="0" w:color="auto"/>
        <w:left w:val="none" w:sz="0" w:space="0" w:color="auto"/>
        <w:bottom w:val="none" w:sz="0" w:space="0" w:color="auto"/>
        <w:right w:val="none" w:sz="0" w:space="0" w:color="auto"/>
      </w:divBdr>
    </w:div>
    <w:div w:id="376315612">
      <w:bodyDiv w:val="1"/>
      <w:marLeft w:val="0"/>
      <w:marRight w:val="0"/>
      <w:marTop w:val="0"/>
      <w:marBottom w:val="0"/>
      <w:divBdr>
        <w:top w:val="none" w:sz="0" w:space="0" w:color="auto"/>
        <w:left w:val="none" w:sz="0" w:space="0" w:color="auto"/>
        <w:bottom w:val="none" w:sz="0" w:space="0" w:color="auto"/>
        <w:right w:val="none" w:sz="0" w:space="0" w:color="auto"/>
      </w:divBdr>
    </w:div>
    <w:div w:id="387805148">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16022607">
      <w:bodyDiv w:val="1"/>
      <w:marLeft w:val="0"/>
      <w:marRight w:val="0"/>
      <w:marTop w:val="0"/>
      <w:marBottom w:val="0"/>
      <w:divBdr>
        <w:top w:val="none" w:sz="0" w:space="0" w:color="auto"/>
        <w:left w:val="none" w:sz="0" w:space="0" w:color="auto"/>
        <w:bottom w:val="none" w:sz="0" w:space="0" w:color="auto"/>
        <w:right w:val="none" w:sz="0" w:space="0" w:color="auto"/>
      </w:divBdr>
      <w:divsChild>
        <w:div w:id="839468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37888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50829148">
      <w:bodyDiv w:val="1"/>
      <w:marLeft w:val="0"/>
      <w:marRight w:val="0"/>
      <w:marTop w:val="0"/>
      <w:marBottom w:val="0"/>
      <w:divBdr>
        <w:top w:val="none" w:sz="0" w:space="0" w:color="auto"/>
        <w:left w:val="none" w:sz="0" w:space="0" w:color="auto"/>
        <w:bottom w:val="none" w:sz="0" w:space="0" w:color="auto"/>
        <w:right w:val="none" w:sz="0" w:space="0" w:color="auto"/>
      </w:divBdr>
    </w:div>
    <w:div w:id="485513680">
      <w:bodyDiv w:val="1"/>
      <w:marLeft w:val="0"/>
      <w:marRight w:val="0"/>
      <w:marTop w:val="0"/>
      <w:marBottom w:val="0"/>
      <w:divBdr>
        <w:top w:val="none" w:sz="0" w:space="0" w:color="auto"/>
        <w:left w:val="none" w:sz="0" w:space="0" w:color="auto"/>
        <w:bottom w:val="none" w:sz="0" w:space="0" w:color="auto"/>
        <w:right w:val="none" w:sz="0" w:space="0" w:color="auto"/>
      </w:divBdr>
    </w:div>
    <w:div w:id="516697909">
      <w:bodyDiv w:val="1"/>
      <w:marLeft w:val="0"/>
      <w:marRight w:val="0"/>
      <w:marTop w:val="0"/>
      <w:marBottom w:val="0"/>
      <w:divBdr>
        <w:top w:val="none" w:sz="0" w:space="0" w:color="auto"/>
        <w:left w:val="none" w:sz="0" w:space="0" w:color="auto"/>
        <w:bottom w:val="none" w:sz="0" w:space="0" w:color="auto"/>
        <w:right w:val="none" w:sz="0" w:space="0" w:color="auto"/>
      </w:divBdr>
    </w:div>
    <w:div w:id="521822976">
      <w:bodyDiv w:val="1"/>
      <w:marLeft w:val="0"/>
      <w:marRight w:val="0"/>
      <w:marTop w:val="0"/>
      <w:marBottom w:val="0"/>
      <w:divBdr>
        <w:top w:val="none" w:sz="0" w:space="0" w:color="auto"/>
        <w:left w:val="none" w:sz="0" w:space="0" w:color="auto"/>
        <w:bottom w:val="none" w:sz="0" w:space="0" w:color="auto"/>
        <w:right w:val="none" w:sz="0" w:space="0" w:color="auto"/>
      </w:divBdr>
    </w:div>
    <w:div w:id="586621629">
      <w:bodyDiv w:val="1"/>
      <w:marLeft w:val="0"/>
      <w:marRight w:val="0"/>
      <w:marTop w:val="0"/>
      <w:marBottom w:val="0"/>
      <w:divBdr>
        <w:top w:val="none" w:sz="0" w:space="0" w:color="auto"/>
        <w:left w:val="none" w:sz="0" w:space="0" w:color="auto"/>
        <w:bottom w:val="none" w:sz="0" w:space="0" w:color="auto"/>
        <w:right w:val="none" w:sz="0" w:space="0" w:color="auto"/>
      </w:divBdr>
    </w:div>
    <w:div w:id="601260007">
      <w:bodyDiv w:val="1"/>
      <w:marLeft w:val="0"/>
      <w:marRight w:val="0"/>
      <w:marTop w:val="0"/>
      <w:marBottom w:val="0"/>
      <w:divBdr>
        <w:top w:val="none" w:sz="0" w:space="0" w:color="auto"/>
        <w:left w:val="none" w:sz="0" w:space="0" w:color="auto"/>
        <w:bottom w:val="none" w:sz="0" w:space="0" w:color="auto"/>
        <w:right w:val="none" w:sz="0" w:space="0" w:color="auto"/>
      </w:divBdr>
    </w:div>
    <w:div w:id="615217734">
      <w:bodyDiv w:val="1"/>
      <w:marLeft w:val="0"/>
      <w:marRight w:val="0"/>
      <w:marTop w:val="0"/>
      <w:marBottom w:val="0"/>
      <w:divBdr>
        <w:top w:val="none" w:sz="0" w:space="0" w:color="auto"/>
        <w:left w:val="none" w:sz="0" w:space="0" w:color="auto"/>
        <w:bottom w:val="none" w:sz="0" w:space="0" w:color="auto"/>
        <w:right w:val="none" w:sz="0" w:space="0" w:color="auto"/>
      </w:divBdr>
      <w:divsChild>
        <w:div w:id="172454788">
          <w:marLeft w:val="0"/>
          <w:marRight w:val="0"/>
          <w:marTop w:val="0"/>
          <w:marBottom w:val="0"/>
          <w:divBdr>
            <w:top w:val="none" w:sz="0" w:space="0" w:color="auto"/>
            <w:left w:val="none" w:sz="0" w:space="0" w:color="auto"/>
            <w:bottom w:val="none" w:sz="0" w:space="0" w:color="auto"/>
            <w:right w:val="none" w:sz="0" w:space="0" w:color="auto"/>
          </w:divBdr>
        </w:div>
        <w:div w:id="407848339">
          <w:marLeft w:val="0"/>
          <w:marRight w:val="0"/>
          <w:marTop w:val="0"/>
          <w:marBottom w:val="0"/>
          <w:divBdr>
            <w:top w:val="none" w:sz="0" w:space="0" w:color="auto"/>
            <w:left w:val="none" w:sz="0" w:space="0" w:color="auto"/>
            <w:bottom w:val="none" w:sz="0" w:space="0" w:color="auto"/>
            <w:right w:val="none" w:sz="0" w:space="0" w:color="auto"/>
          </w:divBdr>
        </w:div>
        <w:div w:id="769276689">
          <w:marLeft w:val="0"/>
          <w:marRight w:val="0"/>
          <w:marTop w:val="0"/>
          <w:marBottom w:val="0"/>
          <w:divBdr>
            <w:top w:val="none" w:sz="0" w:space="0" w:color="auto"/>
            <w:left w:val="none" w:sz="0" w:space="0" w:color="auto"/>
            <w:bottom w:val="none" w:sz="0" w:space="0" w:color="auto"/>
            <w:right w:val="none" w:sz="0" w:space="0" w:color="auto"/>
          </w:divBdr>
        </w:div>
        <w:div w:id="1085955933">
          <w:marLeft w:val="0"/>
          <w:marRight w:val="0"/>
          <w:marTop w:val="0"/>
          <w:marBottom w:val="0"/>
          <w:divBdr>
            <w:top w:val="none" w:sz="0" w:space="0" w:color="auto"/>
            <w:left w:val="none" w:sz="0" w:space="0" w:color="auto"/>
            <w:bottom w:val="none" w:sz="0" w:space="0" w:color="auto"/>
            <w:right w:val="none" w:sz="0" w:space="0" w:color="auto"/>
          </w:divBdr>
        </w:div>
      </w:divsChild>
    </w:div>
    <w:div w:id="627206123">
      <w:bodyDiv w:val="1"/>
      <w:marLeft w:val="0"/>
      <w:marRight w:val="0"/>
      <w:marTop w:val="0"/>
      <w:marBottom w:val="0"/>
      <w:divBdr>
        <w:top w:val="none" w:sz="0" w:space="0" w:color="auto"/>
        <w:left w:val="none" w:sz="0" w:space="0" w:color="auto"/>
        <w:bottom w:val="none" w:sz="0" w:space="0" w:color="auto"/>
        <w:right w:val="none" w:sz="0" w:space="0" w:color="auto"/>
      </w:divBdr>
    </w:div>
    <w:div w:id="627589216">
      <w:bodyDiv w:val="1"/>
      <w:marLeft w:val="0"/>
      <w:marRight w:val="0"/>
      <w:marTop w:val="0"/>
      <w:marBottom w:val="0"/>
      <w:divBdr>
        <w:top w:val="none" w:sz="0" w:space="0" w:color="auto"/>
        <w:left w:val="none" w:sz="0" w:space="0" w:color="auto"/>
        <w:bottom w:val="none" w:sz="0" w:space="0" w:color="auto"/>
        <w:right w:val="none" w:sz="0" w:space="0" w:color="auto"/>
      </w:divBdr>
    </w:div>
    <w:div w:id="677662346">
      <w:bodyDiv w:val="1"/>
      <w:marLeft w:val="0"/>
      <w:marRight w:val="0"/>
      <w:marTop w:val="0"/>
      <w:marBottom w:val="0"/>
      <w:divBdr>
        <w:top w:val="none" w:sz="0" w:space="0" w:color="auto"/>
        <w:left w:val="none" w:sz="0" w:space="0" w:color="auto"/>
        <w:bottom w:val="none" w:sz="0" w:space="0" w:color="auto"/>
        <w:right w:val="none" w:sz="0" w:space="0" w:color="auto"/>
      </w:divBdr>
    </w:div>
    <w:div w:id="684139973">
      <w:bodyDiv w:val="1"/>
      <w:marLeft w:val="0"/>
      <w:marRight w:val="0"/>
      <w:marTop w:val="0"/>
      <w:marBottom w:val="0"/>
      <w:divBdr>
        <w:top w:val="none" w:sz="0" w:space="0" w:color="auto"/>
        <w:left w:val="none" w:sz="0" w:space="0" w:color="auto"/>
        <w:bottom w:val="none" w:sz="0" w:space="0" w:color="auto"/>
        <w:right w:val="none" w:sz="0" w:space="0" w:color="auto"/>
      </w:divBdr>
    </w:div>
    <w:div w:id="686639376">
      <w:bodyDiv w:val="1"/>
      <w:marLeft w:val="0"/>
      <w:marRight w:val="0"/>
      <w:marTop w:val="0"/>
      <w:marBottom w:val="0"/>
      <w:divBdr>
        <w:top w:val="none" w:sz="0" w:space="0" w:color="auto"/>
        <w:left w:val="none" w:sz="0" w:space="0" w:color="auto"/>
        <w:bottom w:val="none" w:sz="0" w:space="0" w:color="auto"/>
        <w:right w:val="none" w:sz="0" w:space="0" w:color="auto"/>
      </w:divBdr>
    </w:div>
    <w:div w:id="688143811">
      <w:bodyDiv w:val="1"/>
      <w:marLeft w:val="0"/>
      <w:marRight w:val="0"/>
      <w:marTop w:val="0"/>
      <w:marBottom w:val="0"/>
      <w:divBdr>
        <w:top w:val="none" w:sz="0" w:space="0" w:color="auto"/>
        <w:left w:val="none" w:sz="0" w:space="0" w:color="auto"/>
        <w:bottom w:val="none" w:sz="0" w:space="0" w:color="auto"/>
        <w:right w:val="none" w:sz="0" w:space="0" w:color="auto"/>
      </w:divBdr>
    </w:div>
    <w:div w:id="708072621">
      <w:bodyDiv w:val="1"/>
      <w:marLeft w:val="0"/>
      <w:marRight w:val="0"/>
      <w:marTop w:val="0"/>
      <w:marBottom w:val="0"/>
      <w:divBdr>
        <w:top w:val="none" w:sz="0" w:space="0" w:color="auto"/>
        <w:left w:val="none" w:sz="0" w:space="0" w:color="auto"/>
        <w:bottom w:val="none" w:sz="0" w:space="0" w:color="auto"/>
        <w:right w:val="none" w:sz="0" w:space="0" w:color="auto"/>
      </w:divBdr>
    </w:div>
    <w:div w:id="731391400">
      <w:bodyDiv w:val="1"/>
      <w:marLeft w:val="0"/>
      <w:marRight w:val="0"/>
      <w:marTop w:val="0"/>
      <w:marBottom w:val="0"/>
      <w:divBdr>
        <w:top w:val="none" w:sz="0" w:space="0" w:color="auto"/>
        <w:left w:val="none" w:sz="0" w:space="0" w:color="auto"/>
        <w:bottom w:val="none" w:sz="0" w:space="0" w:color="auto"/>
        <w:right w:val="none" w:sz="0" w:space="0" w:color="auto"/>
      </w:divBdr>
    </w:div>
    <w:div w:id="752094771">
      <w:bodyDiv w:val="1"/>
      <w:marLeft w:val="0"/>
      <w:marRight w:val="0"/>
      <w:marTop w:val="0"/>
      <w:marBottom w:val="0"/>
      <w:divBdr>
        <w:top w:val="none" w:sz="0" w:space="0" w:color="auto"/>
        <w:left w:val="none" w:sz="0" w:space="0" w:color="auto"/>
        <w:bottom w:val="none" w:sz="0" w:space="0" w:color="auto"/>
        <w:right w:val="none" w:sz="0" w:space="0" w:color="auto"/>
      </w:divBdr>
    </w:div>
    <w:div w:id="766273423">
      <w:bodyDiv w:val="1"/>
      <w:marLeft w:val="0"/>
      <w:marRight w:val="0"/>
      <w:marTop w:val="0"/>
      <w:marBottom w:val="0"/>
      <w:divBdr>
        <w:top w:val="none" w:sz="0" w:space="0" w:color="auto"/>
        <w:left w:val="none" w:sz="0" w:space="0" w:color="auto"/>
        <w:bottom w:val="none" w:sz="0" w:space="0" w:color="auto"/>
        <w:right w:val="none" w:sz="0" w:space="0" w:color="auto"/>
      </w:divBdr>
    </w:div>
    <w:div w:id="778060881">
      <w:bodyDiv w:val="1"/>
      <w:marLeft w:val="0"/>
      <w:marRight w:val="0"/>
      <w:marTop w:val="0"/>
      <w:marBottom w:val="0"/>
      <w:divBdr>
        <w:top w:val="none" w:sz="0" w:space="0" w:color="auto"/>
        <w:left w:val="none" w:sz="0" w:space="0" w:color="auto"/>
        <w:bottom w:val="none" w:sz="0" w:space="0" w:color="auto"/>
        <w:right w:val="none" w:sz="0" w:space="0" w:color="auto"/>
      </w:divBdr>
    </w:div>
    <w:div w:id="780878892">
      <w:bodyDiv w:val="1"/>
      <w:marLeft w:val="0"/>
      <w:marRight w:val="0"/>
      <w:marTop w:val="0"/>
      <w:marBottom w:val="0"/>
      <w:divBdr>
        <w:top w:val="none" w:sz="0" w:space="0" w:color="auto"/>
        <w:left w:val="none" w:sz="0" w:space="0" w:color="auto"/>
        <w:bottom w:val="none" w:sz="0" w:space="0" w:color="auto"/>
        <w:right w:val="none" w:sz="0" w:space="0" w:color="auto"/>
      </w:divBdr>
    </w:div>
    <w:div w:id="793869153">
      <w:bodyDiv w:val="1"/>
      <w:marLeft w:val="0"/>
      <w:marRight w:val="0"/>
      <w:marTop w:val="0"/>
      <w:marBottom w:val="0"/>
      <w:divBdr>
        <w:top w:val="none" w:sz="0" w:space="0" w:color="auto"/>
        <w:left w:val="none" w:sz="0" w:space="0" w:color="auto"/>
        <w:bottom w:val="none" w:sz="0" w:space="0" w:color="auto"/>
        <w:right w:val="none" w:sz="0" w:space="0" w:color="auto"/>
      </w:divBdr>
    </w:div>
    <w:div w:id="823860010">
      <w:bodyDiv w:val="1"/>
      <w:marLeft w:val="0"/>
      <w:marRight w:val="0"/>
      <w:marTop w:val="0"/>
      <w:marBottom w:val="0"/>
      <w:divBdr>
        <w:top w:val="none" w:sz="0" w:space="0" w:color="auto"/>
        <w:left w:val="none" w:sz="0" w:space="0" w:color="auto"/>
        <w:bottom w:val="none" w:sz="0" w:space="0" w:color="auto"/>
        <w:right w:val="none" w:sz="0" w:space="0" w:color="auto"/>
      </w:divBdr>
    </w:div>
    <w:div w:id="835728027">
      <w:bodyDiv w:val="1"/>
      <w:marLeft w:val="0"/>
      <w:marRight w:val="0"/>
      <w:marTop w:val="0"/>
      <w:marBottom w:val="0"/>
      <w:divBdr>
        <w:top w:val="none" w:sz="0" w:space="0" w:color="auto"/>
        <w:left w:val="none" w:sz="0" w:space="0" w:color="auto"/>
        <w:bottom w:val="none" w:sz="0" w:space="0" w:color="auto"/>
        <w:right w:val="none" w:sz="0" w:space="0" w:color="auto"/>
      </w:divBdr>
    </w:div>
    <w:div w:id="835997954">
      <w:bodyDiv w:val="1"/>
      <w:marLeft w:val="0"/>
      <w:marRight w:val="0"/>
      <w:marTop w:val="0"/>
      <w:marBottom w:val="0"/>
      <w:divBdr>
        <w:top w:val="none" w:sz="0" w:space="0" w:color="auto"/>
        <w:left w:val="none" w:sz="0" w:space="0" w:color="auto"/>
        <w:bottom w:val="none" w:sz="0" w:space="0" w:color="auto"/>
        <w:right w:val="none" w:sz="0" w:space="0" w:color="auto"/>
      </w:divBdr>
    </w:div>
    <w:div w:id="879391146">
      <w:bodyDiv w:val="1"/>
      <w:marLeft w:val="0"/>
      <w:marRight w:val="0"/>
      <w:marTop w:val="0"/>
      <w:marBottom w:val="0"/>
      <w:divBdr>
        <w:top w:val="none" w:sz="0" w:space="0" w:color="auto"/>
        <w:left w:val="none" w:sz="0" w:space="0" w:color="auto"/>
        <w:bottom w:val="none" w:sz="0" w:space="0" w:color="auto"/>
        <w:right w:val="none" w:sz="0" w:space="0" w:color="auto"/>
      </w:divBdr>
    </w:div>
    <w:div w:id="884146569">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47350777">
      <w:bodyDiv w:val="1"/>
      <w:marLeft w:val="0"/>
      <w:marRight w:val="0"/>
      <w:marTop w:val="0"/>
      <w:marBottom w:val="0"/>
      <w:divBdr>
        <w:top w:val="none" w:sz="0" w:space="0" w:color="auto"/>
        <w:left w:val="none" w:sz="0" w:space="0" w:color="auto"/>
        <w:bottom w:val="none" w:sz="0" w:space="0" w:color="auto"/>
        <w:right w:val="none" w:sz="0" w:space="0" w:color="auto"/>
      </w:divBdr>
    </w:div>
    <w:div w:id="968975062">
      <w:bodyDiv w:val="1"/>
      <w:marLeft w:val="0"/>
      <w:marRight w:val="0"/>
      <w:marTop w:val="0"/>
      <w:marBottom w:val="0"/>
      <w:divBdr>
        <w:top w:val="none" w:sz="0" w:space="0" w:color="auto"/>
        <w:left w:val="none" w:sz="0" w:space="0" w:color="auto"/>
        <w:bottom w:val="none" w:sz="0" w:space="0" w:color="auto"/>
        <w:right w:val="none" w:sz="0" w:space="0" w:color="auto"/>
      </w:divBdr>
    </w:div>
    <w:div w:id="974673732">
      <w:bodyDiv w:val="1"/>
      <w:marLeft w:val="0"/>
      <w:marRight w:val="0"/>
      <w:marTop w:val="0"/>
      <w:marBottom w:val="0"/>
      <w:divBdr>
        <w:top w:val="none" w:sz="0" w:space="0" w:color="auto"/>
        <w:left w:val="none" w:sz="0" w:space="0" w:color="auto"/>
        <w:bottom w:val="none" w:sz="0" w:space="0" w:color="auto"/>
        <w:right w:val="none" w:sz="0" w:space="0" w:color="auto"/>
      </w:divBdr>
    </w:div>
    <w:div w:id="986783751">
      <w:bodyDiv w:val="1"/>
      <w:marLeft w:val="0"/>
      <w:marRight w:val="0"/>
      <w:marTop w:val="0"/>
      <w:marBottom w:val="0"/>
      <w:divBdr>
        <w:top w:val="none" w:sz="0" w:space="0" w:color="auto"/>
        <w:left w:val="none" w:sz="0" w:space="0" w:color="auto"/>
        <w:bottom w:val="none" w:sz="0" w:space="0" w:color="auto"/>
        <w:right w:val="none" w:sz="0" w:space="0" w:color="auto"/>
      </w:divBdr>
    </w:div>
    <w:div w:id="1047220430">
      <w:bodyDiv w:val="1"/>
      <w:marLeft w:val="0"/>
      <w:marRight w:val="0"/>
      <w:marTop w:val="0"/>
      <w:marBottom w:val="0"/>
      <w:divBdr>
        <w:top w:val="none" w:sz="0" w:space="0" w:color="auto"/>
        <w:left w:val="none" w:sz="0" w:space="0" w:color="auto"/>
        <w:bottom w:val="none" w:sz="0" w:space="0" w:color="auto"/>
        <w:right w:val="none" w:sz="0" w:space="0" w:color="auto"/>
      </w:divBdr>
    </w:div>
    <w:div w:id="1070006917">
      <w:bodyDiv w:val="1"/>
      <w:marLeft w:val="0"/>
      <w:marRight w:val="0"/>
      <w:marTop w:val="0"/>
      <w:marBottom w:val="0"/>
      <w:divBdr>
        <w:top w:val="none" w:sz="0" w:space="0" w:color="auto"/>
        <w:left w:val="none" w:sz="0" w:space="0" w:color="auto"/>
        <w:bottom w:val="none" w:sz="0" w:space="0" w:color="auto"/>
        <w:right w:val="none" w:sz="0" w:space="0" w:color="auto"/>
      </w:divBdr>
    </w:div>
    <w:div w:id="1081634456">
      <w:bodyDiv w:val="1"/>
      <w:marLeft w:val="0"/>
      <w:marRight w:val="0"/>
      <w:marTop w:val="0"/>
      <w:marBottom w:val="0"/>
      <w:divBdr>
        <w:top w:val="none" w:sz="0" w:space="0" w:color="auto"/>
        <w:left w:val="none" w:sz="0" w:space="0" w:color="auto"/>
        <w:bottom w:val="none" w:sz="0" w:space="0" w:color="auto"/>
        <w:right w:val="none" w:sz="0" w:space="0" w:color="auto"/>
      </w:divBdr>
    </w:div>
    <w:div w:id="1083449125">
      <w:bodyDiv w:val="1"/>
      <w:marLeft w:val="0"/>
      <w:marRight w:val="0"/>
      <w:marTop w:val="0"/>
      <w:marBottom w:val="0"/>
      <w:divBdr>
        <w:top w:val="none" w:sz="0" w:space="0" w:color="auto"/>
        <w:left w:val="none" w:sz="0" w:space="0" w:color="auto"/>
        <w:bottom w:val="none" w:sz="0" w:space="0" w:color="auto"/>
        <w:right w:val="none" w:sz="0" w:space="0" w:color="auto"/>
      </w:divBdr>
    </w:div>
    <w:div w:id="1089740255">
      <w:bodyDiv w:val="1"/>
      <w:marLeft w:val="0"/>
      <w:marRight w:val="0"/>
      <w:marTop w:val="0"/>
      <w:marBottom w:val="0"/>
      <w:divBdr>
        <w:top w:val="none" w:sz="0" w:space="0" w:color="auto"/>
        <w:left w:val="none" w:sz="0" w:space="0" w:color="auto"/>
        <w:bottom w:val="none" w:sz="0" w:space="0" w:color="auto"/>
        <w:right w:val="none" w:sz="0" w:space="0" w:color="auto"/>
      </w:divBdr>
    </w:div>
    <w:div w:id="1122922247">
      <w:bodyDiv w:val="1"/>
      <w:marLeft w:val="0"/>
      <w:marRight w:val="0"/>
      <w:marTop w:val="0"/>
      <w:marBottom w:val="0"/>
      <w:divBdr>
        <w:top w:val="none" w:sz="0" w:space="0" w:color="auto"/>
        <w:left w:val="none" w:sz="0" w:space="0" w:color="auto"/>
        <w:bottom w:val="none" w:sz="0" w:space="0" w:color="auto"/>
        <w:right w:val="none" w:sz="0" w:space="0" w:color="auto"/>
      </w:divBdr>
    </w:div>
    <w:div w:id="1129054503">
      <w:bodyDiv w:val="1"/>
      <w:marLeft w:val="0"/>
      <w:marRight w:val="0"/>
      <w:marTop w:val="0"/>
      <w:marBottom w:val="0"/>
      <w:divBdr>
        <w:top w:val="none" w:sz="0" w:space="0" w:color="auto"/>
        <w:left w:val="none" w:sz="0" w:space="0" w:color="auto"/>
        <w:bottom w:val="none" w:sz="0" w:space="0" w:color="auto"/>
        <w:right w:val="none" w:sz="0" w:space="0" w:color="auto"/>
      </w:divBdr>
    </w:div>
    <w:div w:id="1136600822">
      <w:bodyDiv w:val="1"/>
      <w:marLeft w:val="0"/>
      <w:marRight w:val="0"/>
      <w:marTop w:val="0"/>
      <w:marBottom w:val="0"/>
      <w:divBdr>
        <w:top w:val="none" w:sz="0" w:space="0" w:color="auto"/>
        <w:left w:val="none" w:sz="0" w:space="0" w:color="auto"/>
        <w:bottom w:val="none" w:sz="0" w:space="0" w:color="auto"/>
        <w:right w:val="none" w:sz="0" w:space="0" w:color="auto"/>
      </w:divBdr>
    </w:div>
    <w:div w:id="1155681873">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80005643">
      <w:bodyDiv w:val="1"/>
      <w:marLeft w:val="0"/>
      <w:marRight w:val="0"/>
      <w:marTop w:val="0"/>
      <w:marBottom w:val="0"/>
      <w:divBdr>
        <w:top w:val="none" w:sz="0" w:space="0" w:color="auto"/>
        <w:left w:val="none" w:sz="0" w:space="0" w:color="auto"/>
        <w:bottom w:val="none" w:sz="0" w:space="0" w:color="auto"/>
        <w:right w:val="none" w:sz="0" w:space="0" w:color="auto"/>
      </w:divBdr>
    </w:div>
    <w:div w:id="1186207702">
      <w:bodyDiv w:val="1"/>
      <w:marLeft w:val="0"/>
      <w:marRight w:val="0"/>
      <w:marTop w:val="0"/>
      <w:marBottom w:val="0"/>
      <w:divBdr>
        <w:top w:val="none" w:sz="0" w:space="0" w:color="auto"/>
        <w:left w:val="none" w:sz="0" w:space="0" w:color="auto"/>
        <w:bottom w:val="none" w:sz="0" w:space="0" w:color="auto"/>
        <w:right w:val="none" w:sz="0" w:space="0" w:color="auto"/>
      </w:divBdr>
    </w:div>
    <w:div w:id="1188790063">
      <w:bodyDiv w:val="1"/>
      <w:marLeft w:val="0"/>
      <w:marRight w:val="0"/>
      <w:marTop w:val="0"/>
      <w:marBottom w:val="0"/>
      <w:divBdr>
        <w:top w:val="none" w:sz="0" w:space="0" w:color="auto"/>
        <w:left w:val="none" w:sz="0" w:space="0" w:color="auto"/>
        <w:bottom w:val="none" w:sz="0" w:space="0" w:color="auto"/>
        <w:right w:val="none" w:sz="0" w:space="0" w:color="auto"/>
      </w:divBdr>
    </w:div>
    <w:div w:id="1206256586">
      <w:bodyDiv w:val="1"/>
      <w:marLeft w:val="0"/>
      <w:marRight w:val="0"/>
      <w:marTop w:val="0"/>
      <w:marBottom w:val="0"/>
      <w:divBdr>
        <w:top w:val="none" w:sz="0" w:space="0" w:color="auto"/>
        <w:left w:val="none" w:sz="0" w:space="0" w:color="auto"/>
        <w:bottom w:val="none" w:sz="0" w:space="0" w:color="auto"/>
        <w:right w:val="none" w:sz="0" w:space="0" w:color="auto"/>
      </w:divBdr>
    </w:div>
    <w:div w:id="1215659167">
      <w:bodyDiv w:val="1"/>
      <w:marLeft w:val="0"/>
      <w:marRight w:val="0"/>
      <w:marTop w:val="0"/>
      <w:marBottom w:val="0"/>
      <w:divBdr>
        <w:top w:val="none" w:sz="0" w:space="0" w:color="auto"/>
        <w:left w:val="none" w:sz="0" w:space="0" w:color="auto"/>
        <w:bottom w:val="none" w:sz="0" w:space="0" w:color="auto"/>
        <w:right w:val="none" w:sz="0" w:space="0" w:color="auto"/>
      </w:divBdr>
    </w:div>
    <w:div w:id="1235775139">
      <w:bodyDiv w:val="1"/>
      <w:marLeft w:val="0"/>
      <w:marRight w:val="0"/>
      <w:marTop w:val="0"/>
      <w:marBottom w:val="0"/>
      <w:divBdr>
        <w:top w:val="none" w:sz="0" w:space="0" w:color="auto"/>
        <w:left w:val="none" w:sz="0" w:space="0" w:color="auto"/>
        <w:bottom w:val="none" w:sz="0" w:space="0" w:color="auto"/>
        <w:right w:val="none" w:sz="0" w:space="0" w:color="auto"/>
      </w:divBdr>
    </w:div>
    <w:div w:id="1261715879">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621902">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845125">
      <w:bodyDiv w:val="1"/>
      <w:marLeft w:val="0"/>
      <w:marRight w:val="0"/>
      <w:marTop w:val="0"/>
      <w:marBottom w:val="0"/>
      <w:divBdr>
        <w:top w:val="none" w:sz="0" w:space="0" w:color="auto"/>
        <w:left w:val="none" w:sz="0" w:space="0" w:color="auto"/>
        <w:bottom w:val="none" w:sz="0" w:space="0" w:color="auto"/>
        <w:right w:val="none" w:sz="0" w:space="0" w:color="auto"/>
      </w:divBdr>
    </w:div>
    <w:div w:id="1343363137">
      <w:bodyDiv w:val="1"/>
      <w:marLeft w:val="0"/>
      <w:marRight w:val="0"/>
      <w:marTop w:val="0"/>
      <w:marBottom w:val="0"/>
      <w:divBdr>
        <w:top w:val="none" w:sz="0" w:space="0" w:color="auto"/>
        <w:left w:val="none" w:sz="0" w:space="0" w:color="auto"/>
        <w:bottom w:val="none" w:sz="0" w:space="0" w:color="auto"/>
        <w:right w:val="none" w:sz="0" w:space="0" w:color="auto"/>
      </w:divBdr>
    </w:div>
    <w:div w:id="1351755362">
      <w:bodyDiv w:val="1"/>
      <w:marLeft w:val="0"/>
      <w:marRight w:val="0"/>
      <w:marTop w:val="0"/>
      <w:marBottom w:val="0"/>
      <w:divBdr>
        <w:top w:val="none" w:sz="0" w:space="0" w:color="auto"/>
        <w:left w:val="none" w:sz="0" w:space="0" w:color="auto"/>
        <w:bottom w:val="none" w:sz="0" w:space="0" w:color="auto"/>
        <w:right w:val="none" w:sz="0" w:space="0" w:color="auto"/>
      </w:divBdr>
    </w:div>
    <w:div w:id="1395162993">
      <w:bodyDiv w:val="1"/>
      <w:marLeft w:val="0"/>
      <w:marRight w:val="0"/>
      <w:marTop w:val="0"/>
      <w:marBottom w:val="0"/>
      <w:divBdr>
        <w:top w:val="none" w:sz="0" w:space="0" w:color="auto"/>
        <w:left w:val="none" w:sz="0" w:space="0" w:color="auto"/>
        <w:bottom w:val="none" w:sz="0" w:space="0" w:color="auto"/>
        <w:right w:val="none" w:sz="0" w:space="0" w:color="auto"/>
      </w:divBdr>
      <w:divsChild>
        <w:div w:id="196748016">
          <w:blockQuote w:val="1"/>
          <w:marLeft w:val="720"/>
          <w:marRight w:val="720"/>
          <w:marTop w:val="100"/>
          <w:marBottom w:val="100"/>
          <w:divBdr>
            <w:top w:val="none" w:sz="0" w:space="0" w:color="auto"/>
            <w:left w:val="none" w:sz="0" w:space="0" w:color="auto"/>
            <w:bottom w:val="none" w:sz="0" w:space="0" w:color="auto"/>
            <w:right w:val="none" w:sz="0" w:space="0" w:color="auto"/>
          </w:divBdr>
        </w:div>
        <w:div w:id="901603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7651910">
      <w:bodyDiv w:val="1"/>
      <w:marLeft w:val="0"/>
      <w:marRight w:val="0"/>
      <w:marTop w:val="0"/>
      <w:marBottom w:val="0"/>
      <w:divBdr>
        <w:top w:val="none" w:sz="0" w:space="0" w:color="auto"/>
        <w:left w:val="none" w:sz="0" w:space="0" w:color="auto"/>
        <w:bottom w:val="none" w:sz="0" w:space="0" w:color="auto"/>
        <w:right w:val="none" w:sz="0" w:space="0" w:color="auto"/>
      </w:divBdr>
    </w:div>
    <w:div w:id="1409576379">
      <w:bodyDiv w:val="1"/>
      <w:marLeft w:val="0"/>
      <w:marRight w:val="0"/>
      <w:marTop w:val="0"/>
      <w:marBottom w:val="0"/>
      <w:divBdr>
        <w:top w:val="none" w:sz="0" w:space="0" w:color="auto"/>
        <w:left w:val="none" w:sz="0" w:space="0" w:color="auto"/>
        <w:bottom w:val="none" w:sz="0" w:space="0" w:color="auto"/>
        <w:right w:val="none" w:sz="0" w:space="0" w:color="auto"/>
      </w:divBdr>
    </w:div>
    <w:div w:id="1422869729">
      <w:bodyDiv w:val="1"/>
      <w:marLeft w:val="0"/>
      <w:marRight w:val="0"/>
      <w:marTop w:val="0"/>
      <w:marBottom w:val="0"/>
      <w:divBdr>
        <w:top w:val="none" w:sz="0" w:space="0" w:color="auto"/>
        <w:left w:val="none" w:sz="0" w:space="0" w:color="auto"/>
        <w:bottom w:val="none" w:sz="0" w:space="0" w:color="auto"/>
        <w:right w:val="none" w:sz="0" w:space="0" w:color="auto"/>
      </w:divBdr>
    </w:div>
    <w:div w:id="1491553561">
      <w:bodyDiv w:val="1"/>
      <w:marLeft w:val="0"/>
      <w:marRight w:val="0"/>
      <w:marTop w:val="0"/>
      <w:marBottom w:val="0"/>
      <w:divBdr>
        <w:top w:val="none" w:sz="0" w:space="0" w:color="auto"/>
        <w:left w:val="none" w:sz="0" w:space="0" w:color="auto"/>
        <w:bottom w:val="none" w:sz="0" w:space="0" w:color="auto"/>
        <w:right w:val="none" w:sz="0" w:space="0" w:color="auto"/>
      </w:divBdr>
    </w:div>
    <w:div w:id="1498380119">
      <w:bodyDiv w:val="1"/>
      <w:marLeft w:val="0"/>
      <w:marRight w:val="0"/>
      <w:marTop w:val="0"/>
      <w:marBottom w:val="0"/>
      <w:divBdr>
        <w:top w:val="none" w:sz="0" w:space="0" w:color="auto"/>
        <w:left w:val="none" w:sz="0" w:space="0" w:color="auto"/>
        <w:bottom w:val="none" w:sz="0" w:space="0" w:color="auto"/>
        <w:right w:val="none" w:sz="0" w:space="0" w:color="auto"/>
      </w:divBdr>
    </w:div>
    <w:div w:id="1500729500">
      <w:bodyDiv w:val="1"/>
      <w:marLeft w:val="0"/>
      <w:marRight w:val="0"/>
      <w:marTop w:val="0"/>
      <w:marBottom w:val="0"/>
      <w:divBdr>
        <w:top w:val="none" w:sz="0" w:space="0" w:color="auto"/>
        <w:left w:val="none" w:sz="0" w:space="0" w:color="auto"/>
        <w:bottom w:val="none" w:sz="0" w:space="0" w:color="auto"/>
        <w:right w:val="none" w:sz="0" w:space="0" w:color="auto"/>
      </w:divBdr>
      <w:divsChild>
        <w:div w:id="237600129">
          <w:marLeft w:val="0"/>
          <w:marRight w:val="0"/>
          <w:marTop w:val="0"/>
          <w:marBottom w:val="0"/>
          <w:divBdr>
            <w:top w:val="none" w:sz="0" w:space="0" w:color="auto"/>
            <w:left w:val="none" w:sz="0" w:space="0" w:color="auto"/>
            <w:bottom w:val="none" w:sz="0" w:space="0" w:color="auto"/>
            <w:right w:val="none" w:sz="0" w:space="0" w:color="auto"/>
          </w:divBdr>
        </w:div>
        <w:div w:id="1173489560">
          <w:marLeft w:val="0"/>
          <w:marRight w:val="0"/>
          <w:marTop w:val="0"/>
          <w:marBottom w:val="0"/>
          <w:divBdr>
            <w:top w:val="none" w:sz="0" w:space="0" w:color="auto"/>
            <w:left w:val="none" w:sz="0" w:space="0" w:color="auto"/>
            <w:bottom w:val="none" w:sz="0" w:space="0" w:color="auto"/>
            <w:right w:val="none" w:sz="0" w:space="0" w:color="auto"/>
          </w:divBdr>
        </w:div>
        <w:div w:id="1447037544">
          <w:marLeft w:val="0"/>
          <w:marRight w:val="0"/>
          <w:marTop w:val="0"/>
          <w:marBottom w:val="0"/>
          <w:divBdr>
            <w:top w:val="none" w:sz="0" w:space="0" w:color="auto"/>
            <w:left w:val="none" w:sz="0" w:space="0" w:color="auto"/>
            <w:bottom w:val="none" w:sz="0" w:space="0" w:color="auto"/>
            <w:right w:val="none" w:sz="0" w:space="0" w:color="auto"/>
          </w:divBdr>
        </w:div>
        <w:div w:id="1742562313">
          <w:marLeft w:val="0"/>
          <w:marRight w:val="0"/>
          <w:marTop w:val="0"/>
          <w:marBottom w:val="0"/>
          <w:divBdr>
            <w:top w:val="none" w:sz="0" w:space="0" w:color="auto"/>
            <w:left w:val="none" w:sz="0" w:space="0" w:color="auto"/>
            <w:bottom w:val="none" w:sz="0" w:space="0" w:color="auto"/>
            <w:right w:val="none" w:sz="0" w:space="0" w:color="auto"/>
          </w:divBdr>
        </w:div>
      </w:divsChild>
    </w:div>
    <w:div w:id="1539320977">
      <w:bodyDiv w:val="1"/>
      <w:marLeft w:val="0"/>
      <w:marRight w:val="0"/>
      <w:marTop w:val="0"/>
      <w:marBottom w:val="0"/>
      <w:divBdr>
        <w:top w:val="none" w:sz="0" w:space="0" w:color="auto"/>
        <w:left w:val="none" w:sz="0" w:space="0" w:color="auto"/>
        <w:bottom w:val="none" w:sz="0" w:space="0" w:color="auto"/>
        <w:right w:val="none" w:sz="0" w:space="0" w:color="auto"/>
      </w:divBdr>
    </w:div>
    <w:div w:id="1559197891">
      <w:bodyDiv w:val="1"/>
      <w:marLeft w:val="0"/>
      <w:marRight w:val="0"/>
      <w:marTop w:val="0"/>
      <w:marBottom w:val="0"/>
      <w:divBdr>
        <w:top w:val="none" w:sz="0" w:space="0" w:color="auto"/>
        <w:left w:val="none" w:sz="0" w:space="0" w:color="auto"/>
        <w:bottom w:val="none" w:sz="0" w:space="0" w:color="auto"/>
        <w:right w:val="none" w:sz="0" w:space="0" w:color="auto"/>
      </w:divBdr>
    </w:div>
    <w:div w:id="1568372037">
      <w:bodyDiv w:val="1"/>
      <w:marLeft w:val="0"/>
      <w:marRight w:val="0"/>
      <w:marTop w:val="0"/>
      <w:marBottom w:val="0"/>
      <w:divBdr>
        <w:top w:val="none" w:sz="0" w:space="0" w:color="auto"/>
        <w:left w:val="none" w:sz="0" w:space="0" w:color="auto"/>
        <w:bottom w:val="none" w:sz="0" w:space="0" w:color="auto"/>
        <w:right w:val="none" w:sz="0" w:space="0" w:color="auto"/>
      </w:divBdr>
    </w:div>
    <w:div w:id="1576473160">
      <w:bodyDiv w:val="1"/>
      <w:marLeft w:val="0"/>
      <w:marRight w:val="0"/>
      <w:marTop w:val="0"/>
      <w:marBottom w:val="0"/>
      <w:divBdr>
        <w:top w:val="none" w:sz="0" w:space="0" w:color="auto"/>
        <w:left w:val="none" w:sz="0" w:space="0" w:color="auto"/>
        <w:bottom w:val="none" w:sz="0" w:space="0" w:color="auto"/>
        <w:right w:val="none" w:sz="0" w:space="0" w:color="auto"/>
      </w:divBdr>
    </w:div>
    <w:div w:id="1579709195">
      <w:bodyDiv w:val="1"/>
      <w:marLeft w:val="0"/>
      <w:marRight w:val="0"/>
      <w:marTop w:val="0"/>
      <w:marBottom w:val="0"/>
      <w:divBdr>
        <w:top w:val="none" w:sz="0" w:space="0" w:color="auto"/>
        <w:left w:val="none" w:sz="0" w:space="0" w:color="auto"/>
        <w:bottom w:val="none" w:sz="0" w:space="0" w:color="auto"/>
        <w:right w:val="none" w:sz="0" w:space="0" w:color="auto"/>
      </w:divBdr>
    </w:div>
    <w:div w:id="1579753255">
      <w:bodyDiv w:val="1"/>
      <w:marLeft w:val="0"/>
      <w:marRight w:val="0"/>
      <w:marTop w:val="0"/>
      <w:marBottom w:val="0"/>
      <w:divBdr>
        <w:top w:val="none" w:sz="0" w:space="0" w:color="auto"/>
        <w:left w:val="none" w:sz="0" w:space="0" w:color="auto"/>
        <w:bottom w:val="none" w:sz="0" w:space="0" w:color="auto"/>
        <w:right w:val="none" w:sz="0" w:space="0" w:color="auto"/>
      </w:divBdr>
    </w:div>
    <w:div w:id="1599294736">
      <w:bodyDiv w:val="1"/>
      <w:marLeft w:val="0"/>
      <w:marRight w:val="0"/>
      <w:marTop w:val="0"/>
      <w:marBottom w:val="0"/>
      <w:divBdr>
        <w:top w:val="none" w:sz="0" w:space="0" w:color="auto"/>
        <w:left w:val="none" w:sz="0" w:space="0" w:color="auto"/>
        <w:bottom w:val="none" w:sz="0" w:space="0" w:color="auto"/>
        <w:right w:val="none" w:sz="0" w:space="0" w:color="auto"/>
      </w:divBdr>
    </w:div>
    <w:div w:id="1612861196">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807036">
      <w:bodyDiv w:val="1"/>
      <w:marLeft w:val="0"/>
      <w:marRight w:val="0"/>
      <w:marTop w:val="0"/>
      <w:marBottom w:val="0"/>
      <w:divBdr>
        <w:top w:val="none" w:sz="0" w:space="0" w:color="auto"/>
        <w:left w:val="none" w:sz="0" w:space="0" w:color="auto"/>
        <w:bottom w:val="none" w:sz="0" w:space="0" w:color="auto"/>
        <w:right w:val="none" w:sz="0" w:space="0" w:color="auto"/>
      </w:divBdr>
    </w:div>
    <w:div w:id="1669557700">
      <w:bodyDiv w:val="1"/>
      <w:marLeft w:val="0"/>
      <w:marRight w:val="0"/>
      <w:marTop w:val="0"/>
      <w:marBottom w:val="0"/>
      <w:divBdr>
        <w:top w:val="none" w:sz="0" w:space="0" w:color="auto"/>
        <w:left w:val="none" w:sz="0" w:space="0" w:color="auto"/>
        <w:bottom w:val="none" w:sz="0" w:space="0" w:color="auto"/>
        <w:right w:val="none" w:sz="0" w:space="0" w:color="auto"/>
      </w:divBdr>
    </w:div>
    <w:div w:id="1671131680">
      <w:bodyDiv w:val="1"/>
      <w:marLeft w:val="0"/>
      <w:marRight w:val="0"/>
      <w:marTop w:val="0"/>
      <w:marBottom w:val="0"/>
      <w:divBdr>
        <w:top w:val="none" w:sz="0" w:space="0" w:color="auto"/>
        <w:left w:val="none" w:sz="0" w:space="0" w:color="auto"/>
        <w:bottom w:val="none" w:sz="0" w:space="0" w:color="auto"/>
        <w:right w:val="none" w:sz="0" w:space="0" w:color="auto"/>
      </w:divBdr>
    </w:div>
    <w:div w:id="1672902191">
      <w:bodyDiv w:val="1"/>
      <w:marLeft w:val="0"/>
      <w:marRight w:val="0"/>
      <w:marTop w:val="0"/>
      <w:marBottom w:val="0"/>
      <w:divBdr>
        <w:top w:val="none" w:sz="0" w:space="0" w:color="auto"/>
        <w:left w:val="none" w:sz="0" w:space="0" w:color="auto"/>
        <w:bottom w:val="none" w:sz="0" w:space="0" w:color="auto"/>
        <w:right w:val="none" w:sz="0" w:space="0" w:color="auto"/>
      </w:divBdr>
    </w:div>
    <w:div w:id="1702704026">
      <w:bodyDiv w:val="1"/>
      <w:marLeft w:val="0"/>
      <w:marRight w:val="0"/>
      <w:marTop w:val="0"/>
      <w:marBottom w:val="0"/>
      <w:divBdr>
        <w:top w:val="none" w:sz="0" w:space="0" w:color="auto"/>
        <w:left w:val="none" w:sz="0" w:space="0" w:color="auto"/>
        <w:bottom w:val="none" w:sz="0" w:space="0" w:color="auto"/>
        <w:right w:val="none" w:sz="0" w:space="0" w:color="auto"/>
      </w:divBdr>
    </w:div>
    <w:div w:id="1703018610">
      <w:bodyDiv w:val="1"/>
      <w:marLeft w:val="0"/>
      <w:marRight w:val="0"/>
      <w:marTop w:val="0"/>
      <w:marBottom w:val="0"/>
      <w:divBdr>
        <w:top w:val="none" w:sz="0" w:space="0" w:color="auto"/>
        <w:left w:val="none" w:sz="0" w:space="0" w:color="auto"/>
        <w:bottom w:val="none" w:sz="0" w:space="0" w:color="auto"/>
        <w:right w:val="none" w:sz="0" w:space="0" w:color="auto"/>
      </w:divBdr>
    </w:div>
    <w:div w:id="1710716608">
      <w:bodyDiv w:val="1"/>
      <w:marLeft w:val="0"/>
      <w:marRight w:val="0"/>
      <w:marTop w:val="0"/>
      <w:marBottom w:val="0"/>
      <w:divBdr>
        <w:top w:val="none" w:sz="0" w:space="0" w:color="auto"/>
        <w:left w:val="none" w:sz="0" w:space="0" w:color="auto"/>
        <w:bottom w:val="none" w:sz="0" w:space="0" w:color="auto"/>
        <w:right w:val="none" w:sz="0" w:space="0" w:color="auto"/>
      </w:divBdr>
    </w:div>
    <w:div w:id="1712069593">
      <w:bodyDiv w:val="1"/>
      <w:marLeft w:val="0"/>
      <w:marRight w:val="0"/>
      <w:marTop w:val="0"/>
      <w:marBottom w:val="0"/>
      <w:divBdr>
        <w:top w:val="none" w:sz="0" w:space="0" w:color="auto"/>
        <w:left w:val="none" w:sz="0" w:space="0" w:color="auto"/>
        <w:bottom w:val="none" w:sz="0" w:space="0" w:color="auto"/>
        <w:right w:val="none" w:sz="0" w:space="0" w:color="auto"/>
      </w:divBdr>
    </w:div>
    <w:div w:id="1718355878">
      <w:bodyDiv w:val="1"/>
      <w:marLeft w:val="0"/>
      <w:marRight w:val="0"/>
      <w:marTop w:val="0"/>
      <w:marBottom w:val="0"/>
      <w:divBdr>
        <w:top w:val="none" w:sz="0" w:space="0" w:color="auto"/>
        <w:left w:val="none" w:sz="0" w:space="0" w:color="auto"/>
        <w:bottom w:val="none" w:sz="0" w:space="0" w:color="auto"/>
        <w:right w:val="none" w:sz="0" w:space="0" w:color="auto"/>
      </w:divBdr>
    </w:div>
    <w:div w:id="1718427406">
      <w:bodyDiv w:val="1"/>
      <w:marLeft w:val="0"/>
      <w:marRight w:val="0"/>
      <w:marTop w:val="0"/>
      <w:marBottom w:val="0"/>
      <w:divBdr>
        <w:top w:val="none" w:sz="0" w:space="0" w:color="auto"/>
        <w:left w:val="none" w:sz="0" w:space="0" w:color="auto"/>
        <w:bottom w:val="none" w:sz="0" w:space="0" w:color="auto"/>
        <w:right w:val="none" w:sz="0" w:space="0" w:color="auto"/>
      </w:divBdr>
    </w:div>
    <w:div w:id="1718428075">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50081563">
      <w:bodyDiv w:val="1"/>
      <w:marLeft w:val="0"/>
      <w:marRight w:val="0"/>
      <w:marTop w:val="0"/>
      <w:marBottom w:val="0"/>
      <w:divBdr>
        <w:top w:val="none" w:sz="0" w:space="0" w:color="auto"/>
        <w:left w:val="none" w:sz="0" w:space="0" w:color="auto"/>
        <w:bottom w:val="none" w:sz="0" w:space="0" w:color="auto"/>
        <w:right w:val="none" w:sz="0" w:space="0" w:color="auto"/>
      </w:divBdr>
    </w:div>
    <w:div w:id="1772239445">
      <w:bodyDiv w:val="1"/>
      <w:marLeft w:val="0"/>
      <w:marRight w:val="0"/>
      <w:marTop w:val="0"/>
      <w:marBottom w:val="0"/>
      <w:divBdr>
        <w:top w:val="none" w:sz="0" w:space="0" w:color="auto"/>
        <w:left w:val="none" w:sz="0" w:space="0" w:color="auto"/>
        <w:bottom w:val="none" w:sz="0" w:space="0" w:color="auto"/>
        <w:right w:val="none" w:sz="0" w:space="0" w:color="auto"/>
      </w:divBdr>
    </w:div>
    <w:div w:id="1775008626">
      <w:bodyDiv w:val="1"/>
      <w:marLeft w:val="0"/>
      <w:marRight w:val="0"/>
      <w:marTop w:val="0"/>
      <w:marBottom w:val="0"/>
      <w:divBdr>
        <w:top w:val="none" w:sz="0" w:space="0" w:color="auto"/>
        <w:left w:val="none" w:sz="0" w:space="0" w:color="auto"/>
        <w:bottom w:val="none" w:sz="0" w:space="0" w:color="auto"/>
        <w:right w:val="none" w:sz="0" w:space="0" w:color="auto"/>
      </w:divBdr>
    </w:div>
    <w:div w:id="1851020517">
      <w:bodyDiv w:val="1"/>
      <w:marLeft w:val="0"/>
      <w:marRight w:val="0"/>
      <w:marTop w:val="0"/>
      <w:marBottom w:val="0"/>
      <w:divBdr>
        <w:top w:val="none" w:sz="0" w:space="0" w:color="auto"/>
        <w:left w:val="none" w:sz="0" w:space="0" w:color="auto"/>
        <w:bottom w:val="none" w:sz="0" w:space="0" w:color="auto"/>
        <w:right w:val="none" w:sz="0" w:space="0" w:color="auto"/>
      </w:divBdr>
    </w:div>
    <w:div w:id="1872912018">
      <w:bodyDiv w:val="1"/>
      <w:marLeft w:val="0"/>
      <w:marRight w:val="0"/>
      <w:marTop w:val="0"/>
      <w:marBottom w:val="0"/>
      <w:divBdr>
        <w:top w:val="none" w:sz="0" w:space="0" w:color="auto"/>
        <w:left w:val="none" w:sz="0" w:space="0" w:color="auto"/>
        <w:bottom w:val="none" w:sz="0" w:space="0" w:color="auto"/>
        <w:right w:val="none" w:sz="0" w:space="0" w:color="auto"/>
      </w:divBdr>
    </w:div>
    <w:div w:id="1881017155">
      <w:bodyDiv w:val="1"/>
      <w:marLeft w:val="0"/>
      <w:marRight w:val="0"/>
      <w:marTop w:val="0"/>
      <w:marBottom w:val="0"/>
      <w:divBdr>
        <w:top w:val="none" w:sz="0" w:space="0" w:color="auto"/>
        <w:left w:val="none" w:sz="0" w:space="0" w:color="auto"/>
        <w:bottom w:val="none" w:sz="0" w:space="0" w:color="auto"/>
        <w:right w:val="none" w:sz="0" w:space="0" w:color="auto"/>
      </w:divBdr>
    </w:div>
    <w:div w:id="1961453096">
      <w:bodyDiv w:val="1"/>
      <w:marLeft w:val="0"/>
      <w:marRight w:val="0"/>
      <w:marTop w:val="0"/>
      <w:marBottom w:val="0"/>
      <w:divBdr>
        <w:top w:val="none" w:sz="0" w:space="0" w:color="auto"/>
        <w:left w:val="none" w:sz="0" w:space="0" w:color="auto"/>
        <w:bottom w:val="none" w:sz="0" w:space="0" w:color="auto"/>
        <w:right w:val="none" w:sz="0" w:space="0" w:color="auto"/>
      </w:divBdr>
    </w:div>
    <w:div w:id="1961759552">
      <w:bodyDiv w:val="1"/>
      <w:marLeft w:val="0"/>
      <w:marRight w:val="0"/>
      <w:marTop w:val="0"/>
      <w:marBottom w:val="0"/>
      <w:divBdr>
        <w:top w:val="none" w:sz="0" w:space="0" w:color="auto"/>
        <w:left w:val="none" w:sz="0" w:space="0" w:color="auto"/>
        <w:bottom w:val="none" w:sz="0" w:space="0" w:color="auto"/>
        <w:right w:val="none" w:sz="0" w:space="0" w:color="auto"/>
      </w:divBdr>
    </w:div>
    <w:div w:id="2010794541">
      <w:bodyDiv w:val="1"/>
      <w:marLeft w:val="0"/>
      <w:marRight w:val="0"/>
      <w:marTop w:val="0"/>
      <w:marBottom w:val="0"/>
      <w:divBdr>
        <w:top w:val="none" w:sz="0" w:space="0" w:color="auto"/>
        <w:left w:val="none" w:sz="0" w:space="0" w:color="auto"/>
        <w:bottom w:val="none" w:sz="0" w:space="0" w:color="auto"/>
        <w:right w:val="none" w:sz="0" w:space="0" w:color="auto"/>
      </w:divBdr>
    </w:div>
    <w:div w:id="2013410766">
      <w:bodyDiv w:val="1"/>
      <w:marLeft w:val="0"/>
      <w:marRight w:val="0"/>
      <w:marTop w:val="0"/>
      <w:marBottom w:val="0"/>
      <w:divBdr>
        <w:top w:val="none" w:sz="0" w:space="0" w:color="auto"/>
        <w:left w:val="none" w:sz="0" w:space="0" w:color="auto"/>
        <w:bottom w:val="none" w:sz="0" w:space="0" w:color="auto"/>
        <w:right w:val="none" w:sz="0" w:space="0" w:color="auto"/>
      </w:divBdr>
    </w:div>
    <w:div w:id="2023430677">
      <w:bodyDiv w:val="1"/>
      <w:marLeft w:val="0"/>
      <w:marRight w:val="0"/>
      <w:marTop w:val="0"/>
      <w:marBottom w:val="0"/>
      <w:divBdr>
        <w:top w:val="none" w:sz="0" w:space="0" w:color="auto"/>
        <w:left w:val="none" w:sz="0" w:space="0" w:color="auto"/>
        <w:bottom w:val="none" w:sz="0" w:space="0" w:color="auto"/>
        <w:right w:val="none" w:sz="0" w:space="0" w:color="auto"/>
      </w:divBdr>
    </w:div>
    <w:div w:id="2126849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svg"/><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svg"/><Relationship Id="rId30" Type="http://schemas.openxmlformats.org/officeDocument/2006/relationships/footer" Target="footer7.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agree_internation/2025/867/oj/eng" TargetMode="External"/><Relationship Id="rId3" Type="http://schemas.openxmlformats.org/officeDocument/2006/relationships/hyperlink" Target="https://commission.europa.eu/document/download/606f0f38-12f9-4893-8941-3ac835229bcd_en?filename=JUST_template_comingsoon_standard_16.pdf" TargetMode="External"/><Relationship Id="rId7" Type="http://schemas.openxmlformats.org/officeDocument/2006/relationships/hyperlink" Target="https://eur-lex.europa.eu/legal-content/EN/TXT/?uri=CELEX%3A22024A02737&amp;qid=1773922527975" TargetMode="External"/><Relationship Id="rId2" Type="http://schemas.openxmlformats.org/officeDocument/2006/relationships/hyperlink" Target="https://www.europol.europa.eu/publication-events/main-reports/changing-dna-of-serious-and-organised-crime" TargetMode="External"/><Relationship Id="rId1" Type="http://schemas.openxmlformats.org/officeDocument/2006/relationships/hyperlink" Target="https://globalinitiative.net/wp-content/uploads/2026/02/Global-Organized-Crime-Index_Continental-Overview_Europe.pdf" TargetMode="External"/><Relationship Id="rId6" Type="http://schemas.openxmlformats.org/officeDocument/2006/relationships/hyperlink" Target="https://www.eurojust.europa.eu/fr/document/encrochat-investigation-france" TargetMode="External"/><Relationship Id="rId5" Type="http://schemas.openxmlformats.org/officeDocument/2006/relationships/hyperlink" Target="https://www.eurojust.europa.eu/news/dismantling-encrypted-criminal-encrochat-communications-6-500-arrests-900-eur-seized" TargetMode="External"/><Relationship Id="rId10" Type="http://schemas.openxmlformats.org/officeDocument/2006/relationships/hyperlink" Target="https://www.eurojust.europa.eu/news/eurojust-marks-20th-consultative-forum-europes-top-prosecutors-shape-future-judicial" TargetMode="External"/><Relationship Id="rId4" Type="http://schemas.openxmlformats.org/officeDocument/2006/relationships/hyperlink" Target="https://www.eurojust.europa.eu/ar2020/7-casework-crime-type/72-encrochat-dismantling-encrypted-network-used-criminal-groups" TargetMode="External"/><Relationship Id="rId9" Type="http://schemas.openxmlformats.org/officeDocument/2006/relationships/hyperlink" Target="https://www.eurojust.europa.eu/publication/eurojust-annual-report-2024" TargetMode="External"/></Relationships>
</file>

<file path=word/documenttasks/documenttasks1.xml><?xml version="1.0" encoding="utf-8"?>
<t:Tasks xmlns:t="http://schemas.microsoft.com/office/tasks/2019/documenttasks" xmlns:oel="http://schemas.microsoft.com/office/2019/extlst">
  <t:Task id="{19229041-7B12-44D1-BCAB-04D765BCFDC0}">
    <t:Anchor>
      <t:Comment id="1104895978"/>
    </t:Anchor>
    <t:History>
      <t:Event time="2026-03-04T11:48:40.318Z" id="{11245ACD-1F27-48FC-9A33-C36A6D5980FE}">
        <t:Attribution userId="S::laurent.huet@ec.europa.eu::e249f9b4-5c7d-4f9e-bef9-aacae48e6475" userName="HUET Laurent (JUST)" userProvider="AD"/>
        <t:Anchor>
          <t:Comment id="1104895978"/>
        </t:Anchor>
        <t:Create/>
      </t:Event>
      <t:Event time="2026-03-04T11:48:40.318Z" id="{54EEB75B-B108-40E7-A605-E4EB7009EFD3}">
        <t:Attribution userId="S::laurent.huet@ec.europa.eu::e249f9b4-5c7d-4f9e-bef9-aacae48e6475" userName="HUET Laurent (JUST)" userProvider="AD"/>
        <t:Anchor>
          <t:Comment id="1104895978"/>
        </t:Anchor>
        <t:Assign userId="S::Katja.RICHTER@ec.europa.eu::56234cc8-b0fa-4802-b622-ef59e864f55a" userName="RICHTER Katja (JUST)" userProvider="AD"/>
      </t:Event>
      <t:Event time="2026-03-04T11:48:40.318Z" id="{3BA725AF-E5B8-4FF3-8E18-2FB39CF4CF2A}">
        <t:Attribution userId="S::laurent.huet@ec.europa.eu::e249f9b4-5c7d-4f9e-bef9-aacae48e6475" userName="HUET Laurent (JUST)" userProvider="AD"/>
        <t:Anchor>
          <t:Comment id="1104895978"/>
        </t:Anchor>
        <t:SetTitle title="@RICHTER Katja (JUST) it will be necessary to reintroduce these elements as footnotes."/>
      </t:Event>
    </t:History>
  </t:Task>
  <t:Task id="{82646133-D57D-47D2-8C90-83CA7E6C31F2}">
    <t:Anchor>
      <t:Comment id="491104132"/>
    </t:Anchor>
    <t:History>
      <t:Event time="2026-05-06T09:00:23.875Z" id="{440B69B9-9C2E-4EE4-8CB6-65C543F87123}">
        <t:Attribution userId="S::laurent.huet@ec.europa.eu::e249f9b4-5c7d-4f9e-bef9-aacae48e6475" userName="HUET Laurent (JUST)" userProvider="AD"/>
        <t:Anchor>
          <t:Comment id="1183361841"/>
        </t:Anchor>
        <t:Create/>
      </t:Event>
      <t:Event time="2026-05-06T09:00:23.875Z" id="{CFEC9A2D-08D1-49A8-B0B6-1F486D1BEDC8}">
        <t:Attribution userId="S::laurent.huet@ec.europa.eu::e249f9b4-5c7d-4f9e-bef9-aacae48e6475" userName="HUET Laurent (JUST)" userProvider="AD"/>
        <t:Anchor>
          <t:Comment id="1183361841"/>
        </t:Anchor>
        <t:Assign userId="S::Franziska.GOTTHARD@ext.ec.europa.eu::1a05f7f6-f94d-40b7-8918-e29b8c9359b3" userName="GOTTHARD Franziska (JUST-EXT)" userProvider="AD"/>
      </t:Event>
      <t:Event time="2026-05-06T09:00:23.875Z" id="{E1BAF7A6-30FF-41D4-B7FF-2AB58255FF0A}">
        <t:Attribution userId="S::laurent.huet@ec.europa.eu::e249f9b4-5c7d-4f9e-bef9-aacae48e6475" userName="HUET Laurent (JUST)" userProvider="AD"/>
        <t:Anchor>
          <t:Comment id="1183361841"/>
        </t:Anchor>
        <t:SetTitle title="@GOTTHARD Franziska (JUST-EXT)"/>
      </t:Event>
      <t:Event time="2026-05-06T12:15:03.824Z" id="{44F2B20A-87A8-4725-9950-3D66F563F298}">
        <t:Attribution userId="S::Franziska.GOTTHARD@ext.ec.europa.eu::1a05f7f6-f94d-40b7-8918-e29b8c9359b3" userName="GOTTHARD Franziska (JUST-EXT)" userProvider="AD"/>
        <t:Progress percentComplete="100"/>
      </t:Event>
      <t:Event time="2026-05-06T12:15:13.286Z" id="{64A7BDA0-558F-4C4A-B13F-BEBC79A44E1A}">
        <t:Attribution userId="S::Franziska.GOTTHARD@ext.ec.europa.eu::1a05f7f6-f94d-40b7-8918-e29b8c9359b3" userName="GOTTHARD Franziska (JUST-EXT)" userProvider="AD"/>
        <t:Progress percentComplete="0"/>
      </t:Event>
    </t:History>
  </t:Task>
  <t:Task id="{55F9F508-FBEF-4F84-9F38-BC62A8C82227}">
    <t:Anchor>
      <t:Comment id="44919344"/>
    </t:Anchor>
    <t:History>
      <t:Event time="2026-03-04T18:04:13.055Z" id="{43FE8573-C7D3-4773-AEA2-B6A0B83CE9A7}">
        <t:Attribution userId="S::laurent.huet@ec.europa.eu::e249f9b4-5c7d-4f9e-bef9-aacae48e6475" userName="HUET Laurent (JUST)" userProvider="AD"/>
        <t:Anchor>
          <t:Comment id="44919344"/>
        </t:Anchor>
        <t:Create/>
      </t:Event>
      <t:Event time="2026-03-04T18:04:13.055Z" id="{E5720AC2-B382-4CE0-9F02-3FEA073B11B5}">
        <t:Attribution userId="S::laurent.huet@ec.europa.eu::e249f9b4-5c7d-4f9e-bef9-aacae48e6475" userName="HUET Laurent (JUST)" userProvider="AD"/>
        <t:Anchor>
          <t:Comment id="44919344"/>
        </t:Anchor>
        <t:Assign userId="S::Katja.RICHTER@ec.europa.eu::56234cc8-b0fa-4802-b622-ef59e864f55a" userName="RICHTER Katja (JUST)" userProvider="AD"/>
      </t:Event>
      <t:Event time="2026-03-04T18:04:13.055Z" id="{713F4445-A32C-4567-82AB-067C432A4033}">
        <t:Attribution userId="S::laurent.huet@ec.europa.eu::e249f9b4-5c7d-4f9e-bef9-aacae48e6475" userName="HUET Laurent (JUST)" userProvider="AD"/>
        <t:Anchor>
          <t:Comment id="44919344"/>
        </t:Anchor>
        <t:SetTitle title="@RICHTER Katja (JUST) - need to deal with this foot note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E626DAF89FA47B6D11CC706A43F0B" ma:contentTypeVersion="7" ma:contentTypeDescription="Create a new document." ma:contentTypeScope="" ma:versionID="e20dd75e4326efe6539e74a3518f16a0">
  <xsd:schema xmlns:xsd="http://www.w3.org/2001/XMLSchema" xmlns:xs="http://www.w3.org/2001/XMLSchema" xmlns:p="http://schemas.microsoft.com/office/2006/metadata/properties" xmlns:ns2="95168e73-d0cb-497b-98ef-c22099b8504d" targetNamespace="http://schemas.microsoft.com/office/2006/metadata/properties" ma:root="true" ma:fieldsID="dc076e08df91ab2e8804a79fec863e9e" ns2:_="">
    <xsd:import namespace="95168e73-d0cb-497b-98ef-c22099b850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68e73-d0cb-497b-98ef-c22099b85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FDFC7-56C1-490D-9ECD-CE53C9991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68e73-d0cb-497b-98ef-c22099b85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3.xml><?xml version="1.0" encoding="utf-8"?>
<ds:datastoreItem xmlns:ds="http://schemas.openxmlformats.org/officeDocument/2006/customXml" ds:itemID="{4633AB5D-634E-404D-A512-ED3D425893BE}">
  <ds:schemaRefs>
    <ds:schemaRef ds:uri="http://purl.org/dc/terms/"/>
    <ds:schemaRef ds:uri="http://schemas.microsoft.com/office/infopath/2007/PartnerControls"/>
    <ds:schemaRef ds:uri="http://schemas.microsoft.com/office/2006/documentManagement/types"/>
    <ds:schemaRef ds:uri="http://www.w3.org/XML/1998/namespace"/>
    <ds:schemaRef ds:uri="95168e73-d0cb-497b-98ef-c22099b8504d"/>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79F6FAD8-7537-4EE5-BB3E-74759CFEB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27910</Words>
  <Characters>159088</Characters>
  <Application>Microsoft Office Word</Application>
  <DocSecurity>0</DocSecurity>
  <Lines>1325</Lines>
  <Paragraphs>373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2026-06-15T17:44:00Z</cp:lastPrinted>
  <dcterms:created xsi:type="dcterms:W3CDTF">2026-06-15T17:40:00Z</dcterms:created>
  <dcterms:modified xsi:type="dcterms:W3CDTF">2026-06-23T14:19:00Z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2</vt:lpwstr>
  </property>
  <property fmtid="{D5CDD505-2E9C-101B-9397-08002B2CF9AE}" pid="5" name="DocStatus">
    <vt:lpwstr>Green</vt:lpwstr>
  </property>
  <property fmtid="{D5CDD505-2E9C-101B-9397-08002B2CF9AE}" pid="6" name="CPTemplateID">
    <vt:lpwstr>CP-026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2023-01-13T16:09:08Z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7e673b8e-6dd8-49f6-a98b-2979beb59a23</vt:lpwstr>
  </property>
  <property fmtid="{D5CDD505-2E9C-101B-9397-08002B2CF9AE}" pid="15" name="MSIP_Label_6bd9ddd1-4d20-43f6-abfa-fc3c07406f94_ContentBits">
    <vt:lpwstr>0</vt:lpwstr>
  </property>
  <property fmtid="{D5CDD505-2E9C-101B-9397-08002B2CF9AE}" pid="16" name="ContentTypeId">
    <vt:lpwstr>0x010100187E626DAF89FA47B6D11CC706A43F0B</vt:lpwstr>
  </property>
  <property fmtid="{D5CDD505-2E9C-101B-9397-08002B2CF9AE}" pid="17" name="TaxKeyword">
    <vt:lpwstr/>
  </property>
  <property fmtid="{D5CDD505-2E9C-101B-9397-08002B2CF9AE}" pid="18" name="MediaServiceImageTags">
    <vt:lpwstr/>
  </property>
  <property fmtid="{D5CDD505-2E9C-101B-9397-08002B2CF9AE}" pid="19" name="Responsible_x0020_unit_x0020_">
    <vt:lpwstr>151;#SG.C.2|c917e1f5-7912-4eb9-962c-e792a6657685</vt:lpwstr>
  </property>
  <property fmtid="{D5CDD505-2E9C-101B-9397-08002B2CF9AE}" pid="20" name="Responsible unit ">
    <vt:lpwstr>151;#SG.C.2|c917e1f5-7912-4eb9-962c-e792a6657685</vt:lpwstr>
  </property>
  <property fmtid="{D5CDD505-2E9C-101B-9397-08002B2CF9AE}" pid="21" name="Responsible unit">
    <vt:lpwstr/>
  </property>
  <property fmtid="{D5CDD505-2E9C-101B-9397-08002B2CF9AE}" pid="22" name="xd_ProgID">
    <vt:lpwstr/>
  </property>
  <property fmtid="{D5CDD505-2E9C-101B-9397-08002B2CF9AE}" pid="23" name="ComplianceAssetId">
    <vt:lpwstr/>
  </property>
  <property fmtid="{D5CDD505-2E9C-101B-9397-08002B2CF9AE}" pid="24" name="TemplateUrl">
    <vt:lpwstr/>
  </property>
  <property fmtid="{D5CDD505-2E9C-101B-9397-08002B2CF9AE}" pid="25" name="_ExtendedDescription">
    <vt:lpwstr/>
  </property>
  <property fmtid="{D5CDD505-2E9C-101B-9397-08002B2CF9AE}" pid="26" name="TriggerFlowInfo">
    <vt:lpwstr/>
  </property>
  <property fmtid="{D5CDD505-2E9C-101B-9397-08002B2CF9AE}" pid="27" name="xd_Signature">
    <vt:bool>false</vt:bool>
  </property>
</Properties>
</file>